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F6D" w:rsidRPr="00722DF4" w:rsidRDefault="00385F6D" w:rsidP="00722DF4">
      <w:pPr>
        <w:pStyle w:val="Default"/>
        <w:spacing w:line="276" w:lineRule="auto"/>
        <w:jc w:val="both"/>
        <w:rPr>
          <w:rFonts w:ascii="Arial" w:hAnsi="Arial" w:cs="Arial"/>
          <w:b/>
          <w:color w:val="auto"/>
        </w:rPr>
      </w:pPr>
    </w:p>
    <w:p w:rsidR="00385F6D" w:rsidRPr="00722DF4" w:rsidRDefault="00BD0FFA" w:rsidP="00722DF4">
      <w:pPr>
        <w:pStyle w:val="Default"/>
        <w:tabs>
          <w:tab w:val="left" w:pos="3728"/>
        </w:tabs>
        <w:spacing w:line="276" w:lineRule="auto"/>
        <w:jc w:val="both"/>
        <w:rPr>
          <w:rFonts w:ascii="Arial" w:hAnsi="Arial" w:cs="Arial"/>
          <w:b/>
          <w:color w:val="auto"/>
        </w:rPr>
      </w:pPr>
      <w:r w:rsidRPr="00722DF4">
        <w:rPr>
          <w:rFonts w:ascii="Arial" w:hAnsi="Arial" w:cs="Arial"/>
          <w:b/>
          <w:color w:val="auto"/>
        </w:rPr>
        <w:tab/>
      </w:r>
    </w:p>
    <w:p w:rsidR="00385F6D" w:rsidRPr="00722DF4" w:rsidRDefault="00385F6D" w:rsidP="00722DF4">
      <w:pPr>
        <w:spacing w:after="0"/>
        <w:jc w:val="both"/>
        <w:rPr>
          <w:rFonts w:ascii="Arial" w:hAnsi="Arial" w:cs="Arial"/>
          <w:b/>
          <w:sz w:val="24"/>
          <w:szCs w:val="24"/>
        </w:rPr>
      </w:pPr>
    </w:p>
    <w:p w:rsidR="00385F6D" w:rsidRPr="00722DF4" w:rsidRDefault="00385F6D" w:rsidP="00282C2A">
      <w:pPr>
        <w:spacing w:after="0"/>
        <w:jc w:val="center"/>
        <w:rPr>
          <w:rFonts w:ascii="Arial" w:hAnsi="Arial" w:cs="Arial"/>
          <w:b/>
          <w:sz w:val="24"/>
          <w:szCs w:val="24"/>
        </w:rPr>
      </w:pPr>
    </w:p>
    <w:p w:rsidR="00385F6D" w:rsidRPr="006B3CE6" w:rsidRDefault="006B3CE6" w:rsidP="006B3CE6">
      <w:pPr>
        <w:spacing w:after="0"/>
        <w:jc w:val="center"/>
        <w:rPr>
          <w:rFonts w:ascii="Arial" w:hAnsi="Arial" w:cs="Arial"/>
          <w:b/>
          <w:sz w:val="36"/>
          <w:szCs w:val="36"/>
          <w:u w:val="single"/>
        </w:rPr>
      </w:pPr>
      <w:r w:rsidRPr="006B3CE6">
        <w:rPr>
          <w:rFonts w:ascii="Arial" w:hAnsi="Arial" w:cs="Arial"/>
          <w:b/>
          <w:sz w:val="36"/>
          <w:szCs w:val="36"/>
          <w:u w:val="single"/>
        </w:rPr>
        <w:t>NACRT</w:t>
      </w:r>
      <w:r w:rsidR="00B66D43">
        <w:rPr>
          <w:rFonts w:ascii="Arial" w:hAnsi="Arial" w:cs="Arial"/>
          <w:b/>
          <w:sz w:val="36"/>
          <w:szCs w:val="36"/>
          <w:u w:val="single"/>
        </w:rPr>
        <w:t xml:space="preserve"> IZVJEŠTAJA</w:t>
      </w:r>
    </w:p>
    <w:p w:rsidR="00385F6D" w:rsidRDefault="00385F6D" w:rsidP="00722DF4">
      <w:pPr>
        <w:spacing w:after="0"/>
        <w:jc w:val="both"/>
        <w:rPr>
          <w:rFonts w:ascii="Arial" w:hAnsi="Arial" w:cs="Arial"/>
          <w:sz w:val="24"/>
          <w:szCs w:val="24"/>
        </w:rPr>
      </w:pPr>
    </w:p>
    <w:p w:rsidR="006B3CE6" w:rsidRDefault="006B3CE6" w:rsidP="00722DF4">
      <w:pPr>
        <w:spacing w:after="0"/>
        <w:jc w:val="both"/>
        <w:rPr>
          <w:rFonts w:ascii="Arial" w:hAnsi="Arial" w:cs="Arial"/>
          <w:sz w:val="24"/>
          <w:szCs w:val="24"/>
        </w:rPr>
      </w:pPr>
    </w:p>
    <w:p w:rsidR="006B3CE6" w:rsidRDefault="006B3CE6" w:rsidP="00722DF4">
      <w:pPr>
        <w:spacing w:after="0"/>
        <w:jc w:val="both"/>
        <w:rPr>
          <w:rFonts w:ascii="Arial" w:hAnsi="Arial" w:cs="Arial"/>
          <w:sz w:val="24"/>
          <w:szCs w:val="24"/>
        </w:rPr>
      </w:pPr>
    </w:p>
    <w:p w:rsidR="006B3CE6" w:rsidRPr="00722DF4" w:rsidRDefault="006B3CE6" w:rsidP="00722DF4">
      <w:pPr>
        <w:spacing w:after="0"/>
        <w:jc w:val="both"/>
        <w:rPr>
          <w:rFonts w:ascii="Arial" w:hAnsi="Arial" w:cs="Arial"/>
          <w:sz w:val="24"/>
          <w:szCs w:val="24"/>
        </w:rPr>
      </w:pPr>
    </w:p>
    <w:p w:rsidR="00385F6D" w:rsidRPr="00722DF4" w:rsidRDefault="00385F6D" w:rsidP="00722DF4">
      <w:pPr>
        <w:spacing w:after="0"/>
        <w:jc w:val="both"/>
        <w:rPr>
          <w:rFonts w:ascii="Arial" w:hAnsi="Arial" w:cs="Arial"/>
          <w:sz w:val="24"/>
          <w:szCs w:val="24"/>
        </w:rPr>
      </w:pPr>
    </w:p>
    <w:p w:rsidR="00385F6D" w:rsidRPr="00B6390F" w:rsidRDefault="00DD13B5" w:rsidP="00B6390F">
      <w:pPr>
        <w:jc w:val="center"/>
        <w:rPr>
          <w:rFonts w:ascii="Arial" w:hAnsi="Arial" w:cs="Arial"/>
          <w:b/>
          <w:sz w:val="24"/>
          <w:szCs w:val="24"/>
          <w:lang w:val="sr-Latn-CS"/>
        </w:rPr>
      </w:pPr>
      <w:r w:rsidRPr="00B6390F">
        <w:rPr>
          <w:rFonts w:ascii="Arial" w:hAnsi="Arial" w:cs="Arial"/>
          <w:b/>
          <w:sz w:val="24"/>
          <w:szCs w:val="24"/>
        </w:rPr>
        <w:t>STRATEŠKA PROCJENA UT</w:t>
      </w:r>
      <w:r w:rsidR="001B7A5B" w:rsidRPr="00B6390F">
        <w:rPr>
          <w:rFonts w:ascii="Arial" w:hAnsi="Arial" w:cs="Arial"/>
          <w:b/>
          <w:sz w:val="24"/>
          <w:szCs w:val="24"/>
        </w:rPr>
        <w:t>ICAJA NA ŽIVOTNU SREDINU DRŽAVNOG PLANA</w:t>
      </w:r>
      <w:r w:rsidR="006B3CE6" w:rsidRPr="00B6390F">
        <w:rPr>
          <w:rFonts w:ascii="Arial" w:hAnsi="Arial" w:cs="Arial"/>
          <w:b/>
          <w:sz w:val="24"/>
          <w:szCs w:val="24"/>
        </w:rPr>
        <w:t xml:space="preserve"> EKSPLO</w:t>
      </w:r>
      <w:r w:rsidR="001B7A5B" w:rsidRPr="00B6390F">
        <w:rPr>
          <w:rFonts w:ascii="Arial" w:hAnsi="Arial" w:cs="Arial"/>
          <w:b/>
          <w:sz w:val="24"/>
          <w:szCs w:val="24"/>
        </w:rPr>
        <w:t>AT</w:t>
      </w:r>
      <w:r w:rsidR="00C01018">
        <w:rPr>
          <w:rFonts w:ascii="Arial" w:hAnsi="Arial" w:cs="Arial"/>
          <w:b/>
          <w:sz w:val="24"/>
          <w:szCs w:val="24"/>
          <w:lang w:val="sr-Latn-CS"/>
        </w:rPr>
        <w:t>A</w:t>
      </w:r>
      <w:r w:rsidR="001B7A5B" w:rsidRPr="00B6390F">
        <w:rPr>
          <w:rFonts w:ascii="Arial" w:hAnsi="Arial" w:cs="Arial"/>
          <w:b/>
          <w:sz w:val="24"/>
          <w:szCs w:val="24"/>
        </w:rPr>
        <w:t>CIJE MINERAL</w:t>
      </w:r>
      <w:r w:rsidR="00692676">
        <w:rPr>
          <w:rFonts w:ascii="Arial" w:hAnsi="Arial" w:cs="Arial"/>
          <w:b/>
          <w:sz w:val="24"/>
          <w:szCs w:val="24"/>
        </w:rPr>
        <w:t>NIH SIROVINA ZA PERIOD 2019-2028</w:t>
      </w:r>
    </w:p>
    <w:p w:rsidR="00385F6D" w:rsidRPr="00722DF4" w:rsidRDefault="00385F6D" w:rsidP="00722DF4">
      <w:pPr>
        <w:spacing w:after="0"/>
        <w:jc w:val="both"/>
        <w:rPr>
          <w:rFonts w:ascii="Arial" w:hAnsi="Arial" w:cs="Arial"/>
          <w:sz w:val="24"/>
          <w:szCs w:val="24"/>
        </w:rPr>
      </w:pPr>
    </w:p>
    <w:p w:rsidR="00385F6D" w:rsidRPr="00722DF4" w:rsidRDefault="00385F6D" w:rsidP="00722DF4">
      <w:pPr>
        <w:spacing w:after="0"/>
        <w:jc w:val="both"/>
        <w:rPr>
          <w:rFonts w:ascii="Arial" w:hAnsi="Arial" w:cs="Arial"/>
          <w:sz w:val="24"/>
          <w:szCs w:val="24"/>
        </w:rPr>
      </w:pPr>
    </w:p>
    <w:p w:rsidR="00385F6D" w:rsidRPr="00722DF4" w:rsidRDefault="00385F6D" w:rsidP="00722DF4">
      <w:pPr>
        <w:spacing w:after="0"/>
        <w:jc w:val="both"/>
        <w:rPr>
          <w:rFonts w:ascii="Arial" w:hAnsi="Arial" w:cs="Arial"/>
          <w:sz w:val="24"/>
          <w:szCs w:val="24"/>
        </w:rPr>
      </w:pPr>
    </w:p>
    <w:p w:rsidR="00385F6D" w:rsidRDefault="00385F6D" w:rsidP="00722DF4">
      <w:pPr>
        <w:spacing w:after="0"/>
        <w:jc w:val="both"/>
        <w:rPr>
          <w:rFonts w:ascii="Arial" w:hAnsi="Arial" w:cs="Arial"/>
          <w:sz w:val="24"/>
          <w:szCs w:val="24"/>
        </w:rPr>
      </w:pPr>
    </w:p>
    <w:p w:rsidR="006B3CE6" w:rsidRDefault="006B3CE6" w:rsidP="00722DF4">
      <w:pPr>
        <w:spacing w:after="0"/>
        <w:jc w:val="both"/>
        <w:rPr>
          <w:rFonts w:ascii="Arial" w:hAnsi="Arial" w:cs="Arial"/>
          <w:sz w:val="24"/>
          <w:szCs w:val="24"/>
        </w:rPr>
      </w:pPr>
    </w:p>
    <w:p w:rsidR="006B3CE6" w:rsidRDefault="006B3CE6" w:rsidP="00722DF4">
      <w:pPr>
        <w:spacing w:after="0"/>
        <w:jc w:val="both"/>
        <w:rPr>
          <w:rFonts w:ascii="Arial" w:hAnsi="Arial" w:cs="Arial"/>
          <w:sz w:val="24"/>
          <w:szCs w:val="24"/>
        </w:rPr>
      </w:pPr>
    </w:p>
    <w:p w:rsidR="006B3CE6" w:rsidRDefault="006B3CE6" w:rsidP="00722DF4">
      <w:pPr>
        <w:spacing w:after="0"/>
        <w:jc w:val="both"/>
        <w:rPr>
          <w:rFonts w:ascii="Arial" w:hAnsi="Arial" w:cs="Arial"/>
          <w:sz w:val="24"/>
          <w:szCs w:val="24"/>
        </w:rPr>
      </w:pPr>
    </w:p>
    <w:p w:rsidR="006B3CE6" w:rsidRPr="00722DF4" w:rsidRDefault="006B3CE6" w:rsidP="00722DF4">
      <w:pPr>
        <w:spacing w:after="0"/>
        <w:jc w:val="both"/>
        <w:rPr>
          <w:rFonts w:ascii="Arial" w:hAnsi="Arial" w:cs="Arial"/>
          <w:sz w:val="24"/>
          <w:szCs w:val="24"/>
        </w:rPr>
      </w:pPr>
    </w:p>
    <w:p w:rsidR="00385F6D" w:rsidRPr="00722DF4" w:rsidRDefault="00385F6D" w:rsidP="00722DF4">
      <w:pPr>
        <w:spacing w:after="0"/>
        <w:jc w:val="both"/>
        <w:rPr>
          <w:rFonts w:ascii="Arial" w:hAnsi="Arial" w:cs="Arial"/>
          <w:sz w:val="24"/>
          <w:szCs w:val="24"/>
        </w:rPr>
      </w:pPr>
    </w:p>
    <w:p w:rsidR="00385F6D" w:rsidRPr="006B3CE6" w:rsidRDefault="006B3CE6" w:rsidP="00722DF4">
      <w:pPr>
        <w:spacing w:after="0"/>
        <w:jc w:val="both"/>
        <w:rPr>
          <w:rFonts w:ascii="Arial" w:hAnsi="Arial" w:cs="Arial"/>
          <w:b/>
          <w:sz w:val="24"/>
          <w:szCs w:val="24"/>
        </w:rPr>
      </w:pPr>
      <w:r w:rsidRPr="006B3CE6">
        <w:rPr>
          <w:rFonts w:ascii="Arial" w:hAnsi="Arial" w:cs="Arial"/>
          <w:b/>
          <w:sz w:val="24"/>
          <w:szCs w:val="24"/>
        </w:rPr>
        <w:t>Radni tim:</w:t>
      </w:r>
    </w:p>
    <w:p w:rsidR="006B3CE6" w:rsidRDefault="006B3CE6" w:rsidP="00722DF4">
      <w:pPr>
        <w:spacing w:after="0"/>
        <w:jc w:val="both"/>
        <w:rPr>
          <w:rFonts w:ascii="Arial" w:hAnsi="Arial" w:cs="Arial"/>
          <w:sz w:val="24"/>
          <w:szCs w:val="24"/>
        </w:rPr>
      </w:pPr>
    </w:p>
    <w:p w:rsidR="006B3CE6" w:rsidRDefault="006B3CE6" w:rsidP="00722DF4">
      <w:pPr>
        <w:spacing w:after="0"/>
        <w:jc w:val="both"/>
        <w:rPr>
          <w:rFonts w:ascii="Arial" w:hAnsi="Arial" w:cs="Arial"/>
          <w:sz w:val="24"/>
          <w:szCs w:val="24"/>
        </w:rPr>
      </w:pPr>
      <w:r>
        <w:rPr>
          <w:rFonts w:ascii="Arial" w:hAnsi="Arial" w:cs="Arial"/>
          <w:sz w:val="24"/>
          <w:szCs w:val="24"/>
        </w:rPr>
        <w:t>1. Dina Skarep, dipl. ing. geol., vođa tima</w:t>
      </w:r>
    </w:p>
    <w:p w:rsidR="006B3CE6" w:rsidRDefault="006B3CE6" w:rsidP="00722DF4">
      <w:pPr>
        <w:spacing w:after="0"/>
        <w:jc w:val="both"/>
        <w:rPr>
          <w:rFonts w:ascii="Arial" w:hAnsi="Arial" w:cs="Arial"/>
          <w:sz w:val="24"/>
          <w:szCs w:val="24"/>
        </w:rPr>
      </w:pPr>
      <w:r>
        <w:rPr>
          <w:rFonts w:ascii="Arial" w:hAnsi="Arial" w:cs="Arial"/>
          <w:sz w:val="24"/>
          <w:szCs w:val="24"/>
        </w:rPr>
        <w:t>2. Dragan Radojević, dipl.ing.geol.</w:t>
      </w:r>
    </w:p>
    <w:p w:rsidR="006B3CE6" w:rsidRPr="00722DF4" w:rsidRDefault="006B3CE6" w:rsidP="00722DF4">
      <w:pPr>
        <w:spacing w:after="0"/>
        <w:jc w:val="both"/>
        <w:rPr>
          <w:rFonts w:ascii="Arial" w:hAnsi="Arial" w:cs="Arial"/>
          <w:sz w:val="24"/>
          <w:szCs w:val="24"/>
        </w:rPr>
      </w:pPr>
      <w:r>
        <w:rPr>
          <w:rFonts w:ascii="Arial" w:hAnsi="Arial" w:cs="Arial"/>
          <w:sz w:val="24"/>
          <w:szCs w:val="24"/>
        </w:rPr>
        <w:t>3. Dr Danka Petrović Caković</w:t>
      </w:r>
    </w:p>
    <w:p w:rsidR="00385F6D" w:rsidRPr="00722DF4" w:rsidRDefault="00385F6D" w:rsidP="00722DF4">
      <w:pPr>
        <w:spacing w:after="0"/>
        <w:jc w:val="both"/>
        <w:rPr>
          <w:rFonts w:ascii="Arial" w:hAnsi="Arial" w:cs="Arial"/>
          <w:sz w:val="24"/>
          <w:szCs w:val="24"/>
        </w:rPr>
      </w:pPr>
    </w:p>
    <w:p w:rsidR="00385F6D" w:rsidRDefault="00385F6D" w:rsidP="00722DF4">
      <w:pPr>
        <w:spacing w:after="0"/>
        <w:jc w:val="both"/>
        <w:rPr>
          <w:rFonts w:ascii="Arial" w:hAnsi="Arial" w:cs="Arial"/>
          <w:b/>
          <w:sz w:val="24"/>
          <w:szCs w:val="24"/>
        </w:rPr>
      </w:pPr>
    </w:p>
    <w:p w:rsidR="006B3CE6" w:rsidRDefault="006B3CE6" w:rsidP="00722DF4">
      <w:pPr>
        <w:spacing w:after="0"/>
        <w:jc w:val="both"/>
        <w:rPr>
          <w:rFonts w:ascii="Arial" w:hAnsi="Arial" w:cs="Arial"/>
          <w:b/>
          <w:sz w:val="24"/>
          <w:szCs w:val="24"/>
        </w:rPr>
      </w:pPr>
    </w:p>
    <w:p w:rsidR="006B3CE6" w:rsidRDefault="006B3CE6" w:rsidP="00722DF4">
      <w:pPr>
        <w:spacing w:after="0"/>
        <w:jc w:val="both"/>
        <w:rPr>
          <w:rFonts w:ascii="Arial" w:hAnsi="Arial" w:cs="Arial"/>
          <w:b/>
          <w:sz w:val="24"/>
          <w:szCs w:val="24"/>
        </w:rPr>
      </w:pPr>
    </w:p>
    <w:p w:rsidR="006B3CE6" w:rsidRDefault="006B3CE6" w:rsidP="00722DF4">
      <w:pPr>
        <w:spacing w:after="0"/>
        <w:jc w:val="both"/>
        <w:rPr>
          <w:rFonts w:ascii="Arial" w:hAnsi="Arial" w:cs="Arial"/>
          <w:b/>
          <w:sz w:val="24"/>
          <w:szCs w:val="24"/>
        </w:rPr>
      </w:pPr>
    </w:p>
    <w:p w:rsidR="006B3CE6" w:rsidRDefault="006B3CE6" w:rsidP="00722DF4">
      <w:pPr>
        <w:spacing w:after="0"/>
        <w:jc w:val="both"/>
        <w:rPr>
          <w:rFonts w:ascii="Arial" w:hAnsi="Arial" w:cs="Arial"/>
          <w:b/>
          <w:sz w:val="24"/>
          <w:szCs w:val="24"/>
        </w:rPr>
      </w:pPr>
    </w:p>
    <w:p w:rsidR="006B3CE6" w:rsidRDefault="006B3CE6" w:rsidP="00722DF4">
      <w:pPr>
        <w:spacing w:after="0"/>
        <w:jc w:val="both"/>
        <w:rPr>
          <w:rFonts w:ascii="Arial" w:hAnsi="Arial" w:cs="Arial"/>
          <w:b/>
          <w:sz w:val="24"/>
          <w:szCs w:val="24"/>
        </w:rPr>
      </w:pPr>
    </w:p>
    <w:p w:rsidR="006B3CE6" w:rsidRDefault="006B3CE6" w:rsidP="00722DF4">
      <w:pPr>
        <w:spacing w:after="0"/>
        <w:jc w:val="both"/>
        <w:rPr>
          <w:rFonts w:ascii="Arial" w:hAnsi="Arial" w:cs="Arial"/>
          <w:b/>
          <w:sz w:val="24"/>
          <w:szCs w:val="24"/>
        </w:rPr>
      </w:pPr>
    </w:p>
    <w:p w:rsidR="006B3CE6" w:rsidRDefault="006B3CE6" w:rsidP="00722DF4">
      <w:pPr>
        <w:spacing w:after="0"/>
        <w:jc w:val="both"/>
        <w:rPr>
          <w:rFonts w:ascii="Arial" w:hAnsi="Arial" w:cs="Arial"/>
          <w:b/>
          <w:sz w:val="24"/>
          <w:szCs w:val="24"/>
        </w:rPr>
      </w:pPr>
    </w:p>
    <w:p w:rsidR="006B3CE6" w:rsidRDefault="006B3CE6" w:rsidP="006B3CE6">
      <w:pPr>
        <w:spacing w:after="0"/>
        <w:jc w:val="center"/>
        <w:rPr>
          <w:rFonts w:ascii="Arial" w:hAnsi="Arial" w:cs="Arial"/>
          <w:b/>
          <w:sz w:val="24"/>
          <w:szCs w:val="24"/>
        </w:rPr>
      </w:pPr>
    </w:p>
    <w:p w:rsidR="00231FAD" w:rsidRDefault="00231FAD" w:rsidP="006B3CE6">
      <w:pPr>
        <w:spacing w:after="0"/>
        <w:jc w:val="center"/>
        <w:rPr>
          <w:rFonts w:ascii="Arial" w:hAnsi="Arial" w:cs="Arial"/>
          <w:b/>
          <w:sz w:val="24"/>
          <w:szCs w:val="24"/>
        </w:rPr>
      </w:pPr>
    </w:p>
    <w:p w:rsidR="00231FAD" w:rsidRDefault="00231FAD" w:rsidP="006B3CE6">
      <w:pPr>
        <w:spacing w:after="0"/>
        <w:jc w:val="center"/>
        <w:rPr>
          <w:rFonts w:ascii="Arial" w:hAnsi="Arial" w:cs="Arial"/>
          <w:b/>
          <w:sz w:val="24"/>
          <w:szCs w:val="24"/>
        </w:rPr>
      </w:pPr>
    </w:p>
    <w:p w:rsidR="00231FAD" w:rsidRDefault="00231FAD" w:rsidP="006B3CE6">
      <w:pPr>
        <w:spacing w:after="0"/>
        <w:jc w:val="center"/>
        <w:rPr>
          <w:rFonts w:ascii="Arial" w:hAnsi="Arial" w:cs="Arial"/>
          <w:b/>
          <w:sz w:val="24"/>
          <w:szCs w:val="24"/>
        </w:rPr>
      </w:pPr>
    </w:p>
    <w:p w:rsidR="00231FAD" w:rsidRDefault="00231FAD" w:rsidP="006B3CE6">
      <w:pPr>
        <w:spacing w:after="0"/>
        <w:jc w:val="center"/>
        <w:rPr>
          <w:rFonts w:ascii="Arial" w:hAnsi="Arial" w:cs="Arial"/>
          <w:b/>
          <w:sz w:val="24"/>
          <w:szCs w:val="24"/>
        </w:rPr>
      </w:pPr>
    </w:p>
    <w:p w:rsidR="00231FAD" w:rsidRPr="00722DF4" w:rsidRDefault="00231FAD" w:rsidP="006B3CE6">
      <w:pPr>
        <w:spacing w:after="0"/>
        <w:jc w:val="center"/>
        <w:rPr>
          <w:rFonts w:ascii="Arial" w:hAnsi="Arial" w:cs="Arial"/>
          <w:b/>
          <w:sz w:val="24"/>
          <w:szCs w:val="24"/>
        </w:rPr>
      </w:pPr>
    </w:p>
    <w:p w:rsidR="00385F6D" w:rsidRPr="00722DF4" w:rsidRDefault="00692676" w:rsidP="006B3CE6">
      <w:pPr>
        <w:spacing w:after="0"/>
        <w:jc w:val="center"/>
        <w:rPr>
          <w:rFonts w:ascii="Arial" w:hAnsi="Arial" w:cs="Arial"/>
          <w:b/>
          <w:sz w:val="24"/>
          <w:szCs w:val="24"/>
        </w:rPr>
      </w:pPr>
      <w:r>
        <w:rPr>
          <w:rFonts w:ascii="Arial" w:hAnsi="Arial" w:cs="Arial"/>
          <w:b/>
          <w:sz w:val="24"/>
          <w:szCs w:val="24"/>
        </w:rPr>
        <w:t>Podgorica, april</w:t>
      </w:r>
      <w:r w:rsidR="007D2D4D" w:rsidRPr="00722DF4">
        <w:rPr>
          <w:rFonts w:ascii="Arial" w:hAnsi="Arial" w:cs="Arial"/>
          <w:b/>
          <w:sz w:val="24"/>
          <w:szCs w:val="24"/>
        </w:rPr>
        <w:t xml:space="preserve"> </w:t>
      </w:r>
      <w:r w:rsidR="3B4348E7" w:rsidRPr="00722DF4">
        <w:rPr>
          <w:rFonts w:ascii="Arial" w:hAnsi="Arial" w:cs="Arial"/>
          <w:b/>
          <w:sz w:val="24"/>
          <w:szCs w:val="24"/>
        </w:rPr>
        <w:t>201</w:t>
      </w:r>
      <w:r w:rsidR="00D569C8">
        <w:rPr>
          <w:rFonts w:ascii="Arial" w:hAnsi="Arial" w:cs="Arial"/>
          <w:b/>
          <w:sz w:val="24"/>
          <w:szCs w:val="24"/>
        </w:rPr>
        <w:t>9</w:t>
      </w:r>
      <w:r w:rsidR="3B4348E7" w:rsidRPr="00722DF4">
        <w:rPr>
          <w:rFonts w:ascii="Arial" w:hAnsi="Arial" w:cs="Arial"/>
          <w:b/>
          <w:sz w:val="24"/>
          <w:szCs w:val="24"/>
        </w:rPr>
        <w:t>. godine</w:t>
      </w:r>
    </w:p>
    <w:p w:rsidR="0048436C" w:rsidRPr="00722DF4" w:rsidRDefault="0048436C" w:rsidP="00722DF4">
      <w:pPr>
        <w:pStyle w:val="T30X"/>
        <w:spacing w:before="0" w:after="0" w:line="276" w:lineRule="auto"/>
        <w:rPr>
          <w:rFonts w:ascii="Arial" w:hAnsi="Arial" w:cs="Arial"/>
          <w:sz w:val="24"/>
          <w:szCs w:val="24"/>
        </w:rPr>
      </w:pPr>
    </w:p>
    <w:p w:rsidR="00EB41DB" w:rsidRPr="00722DF4" w:rsidRDefault="00EB41DB" w:rsidP="00722DF4">
      <w:pPr>
        <w:pStyle w:val="T30X"/>
        <w:spacing w:before="0" w:after="0" w:line="276" w:lineRule="auto"/>
        <w:rPr>
          <w:rFonts w:ascii="Arial" w:hAnsi="Arial" w:cs="Arial"/>
          <w:sz w:val="24"/>
          <w:szCs w:val="24"/>
        </w:rPr>
      </w:pPr>
    </w:p>
    <w:p w:rsidR="00B708F8" w:rsidRPr="00B708F8" w:rsidRDefault="0091433D">
      <w:pPr>
        <w:pStyle w:val="TOC1"/>
        <w:tabs>
          <w:tab w:val="right" w:leader="dot" w:pos="9017"/>
        </w:tabs>
        <w:rPr>
          <w:rFonts w:ascii="Arial" w:eastAsiaTheme="minorEastAsia" w:hAnsi="Arial" w:cs="Arial"/>
          <w:noProof/>
        </w:rPr>
      </w:pPr>
      <w:r w:rsidRPr="00B708F8">
        <w:rPr>
          <w:rFonts w:ascii="Arial" w:hAnsi="Arial" w:cs="Arial"/>
        </w:rPr>
        <w:fldChar w:fldCharType="begin"/>
      </w:r>
      <w:r w:rsidR="006B3CE6" w:rsidRPr="00B708F8">
        <w:rPr>
          <w:rFonts w:ascii="Arial" w:hAnsi="Arial" w:cs="Arial"/>
        </w:rPr>
        <w:instrText xml:space="preserve"> TOC \o "1-3" \h \z \u </w:instrText>
      </w:r>
      <w:r w:rsidRPr="00B708F8">
        <w:rPr>
          <w:rFonts w:ascii="Arial" w:hAnsi="Arial" w:cs="Arial"/>
        </w:rPr>
        <w:fldChar w:fldCharType="separate"/>
      </w:r>
      <w:hyperlink w:anchor="_Toc6172796" w:history="1">
        <w:r w:rsidR="00B708F8" w:rsidRPr="00B708F8">
          <w:rPr>
            <w:rStyle w:val="Hyperlink"/>
            <w:rFonts w:ascii="Arial" w:hAnsi="Arial" w:cs="Arial"/>
            <w:noProof/>
          </w:rPr>
          <w:t>I UVOD</w:t>
        </w:r>
        <w:r w:rsidR="00B708F8" w:rsidRPr="00B708F8">
          <w:rPr>
            <w:rFonts w:ascii="Arial" w:hAnsi="Arial" w:cs="Arial"/>
            <w:noProof/>
            <w:webHidden/>
          </w:rPr>
          <w:tab/>
        </w:r>
        <w:r w:rsidRPr="00B708F8">
          <w:rPr>
            <w:rFonts w:ascii="Arial" w:hAnsi="Arial" w:cs="Arial"/>
            <w:noProof/>
            <w:webHidden/>
          </w:rPr>
          <w:fldChar w:fldCharType="begin"/>
        </w:r>
        <w:r w:rsidR="00B708F8" w:rsidRPr="00B708F8">
          <w:rPr>
            <w:rFonts w:ascii="Arial" w:hAnsi="Arial" w:cs="Arial"/>
            <w:noProof/>
            <w:webHidden/>
          </w:rPr>
          <w:instrText xml:space="preserve"> PAGEREF _Toc6172796 \h </w:instrText>
        </w:r>
        <w:r w:rsidRPr="00B708F8">
          <w:rPr>
            <w:rFonts w:ascii="Arial" w:hAnsi="Arial" w:cs="Arial"/>
            <w:noProof/>
            <w:webHidden/>
          </w:rPr>
        </w:r>
        <w:r w:rsidRPr="00B708F8">
          <w:rPr>
            <w:rFonts w:ascii="Arial" w:hAnsi="Arial" w:cs="Arial"/>
            <w:noProof/>
            <w:webHidden/>
          </w:rPr>
          <w:fldChar w:fldCharType="separate"/>
        </w:r>
        <w:r w:rsidR="00B708F8" w:rsidRPr="00B708F8">
          <w:rPr>
            <w:rFonts w:ascii="Arial" w:hAnsi="Arial" w:cs="Arial"/>
            <w:noProof/>
            <w:webHidden/>
          </w:rPr>
          <w:t>5</w:t>
        </w:r>
        <w:r w:rsidRPr="00B708F8">
          <w:rPr>
            <w:rFonts w:ascii="Arial" w:hAnsi="Arial" w:cs="Arial"/>
            <w:noProof/>
            <w:webHidden/>
          </w:rPr>
          <w:fldChar w:fldCharType="end"/>
        </w:r>
      </w:hyperlink>
    </w:p>
    <w:p w:rsidR="00B708F8" w:rsidRPr="00B708F8" w:rsidRDefault="00596F9E">
      <w:pPr>
        <w:pStyle w:val="TOC1"/>
        <w:tabs>
          <w:tab w:val="left" w:pos="440"/>
          <w:tab w:val="right" w:leader="dot" w:pos="9017"/>
        </w:tabs>
        <w:rPr>
          <w:rFonts w:ascii="Arial" w:eastAsiaTheme="minorEastAsia" w:hAnsi="Arial" w:cs="Arial"/>
          <w:noProof/>
        </w:rPr>
      </w:pPr>
      <w:hyperlink w:anchor="_Toc6172797" w:history="1">
        <w:r w:rsidR="00B708F8" w:rsidRPr="00B708F8">
          <w:rPr>
            <w:rStyle w:val="Hyperlink"/>
            <w:rFonts w:ascii="Arial" w:hAnsi="Arial" w:cs="Arial"/>
            <w:noProof/>
          </w:rPr>
          <w:t>1.</w:t>
        </w:r>
        <w:r w:rsidR="00B708F8" w:rsidRPr="00B708F8">
          <w:rPr>
            <w:rFonts w:ascii="Arial" w:eastAsiaTheme="minorEastAsia" w:hAnsi="Arial" w:cs="Arial"/>
            <w:noProof/>
          </w:rPr>
          <w:tab/>
        </w:r>
        <w:r w:rsidR="00B708F8" w:rsidRPr="00B708F8">
          <w:rPr>
            <w:rStyle w:val="Hyperlink"/>
            <w:rFonts w:ascii="Arial" w:hAnsi="Arial" w:cs="Arial"/>
            <w:noProof/>
          </w:rPr>
          <w:t xml:space="preserve">KRATAK PREGLED SADRŽAJA I GLAVNIH CILJEVA </w:t>
        </w:r>
        <w:r w:rsidR="00B708F8" w:rsidRPr="00B708F8">
          <w:rPr>
            <w:rStyle w:val="Hyperlink"/>
            <w:rFonts w:ascii="Arial" w:hAnsi="Arial" w:cs="Arial"/>
            <w:noProof/>
            <w:lang w:val="sr-Latn-CS"/>
          </w:rPr>
          <w:t>PLANA</w:t>
        </w:r>
        <w:r w:rsidR="00B708F8" w:rsidRPr="00B708F8">
          <w:rPr>
            <w:rStyle w:val="Hyperlink"/>
            <w:rFonts w:ascii="Arial" w:hAnsi="Arial" w:cs="Arial"/>
            <w:noProof/>
          </w:rPr>
          <w:t xml:space="preserve"> I ODNOS PREMA DRUGIM PLANOVIMA I PROGRAMIMA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_Toc6172797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7</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798" w:history="1">
        <w:r w:rsidR="00B708F8" w:rsidRPr="00B708F8">
          <w:rPr>
            <w:rStyle w:val="Hyperlink"/>
            <w:rFonts w:ascii="Arial" w:hAnsi="Arial" w:cs="Arial"/>
            <w:noProof/>
            <w:lang w:val="sr-Latn-CS"/>
          </w:rPr>
          <w:t xml:space="preserve">1.1. </w:t>
        </w:r>
        <w:r w:rsidR="00B708F8" w:rsidRPr="00B708F8">
          <w:rPr>
            <w:rStyle w:val="Hyperlink"/>
            <w:rFonts w:ascii="Arial" w:hAnsi="Arial" w:cs="Arial"/>
            <w:noProof/>
          </w:rPr>
          <w:t>Pregled sadržaja i ciljeva plana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_Toc6172798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7</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799" w:history="1">
        <w:r w:rsidR="00B708F8" w:rsidRPr="00B708F8">
          <w:rPr>
            <w:rStyle w:val="Hyperlink"/>
            <w:rFonts w:ascii="Arial" w:hAnsi="Arial" w:cs="Arial"/>
            <w:noProof/>
            <w:lang w:val="sr-Latn-CS"/>
          </w:rPr>
          <w:t xml:space="preserve">1.1.1. </w:t>
        </w:r>
        <w:r w:rsidR="00B708F8" w:rsidRPr="00B708F8">
          <w:rPr>
            <w:rStyle w:val="Hyperlink"/>
            <w:rFonts w:ascii="Arial" w:hAnsi="Arial" w:cs="Arial"/>
            <w:noProof/>
          </w:rPr>
          <w:t>Pravni status plana, period na koji se on odnosi i geografski obuhvat</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_Toc6172799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7</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00" w:history="1">
        <w:r w:rsidR="00B708F8" w:rsidRPr="00B708F8">
          <w:rPr>
            <w:rStyle w:val="Hyperlink"/>
            <w:rFonts w:ascii="Arial" w:hAnsi="Arial" w:cs="Arial"/>
            <w:noProof/>
          </w:rPr>
          <w:t>1.1.2. Postojeće stanje korišćenja mineralnih sirovina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_Toc6172800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8</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01" w:history="1">
        <w:r w:rsidR="00B708F8" w:rsidRPr="00B708F8">
          <w:rPr>
            <w:rStyle w:val="Hyperlink"/>
            <w:rFonts w:ascii="Arial" w:hAnsi="Arial" w:cs="Arial"/>
            <w:noProof/>
          </w:rPr>
          <w:t>1.1.3. Smjernice za eksploataciju mineralnih sirovina u funkciji održivog razvoja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_Toc6172801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11</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02" w:history="1">
        <w:r w:rsidR="00B708F8" w:rsidRPr="00B708F8">
          <w:rPr>
            <w:rStyle w:val="Hyperlink"/>
            <w:rFonts w:ascii="Arial" w:hAnsi="Arial" w:cs="Arial"/>
            <w:noProof/>
            <w:lang w:val="sr-Latn-CS"/>
          </w:rPr>
          <w:t xml:space="preserve">1.2. </w:t>
        </w:r>
        <w:r w:rsidR="00B708F8" w:rsidRPr="00B708F8">
          <w:rPr>
            <w:rStyle w:val="Hyperlink"/>
            <w:rFonts w:ascii="Arial" w:hAnsi="Arial" w:cs="Arial"/>
            <w:noProof/>
          </w:rPr>
          <w:t>Pregled raspoloživih mineralnih sirovina i stepen istraženosti</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_Toc6172802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14</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03" w:history="1">
        <w:r w:rsidR="00B708F8" w:rsidRPr="00B708F8">
          <w:rPr>
            <w:rStyle w:val="Hyperlink"/>
            <w:rFonts w:ascii="Arial" w:hAnsi="Arial" w:cs="Arial"/>
            <w:noProof/>
            <w:lang w:val="sr-Latn-CS"/>
          </w:rPr>
          <w:t xml:space="preserve">1.2.1. </w:t>
        </w:r>
        <w:r w:rsidR="00B708F8" w:rsidRPr="00B708F8">
          <w:rPr>
            <w:rStyle w:val="Hyperlink"/>
            <w:rFonts w:ascii="Arial" w:hAnsi="Arial" w:cs="Arial"/>
            <w:noProof/>
          </w:rPr>
          <w:t>Metalične mineralne sirovine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_Toc6172803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14</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04" w:history="1">
        <w:r w:rsidR="00B708F8" w:rsidRPr="00B708F8">
          <w:rPr>
            <w:rStyle w:val="Hyperlink"/>
            <w:rFonts w:ascii="Arial" w:hAnsi="Arial" w:cs="Arial"/>
            <w:noProof/>
          </w:rPr>
          <w:t>1.</w:t>
        </w:r>
        <w:r w:rsidR="00B708F8" w:rsidRPr="00B708F8">
          <w:rPr>
            <w:rStyle w:val="Hyperlink"/>
            <w:rFonts w:ascii="Arial" w:hAnsi="Arial" w:cs="Arial"/>
            <w:noProof/>
            <w:lang w:val="sr-Latn-CS"/>
          </w:rPr>
          <w:t>2</w:t>
        </w:r>
        <w:r w:rsidR="00B708F8" w:rsidRPr="00B708F8">
          <w:rPr>
            <w:rStyle w:val="Hyperlink"/>
            <w:rFonts w:ascii="Arial" w:hAnsi="Arial" w:cs="Arial"/>
            <w:noProof/>
          </w:rPr>
          <w:t>.2. Nemetalične mineralne sirovine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_Toc6172804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19</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05" w:history="1">
        <w:r w:rsidR="00B708F8" w:rsidRPr="00B708F8">
          <w:rPr>
            <w:rStyle w:val="Hyperlink"/>
            <w:rFonts w:ascii="Arial" w:hAnsi="Arial" w:cs="Arial"/>
            <w:noProof/>
          </w:rPr>
          <w:t>1.3. Vrste, kvalitet, obim i namjena mineralnih sirovina koje se eksploatišu i planiraju za ekploataciju</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_Toc6172805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33</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06" w:history="1">
        <w:r w:rsidR="00B708F8" w:rsidRPr="00B708F8">
          <w:rPr>
            <w:rStyle w:val="Hyperlink"/>
            <w:rFonts w:ascii="Arial" w:hAnsi="Arial" w:cs="Arial"/>
            <w:noProof/>
          </w:rPr>
          <w:t xml:space="preserve">1.3.1. </w:t>
        </w:r>
        <w:r w:rsidR="00B708F8" w:rsidRPr="00B708F8">
          <w:rPr>
            <w:rStyle w:val="Hyperlink"/>
            <w:rFonts w:ascii="Arial" w:hAnsi="Arial" w:cs="Arial"/>
            <w:noProof/>
            <w:lang w:val="sr-Latn-CS"/>
          </w:rPr>
          <w:t>Projekcija eksploatacije uglja u Crnoj Gori za period 2019-2028. godine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_Toc6172806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34</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07" w:history="1">
        <w:r w:rsidR="00B708F8" w:rsidRPr="00B708F8">
          <w:rPr>
            <w:rStyle w:val="Hyperlink"/>
            <w:rFonts w:ascii="Arial" w:hAnsi="Arial" w:cs="Arial"/>
            <w:noProof/>
          </w:rPr>
          <w:t>1.3.</w:t>
        </w:r>
        <w:r w:rsidR="00B708F8" w:rsidRPr="00B708F8">
          <w:rPr>
            <w:rStyle w:val="Hyperlink"/>
            <w:rFonts w:ascii="Arial" w:hAnsi="Arial" w:cs="Arial"/>
            <w:noProof/>
            <w:lang w:val="sr-Latn-CS"/>
          </w:rPr>
          <w:t>2</w:t>
        </w:r>
        <w:r w:rsidR="00B708F8" w:rsidRPr="00B708F8">
          <w:rPr>
            <w:rStyle w:val="Hyperlink"/>
            <w:rFonts w:ascii="Arial" w:hAnsi="Arial" w:cs="Arial"/>
            <w:noProof/>
          </w:rPr>
          <w:t>. Nemetalične mineralne sirovine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_Toc6172807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42</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08" w:history="1">
        <w:r w:rsidR="00B708F8" w:rsidRPr="00B708F8">
          <w:rPr>
            <w:rStyle w:val="Hyperlink"/>
            <w:rFonts w:ascii="Arial" w:hAnsi="Arial" w:cs="Arial"/>
            <w:noProof/>
          </w:rPr>
          <w:t>1.4. Osnovne smjernice</w:t>
        </w:r>
        <w:r w:rsidR="00B708F8" w:rsidRPr="00B708F8">
          <w:rPr>
            <w:rStyle w:val="Hyperlink"/>
            <w:rFonts w:ascii="Arial" w:hAnsi="Arial" w:cs="Arial"/>
            <w:noProof/>
            <w:lang w:val="sr-Latn-CS"/>
          </w:rPr>
          <w:t xml:space="preserve"> </w:t>
        </w:r>
        <w:r w:rsidR="00B708F8" w:rsidRPr="00B708F8">
          <w:rPr>
            <w:rStyle w:val="Hyperlink"/>
            <w:rFonts w:ascii="Arial" w:hAnsi="Arial" w:cs="Arial"/>
            <w:noProof/>
          </w:rPr>
          <w:t>- parametri za stratešku procjenu uticaja na životnu sredinu</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_Toc6172808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50</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09" w:history="1">
        <w:r w:rsidR="00B708F8" w:rsidRPr="00B708F8">
          <w:rPr>
            <w:rStyle w:val="Hyperlink"/>
            <w:rFonts w:ascii="Arial" w:hAnsi="Arial" w:cs="Arial"/>
            <w:noProof/>
          </w:rPr>
          <w:t>2. OPIS POSTOJEĆEG STANJA ŽIVOTNE SREDINE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_Toc6172809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53</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10" w:history="1">
        <w:r w:rsidR="00B708F8" w:rsidRPr="00B708F8">
          <w:rPr>
            <w:rStyle w:val="Hyperlink"/>
            <w:rFonts w:ascii="Arial" w:hAnsi="Arial" w:cs="Arial"/>
            <w:noProof/>
          </w:rPr>
          <w:t>2.1. Kvalitet vazduha i klimatske promjene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_Toc6172810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53</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11" w:history="1">
        <w:r w:rsidR="00B708F8" w:rsidRPr="00B708F8">
          <w:rPr>
            <w:rStyle w:val="Hyperlink"/>
            <w:rFonts w:ascii="Arial" w:hAnsi="Arial" w:cs="Arial"/>
            <w:noProof/>
          </w:rPr>
          <w:t>2.1.1 Kvalitet vazduha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_Toc6172811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53</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12" w:history="1">
        <w:r w:rsidR="00B708F8" w:rsidRPr="00B708F8">
          <w:rPr>
            <w:rStyle w:val="Hyperlink"/>
            <w:rFonts w:ascii="Arial" w:hAnsi="Arial" w:cs="Arial"/>
            <w:noProof/>
          </w:rPr>
          <w:t>2.1.2 Klima i klimatske promjene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_Toc6172812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57</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13" w:history="1">
        <w:r w:rsidR="00B708F8" w:rsidRPr="00B708F8">
          <w:rPr>
            <w:rStyle w:val="Hyperlink"/>
            <w:rFonts w:ascii="Arial" w:hAnsi="Arial" w:cs="Arial"/>
            <w:noProof/>
          </w:rPr>
          <w:t>2.3. Geološke i hidrogeološke karakteristike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_Toc6172813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75</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14" w:history="1">
        <w:r w:rsidR="00B708F8" w:rsidRPr="00B708F8">
          <w:rPr>
            <w:rStyle w:val="Hyperlink"/>
            <w:rFonts w:ascii="Arial" w:hAnsi="Arial" w:cs="Arial"/>
            <w:noProof/>
          </w:rPr>
          <w:t>2.3.1. Geološke karakteristike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_Toc6172814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75</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15" w:history="1">
        <w:r w:rsidR="00B708F8" w:rsidRPr="00B708F8">
          <w:rPr>
            <w:rStyle w:val="Hyperlink"/>
            <w:rFonts w:ascii="Arial" w:hAnsi="Arial" w:cs="Arial"/>
            <w:noProof/>
          </w:rPr>
          <w:t>2.3.2. Tektonski sklop</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_Toc6172815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80</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16" w:history="1">
        <w:r w:rsidR="00B708F8" w:rsidRPr="00B708F8">
          <w:rPr>
            <w:rStyle w:val="Hyperlink"/>
            <w:rFonts w:ascii="Arial" w:hAnsi="Arial" w:cs="Arial"/>
            <w:noProof/>
          </w:rPr>
          <w:t>2.3.3. Seizmičnost</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_Toc6172816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82</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17" w:history="1">
        <w:r w:rsidR="00B708F8" w:rsidRPr="00B708F8">
          <w:rPr>
            <w:rStyle w:val="Hyperlink"/>
            <w:rFonts w:ascii="Arial" w:hAnsi="Arial" w:cs="Arial"/>
            <w:noProof/>
          </w:rPr>
          <w:t>2.3.4. Hidrogeološke karakteristike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_Toc6172817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84</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18" w:history="1">
        <w:r w:rsidR="00B708F8" w:rsidRPr="00B708F8">
          <w:rPr>
            <w:rStyle w:val="Hyperlink"/>
            <w:rFonts w:ascii="Arial" w:hAnsi="Arial" w:cs="Arial"/>
            <w:noProof/>
          </w:rPr>
          <w:t>2.4. Zemljište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_Toc6172818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87</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19" w:history="1">
        <w:r w:rsidR="00B708F8" w:rsidRPr="00B708F8">
          <w:rPr>
            <w:rStyle w:val="Hyperlink"/>
            <w:rFonts w:ascii="Arial" w:hAnsi="Arial" w:cs="Arial"/>
            <w:noProof/>
          </w:rPr>
          <w:t>2.5. Vode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_Toc6172819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89</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20" w:history="1">
        <w:r w:rsidR="00B708F8" w:rsidRPr="00B708F8">
          <w:rPr>
            <w:rStyle w:val="Hyperlink"/>
            <w:rFonts w:ascii="Arial" w:hAnsi="Arial" w:cs="Arial"/>
            <w:noProof/>
          </w:rPr>
          <w:t>2.5.1 Hidrologija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_Toc6172820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89</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21" w:history="1">
        <w:r w:rsidR="00B708F8" w:rsidRPr="00B708F8">
          <w:rPr>
            <w:rStyle w:val="Hyperlink"/>
            <w:rFonts w:ascii="Arial" w:hAnsi="Arial" w:cs="Arial"/>
            <w:noProof/>
          </w:rPr>
          <w:t>2.5.2. Kvalitet voda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_Toc6172821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91</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22" w:history="1">
        <w:r w:rsidR="00B708F8" w:rsidRPr="00B708F8">
          <w:rPr>
            <w:rStyle w:val="Hyperlink"/>
            <w:rFonts w:ascii="Arial" w:hAnsi="Arial" w:cs="Arial"/>
            <w:noProof/>
          </w:rPr>
          <w:t>2.5.3.  More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_Toc6172822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112</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23" w:history="1">
        <w:r w:rsidR="00B708F8" w:rsidRPr="00B708F8">
          <w:rPr>
            <w:rStyle w:val="Hyperlink"/>
            <w:rFonts w:ascii="Arial" w:hAnsi="Arial" w:cs="Arial"/>
            <w:noProof/>
          </w:rPr>
          <w:t>2.5.4. Poplave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_Toc6172823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118</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24" w:history="1">
        <w:r w:rsidR="00B708F8" w:rsidRPr="00B708F8">
          <w:rPr>
            <w:rStyle w:val="Hyperlink"/>
            <w:rFonts w:ascii="Arial" w:hAnsi="Arial" w:cs="Arial"/>
            <w:noProof/>
          </w:rPr>
          <w:t>2.6. Biodiverzitet i zaštićena područja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_Toc6172824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120</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25" w:history="1">
        <w:r w:rsidR="00B708F8" w:rsidRPr="00B708F8">
          <w:rPr>
            <w:rStyle w:val="Hyperlink"/>
            <w:rFonts w:ascii="Arial" w:hAnsi="Arial" w:cs="Arial"/>
            <w:noProof/>
          </w:rPr>
          <w:t>2.6.1 Biodiverzitet</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_Toc6172825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120</w:t>
        </w:r>
        <w:r w:rsidR="0091433D" w:rsidRPr="00B708F8">
          <w:rPr>
            <w:rFonts w:ascii="Arial" w:hAnsi="Arial" w:cs="Arial"/>
            <w:noProof/>
            <w:webHidden/>
          </w:rPr>
          <w:fldChar w:fldCharType="end"/>
        </w:r>
      </w:hyperlink>
    </w:p>
    <w:p w:rsidR="00B708F8" w:rsidRPr="00B708F8" w:rsidRDefault="00596F9E">
      <w:pPr>
        <w:pStyle w:val="TOC3"/>
        <w:tabs>
          <w:tab w:val="right" w:leader="dot" w:pos="9017"/>
        </w:tabs>
        <w:rPr>
          <w:rFonts w:ascii="Arial" w:eastAsiaTheme="minorEastAsia" w:hAnsi="Arial" w:cs="Arial"/>
          <w:noProof/>
        </w:rPr>
      </w:pPr>
      <w:hyperlink w:anchor="_Toc6172826" w:history="1">
        <w:r w:rsidR="00B708F8" w:rsidRPr="00B708F8">
          <w:rPr>
            <w:rStyle w:val="Hyperlink"/>
            <w:rFonts w:ascii="Arial" w:hAnsi="Arial" w:cs="Arial"/>
            <w:noProof/>
          </w:rPr>
          <w:t>2.6.2 Zaštićena područja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_Toc6172826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128</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27" w:history="1">
        <w:r w:rsidR="00B708F8" w:rsidRPr="00B708F8">
          <w:rPr>
            <w:rStyle w:val="Hyperlink"/>
            <w:rFonts w:ascii="Arial" w:hAnsi="Arial" w:cs="Arial"/>
            <w:noProof/>
          </w:rPr>
          <w:t>2.7. Stanovništvo</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_Toc6172827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134</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28" w:history="1">
        <w:r w:rsidR="00B708F8" w:rsidRPr="00B708F8">
          <w:rPr>
            <w:rStyle w:val="Hyperlink"/>
            <w:rFonts w:ascii="Arial" w:hAnsi="Arial" w:cs="Arial"/>
            <w:noProof/>
          </w:rPr>
          <w:t>2.8. Kulturna baština i predio</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_Toc6172828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135</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29" w:history="1">
        <w:r w:rsidR="00B708F8" w:rsidRPr="00B708F8">
          <w:rPr>
            <w:rStyle w:val="Hyperlink"/>
            <w:rFonts w:ascii="Arial" w:hAnsi="Arial" w:cs="Arial"/>
            <w:noProof/>
          </w:rPr>
          <w:t>2.9. Buka i vibracije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_Toc6172829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136</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30" w:history="1">
        <w:r w:rsidR="00B708F8" w:rsidRPr="00B708F8">
          <w:rPr>
            <w:rStyle w:val="Hyperlink"/>
            <w:rFonts w:ascii="Arial" w:hAnsi="Arial" w:cs="Arial"/>
            <w:noProof/>
          </w:rPr>
          <w:t>2.10. Zdravlje ljudi</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_Toc6172830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139</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31" w:history="1">
        <w:r w:rsidR="00B708F8" w:rsidRPr="00B708F8">
          <w:rPr>
            <w:rStyle w:val="Hyperlink"/>
            <w:rFonts w:ascii="Arial" w:hAnsi="Arial" w:cs="Arial"/>
            <w:noProof/>
          </w:rPr>
          <w:t>3. IDENTIFIKACIJU PODRUČJA ZA KOJA POSTOJI MOGUĆNOST DA BUDU IZLOŽENE ZNAČAJNOM RIZIKU I KARAKTERISTIKE ŽIVOTNE SREDINE U TIM PODRUČJIMA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_Toc6172831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142</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32" w:history="1">
        <w:r w:rsidR="00B708F8" w:rsidRPr="00B708F8">
          <w:rPr>
            <w:rStyle w:val="Hyperlink"/>
            <w:rFonts w:ascii="Arial" w:hAnsi="Arial" w:cs="Arial"/>
            <w:noProof/>
          </w:rPr>
          <w:t>4. POSTOJEĆI PROBLEMI U POGLEDU ŽIVOTNE SREDINE U VEZI SA PLANOM</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_Toc6172832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144</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33" w:history="1">
        <w:r w:rsidR="00B708F8" w:rsidRPr="00B708F8">
          <w:rPr>
            <w:rStyle w:val="Hyperlink"/>
            <w:rFonts w:ascii="Arial" w:hAnsi="Arial" w:cs="Arial"/>
            <w:noProof/>
          </w:rPr>
          <w:t>5. OPŠTI I POSEBNI CILJEVI ZAŠTITE ŽIVOTNE SREDINE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_Toc6172833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145</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34" w:history="1">
        <w:r w:rsidR="00B708F8" w:rsidRPr="00B708F8">
          <w:rPr>
            <w:rStyle w:val="Hyperlink"/>
            <w:rFonts w:ascii="Arial" w:eastAsia="Cambria,Bold" w:hAnsi="Arial" w:cs="Arial"/>
            <w:noProof/>
          </w:rPr>
          <w:t>5.1. Opšti ciljevi zaštite životne sredine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_Toc6172834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146</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35" w:history="1">
        <w:r w:rsidR="00B708F8" w:rsidRPr="00B708F8">
          <w:rPr>
            <w:rStyle w:val="Hyperlink"/>
            <w:rFonts w:ascii="Arial" w:hAnsi="Arial" w:cs="Arial"/>
            <w:noProof/>
          </w:rPr>
          <w:t>6. MOGUĆE ZNAČAJNE POSLJEDICE PO ZDRAVLJE LJUDI I ŽIVOTNU SREDINU, UKLJUČUJUĆI FAKTORE KAO ŠTO SU: BIOLOŠKA RAZNOVRSNOST, STANOVNIŠTVO, FAUNA, FLORA, ZEMLJIŠTE, VODA, VAZDUH, KLIMATSKI ČINIOCI KOJI UTIČU NA KLIMATSKE PROMJENE, MATERIJALNI RESURSI, KULTURNO NASLEĐE, UKLJUČUJUĆI ARHITEKTONSKO I ARHEOLOŠKO NASLEĐE, PEJZAŽ I MEĐUSOBNI ODNOS OVIH FAKTORA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_Toc6172835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149</w:t>
        </w:r>
        <w:r w:rsidR="0091433D" w:rsidRPr="00B708F8">
          <w:rPr>
            <w:rFonts w:ascii="Arial" w:hAnsi="Arial" w:cs="Arial"/>
            <w:noProof/>
            <w:webHidden/>
          </w:rPr>
          <w:fldChar w:fldCharType="end"/>
        </w:r>
      </w:hyperlink>
    </w:p>
    <w:p w:rsidR="00B708F8" w:rsidRPr="00B708F8" w:rsidRDefault="00596F9E">
      <w:pPr>
        <w:pStyle w:val="TOC2"/>
        <w:tabs>
          <w:tab w:val="left" w:pos="880"/>
          <w:tab w:val="right" w:leader="dot" w:pos="9017"/>
        </w:tabs>
        <w:rPr>
          <w:rFonts w:ascii="Arial" w:eastAsiaTheme="minorEastAsia" w:hAnsi="Arial" w:cs="Arial"/>
          <w:noProof/>
        </w:rPr>
      </w:pPr>
      <w:hyperlink w:anchor="_Toc6172836" w:history="1">
        <w:r w:rsidR="00B708F8" w:rsidRPr="00B708F8">
          <w:rPr>
            <w:rStyle w:val="Hyperlink"/>
            <w:rFonts w:ascii="Arial" w:hAnsi="Arial" w:cs="Arial"/>
            <w:noProof/>
          </w:rPr>
          <w:t>6.1</w:t>
        </w:r>
        <w:r w:rsidR="00B708F8" w:rsidRPr="00B708F8">
          <w:rPr>
            <w:rFonts w:ascii="Arial" w:eastAsiaTheme="minorEastAsia" w:hAnsi="Arial" w:cs="Arial"/>
            <w:noProof/>
          </w:rPr>
          <w:tab/>
        </w:r>
        <w:r w:rsidR="00B708F8" w:rsidRPr="00B708F8">
          <w:rPr>
            <w:rStyle w:val="Hyperlink"/>
            <w:rFonts w:ascii="Arial" w:hAnsi="Arial" w:cs="Arial"/>
            <w:noProof/>
          </w:rPr>
          <w:t>Identifikovani očekivani uticaji</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_Toc6172836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149</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37" w:history="1">
        <w:r w:rsidR="00B708F8" w:rsidRPr="00B708F8">
          <w:rPr>
            <w:rStyle w:val="Hyperlink"/>
            <w:rFonts w:ascii="Arial" w:hAnsi="Arial" w:cs="Arial"/>
            <w:noProof/>
          </w:rPr>
          <w:t>6.2.  Uticaji na kvalitet vazduha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_Toc6172837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152</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38" w:history="1">
        <w:r w:rsidR="00B708F8" w:rsidRPr="00B708F8">
          <w:rPr>
            <w:rStyle w:val="Hyperlink"/>
            <w:rFonts w:ascii="Arial" w:hAnsi="Arial" w:cs="Arial"/>
            <w:noProof/>
          </w:rPr>
          <w:t>6.3. Uticaji na kvalitet voda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_Toc6172838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154</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39" w:history="1">
        <w:r w:rsidR="00B708F8" w:rsidRPr="00B708F8">
          <w:rPr>
            <w:rStyle w:val="Hyperlink"/>
            <w:rFonts w:ascii="Arial" w:hAnsi="Arial" w:cs="Arial"/>
            <w:noProof/>
          </w:rPr>
          <w:t>6.4. Zemljište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_Toc6172839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156</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40" w:history="1">
        <w:r w:rsidR="00B708F8" w:rsidRPr="00B708F8">
          <w:rPr>
            <w:rStyle w:val="Hyperlink"/>
            <w:rFonts w:ascii="Arial" w:hAnsi="Arial" w:cs="Arial"/>
            <w:noProof/>
          </w:rPr>
          <w:t>6.5. Lokalno stanovništvo</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_Toc6172840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157</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41" w:history="1">
        <w:r w:rsidR="00B708F8" w:rsidRPr="00B708F8">
          <w:rPr>
            <w:rStyle w:val="Hyperlink"/>
            <w:rFonts w:ascii="Arial" w:hAnsi="Arial" w:cs="Arial"/>
            <w:noProof/>
          </w:rPr>
          <w:t>6.6. Buka i vibracije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_Toc6172841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158</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42" w:history="1">
        <w:r w:rsidR="00B708F8" w:rsidRPr="00B708F8">
          <w:rPr>
            <w:rStyle w:val="Hyperlink"/>
            <w:rFonts w:ascii="Arial" w:hAnsi="Arial" w:cs="Arial"/>
            <w:noProof/>
          </w:rPr>
          <w:t>6.</w:t>
        </w:r>
        <w:r w:rsidR="00B708F8" w:rsidRPr="00B708F8">
          <w:rPr>
            <w:rStyle w:val="Hyperlink"/>
            <w:rFonts w:ascii="Arial" w:hAnsi="Arial" w:cs="Arial"/>
            <w:noProof/>
            <w:lang w:val="sr-Latn-CS"/>
          </w:rPr>
          <w:t>7</w:t>
        </w:r>
        <w:r w:rsidR="00B708F8" w:rsidRPr="00B708F8">
          <w:rPr>
            <w:rStyle w:val="Hyperlink"/>
            <w:rFonts w:ascii="Arial" w:hAnsi="Arial" w:cs="Arial"/>
            <w:noProof/>
          </w:rPr>
          <w:t xml:space="preserve">. Uticaj na </w:t>
        </w:r>
        <w:r w:rsidR="00B708F8" w:rsidRPr="00B708F8">
          <w:rPr>
            <w:rStyle w:val="Hyperlink"/>
            <w:rFonts w:ascii="Arial" w:hAnsi="Arial" w:cs="Arial"/>
            <w:noProof/>
            <w:lang w:val="sr-Latn-CS"/>
          </w:rPr>
          <w:t>biodiverzitet i zaštićena prirodne dobra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_Toc6172842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158</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43" w:history="1">
        <w:r w:rsidR="00B708F8" w:rsidRPr="00B708F8">
          <w:rPr>
            <w:rStyle w:val="Hyperlink"/>
            <w:rFonts w:ascii="Arial" w:hAnsi="Arial" w:cs="Arial"/>
            <w:noProof/>
          </w:rPr>
          <w:t>6.</w:t>
        </w:r>
        <w:r w:rsidR="00B708F8" w:rsidRPr="00B708F8">
          <w:rPr>
            <w:rStyle w:val="Hyperlink"/>
            <w:rFonts w:ascii="Arial" w:hAnsi="Arial" w:cs="Arial"/>
            <w:noProof/>
            <w:lang w:val="sr-Latn-CS"/>
          </w:rPr>
          <w:t>8</w:t>
        </w:r>
        <w:r w:rsidR="00B708F8" w:rsidRPr="00B708F8">
          <w:rPr>
            <w:rStyle w:val="Hyperlink"/>
            <w:rFonts w:ascii="Arial" w:hAnsi="Arial" w:cs="Arial"/>
            <w:noProof/>
          </w:rPr>
          <w:t>. Uticaj na karakteristike pejzaža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_Toc6172843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159</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44" w:history="1">
        <w:r w:rsidR="00B708F8" w:rsidRPr="00B708F8">
          <w:rPr>
            <w:rStyle w:val="Hyperlink"/>
            <w:rFonts w:ascii="Arial" w:hAnsi="Arial" w:cs="Arial"/>
            <w:noProof/>
          </w:rPr>
          <w:t>7. MJERE PREDVIĐENE U CILJU SPRJEČAVANJA, SMANJENJA ILI OTKLANJANJA, U NAJVEĆOJ MOGUĆOJ MJERI, BILO KOG ZNAČAJNOG NEGATIVNOG UTICAJA NA ZDRAVLJE LJUDI I ŽIVOTNU SREDINU DO KOGA DOVODI REALIZACIJA STRATEGIJE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_Toc6172844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161</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45" w:history="1">
        <w:r w:rsidR="00B708F8" w:rsidRPr="00B708F8">
          <w:rPr>
            <w:rStyle w:val="Hyperlink"/>
            <w:rFonts w:ascii="Arial" w:hAnsi="Arial" w:cs="Arial"/>
            <w:noProof/>
          </w:rPr>
          <w:t>7.1. Mjere predviđene propisima i standardima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_Toc6172845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161</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46" w:history="1">
        <w:r w:rsidR="00B708F8" w:rsidRPr="00B708F8">
          <w:rPr>
            <w:rStyle w:val="Hyperlink"/>
            <w:rFonts w:ascii="Arial" w:hAnsi="Arial" w:cs="Arial"/>
            <w:noProof/>
          </w:rPr>
          <w:t>7.1. Mjere zaštite životne sredine i zdravlja ljudi</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_Toc6172846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162</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47" w:history="1">
        <w:r w:rsidR="00B708F8" w:rsidRPr="00B708F8">
          <w:rPr>
            <w:rStyle w:val="Hyperlink"/>
            <w:rFonts w:ascii="Arial" w:hAnsi="Arial" w:cs="Arial"/>
            <w:noProof/>
          </w:rPr>
          <w:t>8. PREGLED RAZLOGA KOJI SU POSLUŽILI KAO OSNOVA ZA IZBOR RAZMATRANIH VARIJANTNIH RJEŠENJA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_Toc6172847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166</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48" w:history="1">
        <w:r w:rsidR="00B708F8" w:rsidRPr="00B708F8">
          <w:rPr>
            <w:rStyle w:val="Hyperlink"/>
            <w:rFonts w:ascii="Arial" w:hAnsi="Arial" w:cs="Arial"/>
            <w:noProof/>
          </w:rPr>
          <w:t>9. PRIKAZ MOGUĆIH ZNAČAJNIH PREKOGRANIČNIH UTICAJA NA ŽIVOTNU SREDINU</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_Toc6172848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167</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49" w:history="1">
        <w:r w:rsidR="00B708F8" w:rsidRPr="00B708F8">
          <w:rPr>
            <w:rStyle w:val="Hyperlink"/>
            <w:rFonts w:ascii="Arial" w:hAnsi="Arial" w:cs="Arial"/>
            <w:noProof/>
          </w:rPr>
          <w:t>10. OPIS PROGRAMA PRAĆENJA STANJA ŽIVOTNE SREDINE, UKLJUČUJUĆI I ZDRAVLJE LJUDI (MONITORING)</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_Toc6172849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167</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50" w:history="1">
        <w:r w:rsidR="00B708F8" w:rsidRPr="00B708F8">
          <w:rPr>
            <w:rStyle w:val="Hyperlink"/>
            <w:rFonts w:ascii="Arial" w:hAnsi="Arial" w:cs="Arial"/>
            <w:noProof/>
          </w:rPr>
          <w:t>11. ZAKLJUČCI DO KOJIH SE DOŠLO TOKOM IZRADE IZVEŠTAJA O STRATEŠKOJ PROCJENI PREDSTAVLJENE NA NAČIN RAZUMLJIV JAVNOSTI</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_Toc6172850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169</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51" w:history="1">
        <w:r w:rsidR="00B708F8" w:rsidRPr="00B708F8">
          <w:rPr>
            <w:rStyle w:val="Hyperlink"/>
            <w:rFonts w:ascii="Arial" w:hAnsi="Arial" w:cs="Arial"/>
            <w:noProof/>
          </w:rPr>
          <w:t>12. REZIME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_Toc6172851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172</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52" w:history="1">
        <w:r w:rsidR="00B708F8" w:rsidRPr="00B708F8">
          <w:rPr>
            <w:rStyle w:val="Hyperlink"/>
            <w:rFonts w:ascii="Arial" w:hAnsi="Arial" w:cs="Arial"/>
            <w:noProof/>
          </w:rPr>
          <w:t>Buka i vibracije</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_Toc6172852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176</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53" w:history="1">
        <w:r w:rsidR="00B708F8" w:rsidRPr="00B708F8">
          <w:rPr>
            <w:rStyle w:val="Hyperlink"/>
            <w:rFonts w:ascii="Arial" w:hAnsi="Arial" w:cs="Arial"/>
            <w:noProof/>
          </w:rPr>
          <w:t xml:space="preserve">Uticaj na </w:t>
        </w:r>
        <w:r w:rsidR="00B708F8" w:rsidRPr="00B708F8">
          <w:rPr>
            <w:rStyle w:val="Hyperlink"/>
            <w:rFonts w:ascii="Arial" w:hAnsi="Arial" w:cs="Arial"/>
            <w:noProof/>
            <w:lang w:val="sr-Latn-CS"/>
          </w:rPr>
          <w:t>biodiverzitet i zaštićena prirodne dobra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_Toc6172853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176</w:t>
        </w:r>
        <w:r w:rsidR="0091433D" w:rsidRPr="00B708F8">
          <w:rPr>
            <w:rFonts w:ascii="Arial" w:hAnsi="Arial" w:cs="Arial"/>
            <w:noProof/>
            <w:webHidden/>
          </w:rPr>
          <w:fldChar w:fldCharType="end"/>
        </w:r>
      </w:hyperlink>
    </w:p>
    <w:p w:rsidR="00B708F8" w:rsidRPr="00B708F8" w:rsidRDefault="00596F9E">
      <w:pPr>
        <w:pStyle w:val="TOC2"/>
        <w:tabs>
          <w:tab w:val="right" w:leader="dot" w:pos="9017"/>
        </w:tabs>
        <w:rPr>
          <w:rFonts w:ascii="Arial" w:eastAsiaTheme="minorEastAsia" w:hAnsi="Arial" w:cs="Arial"/>
          <w:noProof/>
        </w:rPr>
      </w:pPr>
      <w:hyperlink w:anchor="_Toc6172854" w:history="1">
        <w:r w:rsidR="00B708F8" w:rsidRPr="00B708F8">
          <w:rPr>
            <w:rStyle w:val="Hyperlink"/>
            <w:rFonts w:ascii="Arial" w:hAnsi="Arial" w:cs="Arial"/>
            <w:noProof/>
          </w:rPr>
          <w:t>Uticaj na karakteristike pejzaža</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_Toc6172854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177</w:t>
        </w:r>
        <w:r w:rsidR="0091433D" w:rsidRPr="00B708F8">
          <w:rPr>
            <w:rFonts w:ascii="Arial" w:hAnsi="Arial" w:cs="Arial"/>
            <w:noProof/>
            <w:webHidden/>
          </w:rPr>
          <w:fldChar w:fldCharType="end"/>
        </w:r>
      </w:hyperlink>
    </w:p>
    <w:p w:rsidR="00B708F8" w:rsidRPr="00B708F8" w:rsidRDefault="00596F9E">
      <w:pPr>
        <w:pStyle w:val="TOC1"/>
        <w:tabs>
          <w:tab w:val="right" w:leader="dot" w:pos="9017"/>
        </w:tabs>
        <w:rPr>
          <w:rFonts w:ascii="Arial" w:eastAsiaTheme="minorEastAsia" w:hAnsi="Arial" w:cs="Arial"/>
          <w:noProof/>
        </w:rPr>
      </w:pPr>
      <w:hyperlink w:anchor="_Toc6172855" w:history="1">
        <w:r w:rsidR="00B708F8" w:rsidRPr="00B708F8">
          <w:rPr>
            <w:rStyle w:val="Hyperlink"/>
            <w:rFonts w:ascii="Arial" w:hAnsi="Arial" w:cs="Arial"/>
            <w:noProof/>
          </w:rPr>
          <w:t>PRILOG</w:t>
        </w:r>
        <w:r w:rsidR="00B708F8" w:rsidRPr="00B708F8">
          <w:rPr>
            <w:rFonts w:ascii="Arial" w:hAnsi="Arial" w:cs="Arial"/>
            <w:noProof/>
            <w:webHidden/>
          </w:rPr>
          <w:tab/>
        </w:r>
        <w:r w:rsidR="0091433D" w:rsidRPr="00B708F8">
          <w:rPr>
            <w:rFonts w:ascii="Arial" w:hAnsi="Arial" w:cs="Arial"/>
            <w:noProof/>
            <w:webHidden/>
          </w:rPr>
          <w:fldChar w:fldCharType="begin"/>
        </w:r>
        <w:r w:rsidR="00B708F8" w:rsidRPr="00B708F8">
          <w:rPr>
            <w:rFonts w:ascii="Arial" w:hAnsi="Arial" w:cs="Arial"/>
            <w:noProof/>
            <w:webHidden/>
          </w:rPr>
          <w:instrText xml:space="preserve"> PAGEREF _Toc6172855 \h </w:instrText>
        </w:r>
        <w:r w:rsidR="0091433D" w:rsidRPr="00B708F8">
          <w:rPr>
            <w:rFonts w:ascii="Arial" w:hAnsi="Arial" w:cs="Arial"/>
            <w:noProof/>
            <w:webHidden/>
          </w:rPr>
        </w:r>
        <w:r w:rsidR="0091433D" w:rsidRPr="00B708F8">
          <w:rPr>
            <w:rFonts w:ascii="Arial" w:hAnsi="Arial" w:cs="Arial"/>
            <w:noProof/>
            <w:webHidden/>
          </w:rPr>
          <w:fldChar w:fldCharType="separate"/>
        </w:r>
        <w:r w:rsidR="00B708F8" w:rsidRPr="00B708F8">
          <w:rPr>
            <w:rFonts w:ascii="Arial" w:hAnsi="Arial" w:cs="Arial"/>
            <w:noProof/>
            <w:webHidden/>
          </w:rPr>
          <w:t>179</w:t>
        </w:r>
        <w:r w:rsidR="0091433D" w:rsidRPr="00B708F8">
          <w:rPr>
            <w:rFonts w:ascii="Arial" w:hAnsi="Arial" w:cs="Arial"/>
            <w:noProof/>
            <w:webHidden/>
          </w:rPr>
          <w:fldChar w:fldCharType="end"/>
        </w:r>
      </w:hyperlink>
    </w:p>
    <w:p w:rsidR="00EB41DB" w:rsidRPr="00722DF4" w:rsidRDefault="0091433D" w:rsidP="00722DF4">
      <w:pPr>
        <w:pStyle w:val="T30X"/>
        <w:spacing w:before="0" w:after="0" w:line="276" w:lineRule="auto"/>
        <w:rPr>
          <w:rFonts w:ascii="Arial" w:hAnsi="Arial" w:cs="Arial"/>
          <w:sz w:val="24"/>
          <w:szCs w:val="24"/>
        </w:rPr>
      </w:pPr>
      <w:r w:rsidRPr="00B708F8">
        <w:rPr>
          <w:rFonts w:ascii="Arial" w:hAnsi="Arial" w:cs="Arial"/>
        </w:rPr>
        <w:fldChar w:fldCharType="end"/>
      </w:r>
    </w:p>
    <w:p w:rsidR="00EB41DB" w:rsidRPr="00722DF4" w:rsidRDefault="00EB41DB" w:rsidP="00722DF4">
      <w:pPr>
        <w:pStyle w:val="T30X"/>
        <w:spacing w:before="0" w:after="0" w:line="276" w:lineRule="auto"/>
        <w:ind w:firstLine="0"/>
        <w:rPr>
          <w:rFonts w:ascii="Arial" w:hAnsi="Arial" w:cs="Arial"/>
          <w:sz w:val="24"/>
          <w:szCs w:val="24"/>
        </w:rPr>
      </w:pPr>
    </w:p>
    <w:p w:rsidR="00EB41DB" w:rsidRPr="00722DF4" w:rsidRDefault="00EB41DB" w:rsidP="00722DF4">
      <w:pPr>
        <w:pStyle w:val="T30X"/>
        <w:spacing w:before="0" w:after="0" w:line="276" w:lineRule="auto"/>
        <w:ind w:left="567" w:hanging="283"/>
        <w:rPr>
          <w:rFonts w:ascii="Arial" w:hAnsi="Arial" w:cs="Arial"/>
          <w:sz w:val="24"/>
          <w:szCs w:val="24"/>
        </w:rPr>
      </w:pPr>
    </w:p>
    <w:p w:rsidR="001B68CD" w:rsidRPr="00722DF4" w:rsidRDefault="007A5B12" w:rsidP="00722DF4">
      <w:pPr>
        <w:tabs>
          <w:tab w:val="left" w:pos="5820"/>
        </w:tabs>
        <w:spacing w:after="0"/>
        <w:jc w:val="both"/>
        <w:rPr>
          <w:rFonts w:ascii="Arial" w:hAnsi="Arial" w:cs="Arial"/>
          <w:sz w:val="24"/>
          <w:szCs w:val="24"/>
        </w:rPr>
      </w:pPr>
      <w:r w:rsidRPr="00722DF4">
        <w:rPr>
          <w:rFonts w:ascii="Arial" w:hAnsi="Arial" w:cs="Arial"/>
          <w:sz w:val="24"/>
          <w:szCs w:val="24"/>
        </w:rPr>
        <w:tab/>
      </w:r>
    </w:p>
    <w:p w:rsidR="00211F93" w:rsidRPr="00722DF4" w:rsidRDefault="00211F93" w:rsidP="00722DF4">
      <w:pPr>
        <w:pStyle w:val="Heading1"/>
        <w:numPr>
          <w:ilvl w:val="0"/>
          <w:numId w:val="0"/>
        </w:numPr>
        <w:spacing w:before="0"/>
        <w:jc w:val="both"/>
        <w:rPr>
          <w:rFonts w:cs="Arial"/>
          <w:szCs w:val="24"/>
        </w:rPr>
      </w:pPr>
    </w:p>
    <w:p w:rsidR="00A231CE" w:rsidRPr="00722DF4" w:rsidRDefault="00A231CE" w:rsidP="00722DF4">
      <w:pPr>
        <w:spacing w:after="0"/>
        <w:jc w:val="both"/>
        <w:rPr>
          <w:rFonts w:ascii="Arial" w:hAnsi="Arial" w:cs="Arial"/>
          <w:sz w:val="24"/>
          <w:szCs w:val="24"/>
        </w:rPr>
      </w:pPr>
    </w:p>
    <w:p w:rsidR="00A231CE" w:rsidRDefault="00A231CE" w:rsidP="00722DF4">
      <w:pPr>
        <w:spacing w:after="0"/>
        <w:jc w:val="both"/>
        <w:rPr>
          <w:rFonts w:ascii="Arial" w:hAnsi="Arial" w:cs="Arial"/>
          <w:sz w:val="24"/>
          <w:szCs w:val="24"/>
          <w:lang w:val="en-GB"/>
        </w:rPr>
      </w:pPr>
    </w:p>
    <w:p w:rsidR="00D569C8" w:rsidRDefault="00D569C8" w:rsidP="00722DF4">
      <w:pPr>
        <w:spacing w:after="0"/>
        <w:jc w:val="both"/>
        <w:rPr>
          <w:rFonts w:ascii="Arial" w:hAnsi="Arial" w:cs="Arial"/>
          <w:sz w:val="24"/>
          <w:szCs w:val="24"/>
          <w:lang w:val="en-GB"/>
        </w:rPr>
      </w:pPr>
    </w:p>
    <w:p w:rsidR="009C2BEC" w:rsidRPr="009C2BEC" w:rsidRDefault="009C2BEC" w:rsidP="00722DF4">
      <w:pPr>
        <w:spacing w:after="0"/>
        <w:jc w:val="both"/>
        <w:rPr>
          <w:rFonts w:ascii="Arial" w:hAnsi="Arial" w:cs="Arial"/>
          <w:sz w:val="24"/>
          <w:szCs w:val="24"/>
          <w:lang w:val="en-GB"/>
        </w:rPr>
      </w:pPr>
    </w:p>
    <w:p w:rsidR="00907DA8" w:rsidRPr="00722DF4" w:rsidRDefault="00231FAD" w:rsidP="00722DF4">
      <w:pPr>
        <w:pStyle w:val="Heading1"/>
        <w:numPr>
          <w:ilvl w:val="0"/>
          <w:numId w:val="0"/>
        </w:numPr>
        <w:spacing w:before="0"/>
        <w:jc w:val="both"/>
        <w:rPr>
          <w:rFonts w:cs="Arial"/>
          <w:szCs w:val="24"/>
        </w:rPr>
      </w:pPr>
      <w:r>
        <w:rPr>
          <w:rFonts w:cs="Arial"/>
          <w:szCs w:val="24"/>
        </w:rPr>
        <w:br w:type="page"/>
      </w:r>
      <w:bookmarkStart w:id="0" w:name="_Toc6172796"/>
      <w:r w:rsidR="3B4348E7" w:rsidRPr="00722DF4">
        <w:rPr>
          <w:rFonts w:cs="Arial"/>
          <w:szCs w:val="24"/>
        </w:rPr>
        <w:lastRenderedPageBreak/>
        <w:t>I UVOD</w:t>
      </w:r>
      <w:bookmarkEnd w:id="0"/>
    </w:p>
    <w:p w:rsidR="006A59C3" w:rsidRPr="00722DF4" w:rsidRDefault="006A59C3" w:rsidP="00722DF4">
      <w:pPr>
        <w:spacing w:after="0"/>
        <w:jc w:val="both"/>
        <w:rPr>
          <w:rFonts w:ascii="Arial" w:hAnsi="Arial" w:cs="Arial"/>
          <w:sz w:val="24"/>
          <w:szCs w:val="24"/>
        </w:rPr>
      </w:pPr>
    </w:p>
    <w:p w:rsidR="00A231CE" w:rsidRPr="00722DF4" w:rsidRDefault="00211F93" w:rsidP="00722DF4">
      <w:pPr>
        <w:pStyle w:val="Footer"/>
        <w:spacing w:line="276" w:lineRule="auto"/>
        <w:jc w:val="both"/>
        <w:rPr>
          <w:rFonts w:ascii="Arial" w:hAnsi="Arial" w:cs="Arial"/>
        </w:rPr>
      </w:pPr>
      <w:r w:rsidRPr="00722DF4">
        <w:rPr>
          <w:rFonts w:ascii="Arial" w:hAnsi="Arial" w:cs="Arial"/>
          <w:bCs/>
        </w:rPr>
        <w:t>Strateška proc</w:t>
      </w:r>
      <w:r w:rsidRPr="00722DF4">
        <w:rPr>
          <w:rFonts w:ascii="Arial" w:hAnsi="Arial" w:cs="Arial"/>
          <w:bCs/>
          <w:lang w:val="sr-Latn-BA"/>
        </w:rPr>
        <w:t>j</w:t>
      </w:r>
      <w:r w:rsidRPr="00722DF4">
        <w:rPr>
          <w:rFonts w:ascii="Arial" w:hAnsi="Arial" w:cs="Arial"/>
          <w:bCs/>
        </w:rPr>
        <w:t>ena uticaja na životnu sredinu</w:t>
      </w:r>
      <w:r w:rsidR="00A231CE" w:rsidRPr="00722DF4">
        <w:rPr>
          <w:rFonts w:ascii="Arial" w:hAnsi="Arial" w:cs="Arial"/>
        </w:rPr>
        <w:t xml:space="preserve"> (SPU) predstavlja alat vrednovanja potencijalnih negativnih </w:t>
      </w:r>
      <w:r w:rsidRPr="00722DF4">
        <w:rPr>
          <w:rFonts w:ascii="Arial" w:hAnsi="Arial" w:cs="Arial"/>
        </w:rPr>
        <w:t>uticaja planova i programa na životnu sredinu</w:t>
      </w:r>
      <w:r w:rsidR="009C2BEC">
        <w:rPr>
          <w:rFonts w:ascii="Arial" w:hAnsi="Arial" w:cs="Arial"/>
        </w:rPr>
        <w:t xml:space="preserve"> i</w:t>
      </w:r>
      <w:r w:rsidR="00A231CE" w:rsidRPr="00722DF4">
        <w:rPr>
          <w:rFonts w:ascii="Arial" w:hAnsi="Arial" w:cs="Arial"/>
        </w:rPr>
        <w:t xml:space="preserve"> zdravlje ljudi, kao</w:t>
      </w:r>
      <w:r w:rsidRPr="00722DF4">
        <w:rPr>
          <w:rFonts w:ascii="Arial" w:hAnsi="Arial" w:cs="Arial"/>
        </w:rPr>
        <w:t xml:space="preserve"> i </w:t>
      </w:r>
      <w:r w:rsidR="00A231CE" w:rsidRPr="00722DF4">
        <w:rPr>
          <w:rFonts w:ascii="Arial" w:hAnsi="Arial" w:cs="Arial"/>
        </w:rPr>
        <w:t>definisanje seta različitih mjera zaštite (</w:t>
      </w:r>
      <w:r w:rsidRPr="00722DF4">
        <w:rPr>
          <w:rFonts w:ascii="Arial" w:hAnsi="Arial" w:cs="Arial"/>
        </w:rPr>
        <w:t>m</w:t>
      </w:r>
      <w:r w:rsidRPr="00722DF4">
        <w:rPr>
          <w:rFonts w:ascii="Arial" w:hAnsi="Arial" w:cs="Arial"/>
          <w:lang w:val="sr-Latn-BA"/>
        </w:rPr>
        <w:t>j</w:t>
      </w:r>
      <w:r w:rsidRPr="00722DF4">
        <w:rPr>
          <w:rFonts w:ascii="Arial" w:hAnsi="Arial" w:cs="Arial"/>
        </w:rPr>
        <w:t>era prevencije, minimizacije, ublažavanja, remedijacije ili kompenzacije</w:t>
      </w:r>
      <w:r w:rsidR="00A231CE" w:rsidRPr="00722DF4">
        <w:rPr>
          <w:rFonts w:ascii="Arial" w:hAnsi="Arial" w:cs="Arial"/>
        </w:rPr>
        <w:t>).</w:t>
      </w:r>
    </w:p>
    <w:p w:rsidR="00211F93" w:rsidRPr="00722DF4" w:rsidRDefault="00211F93" w:rsidP="00722DF4">
      <w:pPr>
        <w:pStyle w:val="Footer"/>
        <w:spacing w:line="276" w:lineRule="auto"/>
        <w:jc w:val="both"/>
        <w:rPr>
          <w:rFonts w:ascii="Arial" w:hAnsi="Arial" w:cs="Arial"/>
          <w:lang w:val="sr-Latn-BA"/>
        </w:rPr>
      </w:pPr>
      <w:r w:rsidRPr="00722DF4">
        <w:rPr>
          <w:rFonts w:ascii="Arial" w:hAnsi="Arial" w:cs="Arial"/>
        </w:rPr>
        <w:t xml:space="preserve"> </w:t>
      </w:r>
    </w:p>
    <w:p w:rsidR="00211F93" w:rsidRPr="00722DF4" w:rsidRDefault="00211F93" w:rsidP="00722DF4">
      <w:pPr>
        <w:pStyle w:val="Footer"/>
        <w:spacing w:line="276" w:lineRule="auto"/>
        <w:jc w:val="both"/>
        <w:rPr>
          <w:rFonts w:ascii="Arial" w:hAnsi="Arial" w:cs="Arial"/>
        </w:rPr>
      </w:pPr>
      <w:r w:rsidRPr="00722DF4">
        <w:rPr>
          <w:rFonts w:ascii="Arial" w:hAnsi="Arial" w:cs="Arial"/>
        </w:rPr>
        <w:t>Prim</w:t>
      </w:r>
      <w:r w:rsidR="00B66D43">
        <w:rPr>
          <w:rFonts w:ascii="Arial" w:hAnsi="Arial" w:cs="Arial"/>
        </w:rPr>
        <w:t>j</w:t>
      </w:r>
      <w:r w:rsidRPr="00722DF4">
        <w:rPr>
          <w:rFonts w:ascii="Arial" w:hAnsi="Arial" w:cs="Arial"/>
        </w:rPr>
        <w:t xml:space="preserve">enom SPU u </w:t>
      </w:r>
      <w:r w:rsidR="00A231CE" w:rsidRPr="00722DF4">
        <w:rPr>
          <w:rFonts w:ascii="Arial" w:hAnsi="Arial" w:cs="Arial"/>
        </w:rPr>
        <w:t>procesima planiranja različitih aktivnosti</w:t>
      </w:r>
      <w:r w:rsidRPr="00722DF4">
        <w:rPr>
          <w:rFonts w:ascii="Arial" w:hAnsi="Arial" w:cs="Arial"/>
        </w:rPr>
        <w:t>, otvara se prostor za sagledavanje nastalih prom</w:t>
      </w:r>
      <w:r w:rsidR="00B66D43">
        <w:rPr>
          <w:rFonts w:ascii="Arial" w:hAnsi="Arial" w:cs="Arial"/>
        </w:rPr>
        <w:t>j</w:t>
      </w:r>
      <w:r w:rsidRPr="00722DF4">
        <w:rPr>
          <w:rFonts w:ascii="Arial" w:hAnsi="Arial" w:cs="Arial"/>
        </w:rPr>
        <w:t xml:space="preserve">ena u prostoru i uvažavanje potreba </w:t>
      </w:r>
      <w:r w:rsidR="00A231CE" w:rsidRPr="00722DF4">
        <w:rPr>
          <w:rFonts w:ascii="Arial" w:hAnsi="Arial" w:cs="Arial"/>
        </w:rPr>
        <w:t>životne sredine</w:t>
      </w:r>
      <w:r w:rsidR="00B66D43">
        <w:rPr>
          <w:rFonts w:ascii="Arial" w:hAnsi="Arial" w:cs="Arial"/>
        </w:rPr>
        <w:t xml:space="preserve"> prostora obuhvata plana ili pro</w:t>
      </w:r>
      <w:r w:rsidR="00A231CE" w:rsidRPr="00722DF4">
        <w:rPr>
          <w:rFonts w:ascii="Arial" w:hAnsi="Arial" w:cs="Arial"/>
        </w:rPr>
        <w:t>grama</w:t>
      </w:r>
      <w:r w:rsidR="00B66D43">
        <w:rPr>
          <w:rFonts w:ascii="Arial" w:hAnsi="Arial" w:cs="Arial"/>
        </w:rPr>
        <w:t>. U okviru nje se</w:t>
      </w:r>
      <w:r w:rsidRPr="00722DF4">
        <w:rPr>
          <w:rFonts w:ascii="Arial" w:hAnsi="Arial" w:cs="Arial"/>
        </w:rPr>
        <w:t xml:space="preserve"> sve planom predviđene aktivnosti kritički razmatraju sa stanovišta uticaja na životnu sredinu</w:t>
      </w:r>
      <w:r w:rsidRPr="00722DF4">
        <w:rPr>
          <w:rFonts w:ascii="Arial" w:hAnsi="Arial" w:cs="Arial"/>
          <w:lang w:val="sr-Latn-BA"/>
        </w:rPr>
        <w:t xml:space="preserve"> i elemente održivog razvoja</w:t>
      </w:r>
      <w:r w:rsidRPr="00722DF4">
        <w:rPr>
          <w:rFonts w:ascii="Arial" w:hAnsi="Arial" w:cs="Arial"/>
        </w:rPr>
        <w:t>, nakon čega se donosi odluka da li će se pristupiti realizaciji plana i pod kojim uslovima, ili će se odustati od planiranih aktivnosti.</w:t>
      </w:r>
    </w:p>
    <w:p w:rsidR="00211F93" w:rsidRPr="00722DF4" w:rsidRDefault="00211F93" w:rsidP="00722DF4">
      <w:pPr>
        <w:pStyle w:val="Footer"/>
        <w:spacing w:line="276" w:lineRule="auto"/>
        <w:jc w:val="both"/>
        <w:rPr>
          <w:rFonts w:ascii="Arial" w:hAnsi="Arial" w:cs="Arial"/>
        </w:rPr>
      </w:pPr>
    </w:p>
    <w:p w:rsidR="00211F93" w:rsidRDefault="00211F93" w:rsidP="00722DF4">
      <w:pPr>
        <w:pStyle w:val="Footer"/>
        <w:spacing w:line="276" w:lineRule="auto"/>
        <w:jc w:val="both"/>
        <w:rPr>
          <w:rFonts w:ascii="Arial" w:hAnsi="Arial" w:cs="Arial"/>
        </w:rPr>
      </w:pPr>
      <w:r w:rsidRPr="00722DF4">
        <w:rPr>
          <w:rFonts w:ascii="Arial" w:hAnsi="Arial" w:cs="Arial"/>
        </w:rPr>
        <w:t>Planiranje podrazum</w:t>
      </w:r>
      <w:r w:rsidRPr="00722DF4">
        <w:rPr>
          <w:rFonts w:ascii="Arial" w:hAnsi="Arial" w:cs="Arial"/>
          <w:lang w:val="sr-Latn-CS"/>
        </w:rPr>
        <w:t>j</w:t>
      </w:r>
      <w:r w:rsidRPr="00722DF4">
        <w:rPr>
          <w:rFonts w:ascii="Arial" w:hAnsi="Arial" w:cs="Arial"/>
        </w:rPr>
        <w:t>eva razvoj, a strategija održivog razvoja zaht</w:t>
      </w:r>
      <w:r w:rsidRPr="00722DF4">
        <w:rPr>
          <w:rFonts w:ascii="Arial" w:hAnsi="Arial" w:cs="Arial"/>
          <w:lang w:val="sr-Latn-CS"/>
        </w:rPr>
        <w:t>j</w:t>
      </w:r>
      <w:r w:rsidRPr="00722DF4">
        <w:rPr>
          <w:rFonts w:ascii="Arial" w:hAnsi="Arial" w:cs="Arial"/>
        </w:rPr>
        <w:t>eva zaštitu životne sredine. U tom kontekstu, strateška proc</w:t>
      </w:r>
      <w:r w:rsidRPr="00722DF4">
        <w:rPr>
          <w:rFonts w:ascii="Arial" w:hAnsi="Arial" w:cs="Arial"/>
          <w:lang w:val="sr-Latn-BA"/>
        </w:rPr>
        <w:t>j</w:t>
      </w:r>
      <w:r w:rsidRPr="00722DF4">
        <w:rPr>
          <w:rFonts w:ascii="Arial" w:hAnsi="Arial" w:cs="Arial"/>
        </w:rPr>
        <w:t xml:space="preserve">ena uticaja predstavlja nezaobilazan instrument koji je u funkciji realizacije ciljeva održivog razvoja. </w:t>
      </w:r>
    </w:p>
    <w:p w:rsidR="00722DF4" w:rsidRPr="00722DF4" w:rsidRDefault="00722DF4" w:rsidP="00722DF4">
      <w:pPr>
        <w:pStyle w:val="Footer"/>
        <w:spacing w:line="276" w:lineRule="auto"/>
        <w:jc w:val="both"/>
        <w:rPr>
          <w:rFonts w:ascii="Arial" w:hAnsi="Arial" w:cs="Arial"/>
        </w:rPr>
      </w:pPr>
    </w:p>
    <w:p w:rsidR="00211F93" w:rsidRPr="00722DF4" w:rsidRDefault="00211F93" w:rsidP="00722DF4">
      <w:pPr>
        <w:pStyle w:val="Footer"/>
        <w:spacing w:line="276" w:lineRule="auto"/>
        <w:jc w:val="both"/>
        <w:rPr>
          <w:rFonts w:ascii="Arial" w:hAnsi="Arial" w:cs="Arial"/>
        </w:rPr>
      </w:pPr>
      <w:r w:rsidRPr="00722DF4">
        <w:rPr>
          <w:rFonts w:ascii="Arial" w:hAnsi="Arial" w:cs="Arial"/>
        </w:rPr>
        <w:t>SPU integriše socijalno–ekonomske i bio–fizičke segmente životne sredine, povezuje, analizira i proc</w:t>
      </w:r>
      <w:r w:rsidRPr="00722DF4">
        <w:rPr>
          <w:rFonts w:ascii="Arial" w:hAnsi="Arial" w:cs="Arial"/>
          <w:lang w:val="sr-Latn-BA"/>
        </w:rPr>
        <w:t>j</w:t>
      </w:r>
      <w:r w:rsidRPr="00722DF4">
        <w:rPr>
          <w:rFonts w:ascii="Arial" w:hAnsi="Arial" w:cs="Arial"/>
        </w:rPr>
        <w:t>enjuje aktivnosti različitih interesnih sfera i usm</w:t>
      </w:r>
      <w:r w:rsidRPr="00722DF4">
        <w:rPr>
          <w:rFonts w:ascii="Arial" w:hAnsi="Arial" w:cs="Arial"/>
          <w:lang w:val="sr-Latn-CS"/>
        </w:rPr>
        <w:t>j</w:t>
      </w:r>
      <w:r w:rsidRPr="00722DF4">
        <w:rPr>
          <w:rFonts w:ascii="Arial" w:hAnsi="Arial" w:cs="Arial"/>
        </w:rPr>
        <w:t>erava politiku, plan ili program ka r</w:t>
      </w:r>
      <w:r w:rsidRPr="00722DF4">
        <w:rPr>
          <w:rFonts w:ascii="Arial" w:hAnsi="Arial" w:cs="Arial"/>
          <w:lang w:val="sr-Latn-CS"/>
        </w:rPr>
        <w:t>j</w:t>
      </w:r>
      <w:r w:rsidRPr="00722DF4">
        <w:rPr>
          <w:rFonts w:ascii="Arial" w:hAnsi="Arial" w:cs="Arial"/>
        </w:rPr>
        <w:t>ešenjima koja su, pre svega</w:t>
      </w:r>
      <w:r w:rsidRPr="00722DF4">
        <w:rPr>
          <w:rFonts w:ascii="Arial" w:hAnsi="Arial" w:cs="Arial"/>
          <w:lang w:val="sr-Latn-BA"/>
        </w:rPr>
        <w:t>,</w:t>
      </w:r>
      <w:r w:rsidRPr="00722DF4">
        <w:rPr>
          <w:rFonts w:ascii="Arial" w:hAnsi="Arial" w:cs="Arial"/>
        </w:rPr>
        <w:t xml:space="preserve"> od interesa za životnu sredinu. </w:t>
      </w:r>
      <w:r w:rsidRPr="00722DF4">
        <w:rPr>
          <w:rFonts w:ascii="Arial" w:hAnsi="Arial" w:cs="Arial"/>
          <w:noProof/>
        </w:rPr>
        <w:t>To je instrument koji pomaže da se prilikom donošenja odluka u prostornom planiranju integrišu ciljevi i principi održivog razvoja, uvažavajući pri tome potrebu da se izb</w:t>
      </w:r>
      <w:r w:rsidR="00596F9E">
        <w:rPr>
          <w:rFonts w:ascii="Arial" w:hAnsi="Arial" w:cs="Arial"/>
          <w:noProof/>
        </w:rPr>
        <w:t>j</w:t>
      </w:r>
      <w:r w:rsidRPr="00722DF4">
        <w:rPr>
          <w:rFonts w:ascii="Arial" w:hAnsi="Arial" w:cs="Arial"/>
          <w:noProof/>
        </w:rPr>
        <w:t xml:space="preserve">egnu ili ograniče negativni uticaji na životnu sredinu, na zdravlje </w:t>
      </w:r>
      <w:r w:rsidRPr="00722DF4">
        <w:rPr>
          <w:rFonts w:ascii="Arial" w:hAnsi="Arial" w:cs="Arial"/>
          <w:noProof/>
          <w:lang w:val="sr-Latn-BA"/>
        </w:rPr>
        <w:t xml:space="preserve">stanovništva </w:t>
      </w:r>
      <w:r w:rsidRPr="00722DF4">
        <w:rPr>
          <w:rFonts w:ascii="Arial" w:hAnsi="Arial" w:cs="Arial"/>
          <w:noProof/>
        </w:rPr>
        <w:t>i društveno-ekonomski status stanovništva. Značaj SPU ogleda se u tome što:</w:t>
      </w:r>
    </w:p>
    <w:p w:rsidR="00211F93" w:rsidRPr="00722DF4" w:rsidRDefault="00211F93" w:rsidP="00722DF4">
      <w:pPr>
        <w:spacing w:after="0"/>
        <w:jc w:val="both"/>
        <w:rPr>
          <w:rFonts w:ascii="Arial" w:hAnsi="Arial" w:cs="Arial"/>
          <w:noProof/>
          <w:sz w:val="24"/>
          <w:szCs w:val="24"/>
          <w:lang w:val="sr-Cyrl-CS"/>
        </w:rPr>
      </w:pPr>
    </w:p>
    <w:p w:rsidR="00211F93" w:rsidRPr="00722DF4" w:rsidRDefault="00211F93" w:rsidP="00663F7F">
      <w:pPr>
        <w:pStyle w:val="buliti-ja"/>
        <w:numPr>
          <w:ilvl w:val="0"/>
          <w:numId w:val="21"/>
        </w:numPr>
        <w:spacing w:after="0" w:line="276" w:lineRule="auto"/>
        <w:ind w:left="709" w:hanging="425"/>
        <w:rPr>
          <w:rFonts w:ascii="Arial" w:hAnsi="Arial" w:cs="Arial"/>
          <w:b w:val="0"/>
          <w:bCs/>
          <w:noProof/>
          <w:sz w:val="24"/>
          <w:lang w:val="sr-Cyrl-CS"/>
        </w:rPr>
      </w:pPr>
      <w:r w:rsidRPr="00722DF4">
        <w:rPr>
          <w:rFonts w:ascii="Arial" w:hAnsi="Arial" w:cs="Arial"/>
          <w:b w:val="0"/>
          <w:bCs/>
          <w:noProof/>
          <w:sz w:val="24"/>
          <w:lang w:val="sr-Cyrl-CS"/>
        </w:rPr>
        <w:t xml:space="preserve">uključuje aspekt održivog razvoja baveći se uzrocima ekoloških problema na njihovom izvoru, </w:t>
      </w:r>
    </w:p>
    <w:p w:rsidR="00211F93" w:rsidRPr="00722DF4" w:rsidRDefault="00211F93" w:rsidP="00663F7F">
      <w:pPr>
        <w:pStyle w:val="buliti-ja"/>
        <w:numPr>
          <w:ilvl w:val="0"/>
          <w:numId w:val="21"/>
        </w:numPr>
        <w:spacing w:after="0" w:line="276" w:lineRule="auto"/>
        <w:ind w:left="709" w:hanging="425"/>
        <w:rPr>
          <w:rFonts w:ascii="Arial" w:hAnsi="Arial" w:cs="Arial"/>
          <w:b w:val="0"/>
          <w:bCs/>
          <w:noProof/>
          <w:sz w:val="24"/>
          <w:lang w:val="sr-Cyrl-CS"/>
        </w:rPr>
      </w:pPr>
      <w:r w:rsidRPr="00722DF4">
        <w:rPr>
          <w:rFonts w:ascii="Arial" w:hAnsi="Arial" w:cs="Arial"/>
          <w:b w:val="0"/>
          <w:bCs/>
          <w:noProof/>
          <w:sz w:val="24"/>
          <w:lang w:val="sr-Cyrl-CS"/>
        </w:rPr>
        <w:t>obrađuje pitanja i uticaje šireg značaja, koji se ne mogu pod</w:t>
      </w:r>
      <w:r w:rsidR="00596F9E">
        <w:rPr>
          <w:rFonts w:ascii="Arial" w:hAnsi="Arial" w:cs="Arial"/>
          <w:b w:val="0"/>
          <w:bCs/>
          <w:noProof/>
          <w:sz w:val="24"/>
          <w:lang w:val="sr-Latn-ME"/>
        </w:rPr>
        <w:t>i</w:t>
      </w:r>
      <w:r w:rsidRPr="00722DF4">
        <w:rPr>
          <w:rFonts w:ascii="Arial" w:hAnsi="Arial" w:cs="Arial"/>
          <w:b w:val="0"/>
          <w:bCs/>
          <w:noProof/>
          <w:sz w:val="24"/>
          <w:lang w:val="sr-Latn-BA"/>
        </w:rPr>
        <w:t>j</w:t>
      </w:r>
      <w:r w:rsidRPr="00722DF4">
        <w:rPr>
          <w:rFonts w:ascii="Arial" w:hAnsi="Arial" w:cs="Arial"/>
          <w:b w:val="0"/>
          <w:bCs/>
          <w:noProof/>
          <w:sz w:val="24"/>
          <w:lang w:val="sr-Cyrl-CS"/>
        </w:rPr>
        <w:t xml:space="preserve">eliti na projekte, na primer </w:t>
      </w:r>
      <w:r w:rsidRPr="00722DF4">
        <w:rPr>
          <w:rFonts w:ascii="Arial" w:hAnsi="Arial" w:cs="Arial"/>
          <w:bCs/>
          <w:noProof/>
          <w:sz w:val="24"/>
          <w:lang w:val="sr-Cyrl-CS"/>
        </w:rPr>
        <w:t>-</w:t>
      </w:r>
      <w:r w:rsidRPr="00722DF4">
        <w:rPr>
          <w:rFonts w:ascii="Arial" w:hAnsi="Arial" w:cs="Arial"/>
          <w:b w:val="0"/>
          <w:bCs/>
          <w:noProof/>
          <w:sz w:val="24"/>
          <w:lang w:val="sr-Cyrl-CS"/>
        </w:rPr>
        <w:t xml:space="preserve"> kumulativni i socijalni efekti,</w:t>
      </w:r>
    </w:p>
    <w:p w:rsidR="00211F93" w:rsidRPr="00722DF4" w:rsidRDefault="00211F93" w:rsidP="00663F7F">
      <w:pPr>
        <w:pStyle w:val="buliti-ja"/>
        <w:numPr>
          <w:ilvl w:val="0"/>
          <w:numId w:val="21"/>
        </w:numPr>
        <w:spacing w:after="0" w:line="276" w:lineRule="auto"/>
        <w:ind w:left="709" w:hanging="425"/>
        <w:rPr>
          <w:rFonts w:ascii="Arial" w:hAnsi="Arial" w:cs="Arial"/>
          <w:b w:val="0"/>
          <w:bCs/>
          <w:noProof/>
          <w:sz w:val="24"/>
          <w:lang w:val="sr-Cyrl-CS"/>
        </w:rPr>
      </w:pPr>
      <w:r w:rsidRPr="00722DF4">
        <w:rPr>
          <w:rFonts w:ascii="Arial" w:hAnsi="Arial" w:cs="Arial"/>
          <w:b w:val="0"/>
          <w:bCs/>
          <w:noProof/>
          <w:sz w:val="24"/>
          <w:lang w:val="sr-Cyrl-CS"/>
        </w:rPr>
        <w:t>pomaže da se prov</w:t>
      </w:r>
      <w:r w:rsidRPr="00722DF4">
        <w:rPr>
          <w:rFonts w:ascii="Arial" w:hAnsi="Arial" w:cs="Arial"/>
          <w:b w:val="0"/>
          <w:bCs/>
          <w:noProof/>
          <w:sz w:val="24"/>
          <w:lang w:val="sr-Latn-BA"/>
        </w:rPr>
        <w:t>j</w:t>
      </w:r>
      <w:r w:rsidRPr="00722DF4">
        <w:rPr>
          <w:rFonts w:ascii="Arial" w:hAnsi="Arial" w:cs="Arial"/>
          <w:b w:val="0"/>
          <w:bCs/>
          <w:noProof/>
          <w:sz w:val="24"/>
          <w:lang w:val="sr-Cyrl-CS"/>
        </w:rPr>
        <w:t>eri povoljnost različitih varijanti razvojnih koncepata,</w:t>
      </w:r>
    </w:p>
    <w:p w:rsidR="00211F93" w:rsidRPr="00722DF4" w:rsidRDefault="00211F93" w:rsidP="00663F7F">
      <w:pPr>
        <w:pStyle w:val="buliti-ja"/>
        <w:numPr>
          <w:ilvl w:val="0"/>
          <w:numId w:val="21"/>
        </w:numPr>
        <w:spacing w:after="0" w:line="276" w:lineRule="auto"/>
        <w:ind w:left="709" w:hanging="425"/>
        <w:rPr>
          <w:rFonts w:ascii="Arial" w:hAnsi="Arial" w:cs="Arial"/>
          <w:b w:val="0"/>
          <w:bCs/>
          <w:noProof/>
          <w:sz w:val="24"/>
          <w:lang w:val="sr-Cyrl-CS"/>
        </w:rPr>
      </w:pPr>
      <w:r w:rsidRPr="00722DF4">
        <w:rPr>
          <w:rFonts w:ascii="Arial" w:hAnsi="Arial" w:cs="Arial"/>
          <w:b w:val="0"/>
          <w:bCs/>
          <w:noProof/>
          <w:sz w:val="24"/>
          <w:lang w:val="sr-Cyrl-CS"/>
        </w:rPr>
        <w:t>izb</w:t>
      </w:r>
      <w:r w:rsidRPr="00722DF4">
        <w:rPr>
          <w:rFonts w:ascii="Arial" w:hAnsi="Arial" w:cs="Arial"/>
          <w:b w:val="0"/>
          <w:bCs/>
          <w:noProof/>
          <w:sz w:val="24"/>
          <w:lang w:val="sr-Latn-CS"/>
        </w:rPr>
        <w:t>j</w:t>
      </w:r>
      <w:r w:rsidRPr="00722DF4">
        <w:rPr>
          <w:rFonts w:ascii="Arial" w:hAnsi="Arial" w:cs="Arial"/>
          <w:b w:val="0"/>
          <w:bCs/>
          <w:noProof/>
          <w:sz w:val="24"/>
          <w:lang w:val="sr-Cyrl-CS"/>
        </w:rPr>
        <w:t>egava ograničenja koja se pojavljuju kada se vrši proc</w:t>
      </w:r>
      <w:r w:rsidRPr="00722DF4">
        <w:rPr>
          <w:rFonts w:ascii="Arial" w:hAnsi="Arial" w:cs="Arial"/>
          <w:b w:val="0"/>
          <w:bCs/>
          <w:noProof/>
          <w:sz w:val="24"/>
          <w:lang w:val="sr-Latn-BA"/>
        </w:rPr>
        <w:t>j</w:t>
      </w:r>
      <w:r w:rsidRPr="00722DF4">
        <w:rPr>
          <w:rFonts w:ascii="Arial" w:hAnsi="Arial" w:cs="Arial"/>
          <w:b w:val="0"/>
          <w:bCs/>
          <w:noProof/>
          <w:sz w:val="24"/>
          <w:lang w:val="sr-Cyrl-CS"/>
        </w:rPr>
        <w:t>ena uticaja na životnu sredinu već definisanog projekta.</w:t>
      </w:r>
    </w:p>
    <w:p w:rsidR="00211F93" w:rsidRPr="00722DF4" w:rsidRDefault="00211F93" w:rsidP="00663F7F">
      <w:pPr>
        <w:pStyle w:val="buliti-ja"/>
        <w:numPr>
          <w:ilvl w:val="0"/>
          <w:numId w:val="21"/>
        </w:numPr>
        <w:spacing w:after="0" w:line="276" w:lineRule="auto"/>
        <w:ind w:left="709" w:hanging="425"/>
        <w:rPr>
          <w:rFonts w:ascii="Arial" w:hAnsi="Arial" w:cs="Arial"/>
          <w:b w:val="0"/>
          <w:bCs/>
          <w:noProof/>
          <w:sz w:val="24"/>
          <w:lang w:val="sr-Cyrl-CS"/>
        </w:rPr>
      </w:pPr>
      <w:r w:rsidRPr="009C2BEC">
        <w:rPr>
          <w:rFonts w:ascii="Arial" w:hAnsi="Arial" w:cs="Arial"/>
          <w:b w:val="0"/>
          <w:bCs/>
          <w:noProof/>
          <w:sz w:val="24"/>
          <w:lang w:val="sr-Cyrl-CS"/>
        </w:rPr>
        <w:t>obezb</w:t>
      </w:r>
      <w:r w:rsidRPr="009C2BEC">
        <w:rPr>
          <w:rFonts w:ascii="Arial" w:hAnsi="Arial" w:cs="Arial"/>
          <w:b w:val="0"/>
          <w:bCs/>
          <w:noProof/>
          <w:sz w:val="24"/>
          <w:lang w:val="sr-Latn-CS"/>
        </w:rPr>
        <w:t>j</w:t>
      </w:r>
      <w:r w:rsidRPr="009C2BEC">
        <w:rPr>
          <w:rFonts w:ascii="Arial" w:hAnsi="Arial" w:cs="Arial"/>
          <w:b w:val="0"/>
          <w:bCs/>
          <w:noProof/>
          <w:sz w:val="24"/>
          <w:lang w:val="sr-Cyrl-CS"/>
        </w:rPr>
        <w:t>e</w:t>
      </w:r>
      <w:r w:rsidRPr="009C2BEC">
        <w:rPr>
          <w:rFonts w:ascii="Arial" w:hAnsi="Arial" w:cs="Arial"/>
          <w:b w:val="0"/>
          <w:bCs/>
          <w:noProof/>
          <w:sz w:val="24"/>
          <w:lang w:val="sr-Latn-CS"/>
        </w:rPr>
        <w:t>đ</w:t>
      </w:r>
      <w:r w:rsidRPr="009C2BEC">
        <w:rPr>
          <w:rFonts w:ascii="Arial" w:hAnsi="Arial" w:cs="Arial"/>
          <w:b w:val="0"/>
          <w:bCs/>
          <w:noProof/>
          <w:sz w:val="24"/>
          <w:lang w:val="sr-Cyrl-CS"/>
        </w:rPr>
        <w:t xml:space="preserve">uje </w:t>
      </w:r>
      <w:r w:rsidRPr="00722DF4">
        <w:rPr>
          <w:rFonts w:ascii="Arial" w:hAnsi="Arial" w:cs="Arial"/>
          <w:b w:val="0"/>
          <w:bCs/>
          <w:noProof/>
          <w:sz w:val="24"/>
          <w:lang w:val="sr-Cyrl-CS"/>
        </w:rPr>
        <w:t xml:space="preserve">lokacionu kompatibilnost planiranih rešenja sa aspekta životne sredine, </w:t>
      </w:r>
    </w:p>
    <w:p w:rsidR="00211F93" w:rsidRPr="00722DF4" w:rsidRDefault="00211F93" w:rsidP="00663F7F">
      <w:pPr>
        <w:numPr>
          <w:ilvl w:val="0"/>
          <w:numId w:val="21"/>
        </w:numPr>
        <w:spacing w:after="0"/>
        <w:ind w:left="709" w:hanging="425"/>
        <w:jc w:val="both"/>
        <w:rPr>
          <w:rFonts w:ascii="Arial" w:hAnsi="Arial" w:cs="Arial"/>
          <w:noProof/>
          <w:sz w:val="24"/>
          <w:szCs w:val="24"/>
          <w:lang w:val="sr-Cyrl-CS"/>
        </w:rPr>
      </w:pPr>
      <w:r w:rsidRPr="00722DF4">
        <w:rPr>
          <w:rFonts w:ascii="Arial" w:hAnsi="Arial" w:cs="Arial"/>
          <w:noProof/>
          <w:sz w:val="24"/>
          <w:szCs w:val="24"/>
          <w:lang w:val="sr-Cyrl-CS"/>
        </w:rPr>
        <w:t>utvrđuje odgovarajući kontekst za analizu uticaja konkretnih projekata, uključujući i prethodnu identifikaciju problema i uticaja koji zaslužuju detaljnije istraživanje, itd.</w:t>
      </w:r>
    </w:p>
    <w:p w:rsidR="00211F93" w:rsidRPr="00722DF4" w:rsidRDefault="00211F93" w:rsidP="00722DF4">
      <w:pPr>
        <w:pStyle w:val="1tekst"/>
        <w:spacing w:before="0" w:beforeAutospacing="0" w:after="0" w:afterAutospacing="0" w:line="276" w:lineRule="auto"/>
        <w:ind w:firstLine="0"/>
        <w:rPr>
          <w:sz w:val="24"/>
          <w:lang w:val="sr-Cyrl-CS"/>
        </w:rPr>
      </w:pPr>
    </w:p>
    <w:p w:rsidR="00211F93" w:rsidRDefault="00211F93" w:rsidP="00231FAD">
      <w:pPr>
        <w:autoSpaceDE w:val="0"/>
        <w:autoSpaceDN w:val="0"/>
        <w:adjustRightInd w:val="0"/>
        <w:spacing w:after="0"/>
        <w:jc w:val="both"/>
        <w:rPr>
          <w:rFonts w:ascii="Arial" w:hAnsi="Arial" w:cs="Arial"/>
          <w:sz w:val="24"/>
          <w:szCs w:val="24"/>
        </w:rPr>
      </w:pPr>
      <w:r w:rsidRPr="00722DF4">
        <w:rPr>
          <w:rFonts w:ascii="Arial" w:hAnsi="Arial" w:cs="Arial"/>
          <w:sz w:val="24"/>
          <w:szCs w:val="24"/>
          <w:lang w:val="pl-PL"/>
        </w:rPr>
        <w:t>Zakonom o strate</w:t>
      </w:r>
      <w:r w:rsidRPr="00722DF4">
        <w:rPr>
          <w:rFonts w:ascii="Arial" w:hAnsi="Arial" w:cs="Arial"/>
          <w:sz w:val="24"/>
          <w:szCs w:val="24"/>
          <w:lang w:val="sr-Cyrl-CS"/>
        </w:rPr>
        <w:t>š</w:t>
      </w:r>
      <w:r w:rsidRPr="00722DF4">
        <w:rPr>
          <w:rFonts w:ascii="Arial" w:hAnsi="Arial" w:cs="Arial"/>
          <w:sz w:val="24"/>
          <w:szCs w:val="24"/>
          <w:lang w:val="pl-PL"/>
        </w:rPr>
        <w:t>koj procjeni uticaja</w:t>
      </w:r>
      <w:r w:rsidRPr="00722DF4">
        <w:rPr>
          <w:rFonts w:ascii="Arial" w:hAnsi="Arial" w:cs="Arial"/>
          <w:sz w:val="24"/>
          <w:szCs w:val="24"/>
          <w:lang w:val="sr-Cyrl-CS"/>
        </w:rPr>
        <w:t xml:space="preserve"> (“</w:t>
      </w:r>
      <w:r w:rsidRPr="00722DF4">
        <w:rPr>
          <w:rFonts w:ascii="Arial" w:hAnsi="Arial" w:cs="Arial"/>
          <w:sz w:val="24"/>
          <w:szCs w:val="24"/>
          <w:lang w:val="pl-PL"/>
        </w:rPr>
        <w:t>Slu</w:t>
      </w:r>
      <w:r w:rsidRPr="00722DF4">
        <w:rPr>
          <w:rFonts w:ascii="Arial" w:hAnsi="Arial" w:cs="Arial"/>
          <w:sz w:val="24"/>
          <w:szCs w:val="24"/>
          <w:lang w:val="sr-Cyrl-CS"/>
        </w:rPr>
        <w:t>ž</w:t>
      </w:r>
      <w:r w:rsidRPr="00722DF4">
        <w:rPr>
          <w:rFonts w:ascii="Arial" w:hAnsi="Arial" w:cs="Arial"/>
          <w:sz w:val="24"/>
          <w:szCs w:val="24"/>
          <w:lang w:val="pl-PL"/>
        </w:rPr>
        <w:t>beni list RCG</w:t>
      </w:r>
      <w:r w:rsidRPr="00722DF4">
        <w:rPr>
          <w:rFonts w:ascii="Arial" w:hAnsi="Arial" w:cs="Arial"/>
          <w:sz w:val="24"/>
          <w:szCs w:val="24"/>
          <w:lang w:val="sr-Cyrl-CS"/>
        </w:rPr>
        <w:t xml:space="preserve">”, </w:t>
      </w:r>
      <w:r w:rsidRPr="00722DF4">
        <w:rPr>
          <w:rFonts w:ascii="Arial" w:hAnsi="Arial" w:cs="Arial"/>
          <w:sz w:val="24"/>
          <w:szCs w:val="24"/>
          <w:lang w:val="pl-PL"/>
        </w:rPr>
        <w:t>br</w:t>
      </w:r>
      <w:r w:rsidRPr="00722DF4">
        <w:rPr>
          <w:rFonts w:ascii="Arial" w:hAnsi="Arial" w:cs="Arial"/>
          <w:sz w:val="24"/>
          <w:szCs w:val="24"/>
          <w:lang w:val="sr-Cyrl-CS"/>
        </w:rPr>
        <w:t>.80/05</w:t>
      </w:r>
      <w:r w:rsidRPr="00722DF4">
        <w:rPr>
          <w:rFonts w:ascii="Arial" w:hAnsi="Arial" w:cs="Arial"/>
          <w:sz w:val="24"/>
          <w:szCs w:val="24"/>
          <w:lang w:val="sr-Latn-CS"/>
        </w:rPr>
        <w:t>, 59/11 i 52/16</w:t>
      </w:r>
      <w:r w:rsidRPr="00722DF4">
        <w:rPr>
          <w:rFonts w:ascii="Arial" w:hAnsi="Arial" w:cs="Arial"/>
          <w:sz w:val="24"/>
          <w:szCs w:val="24"/>
          <w:lang w:val="sr-Cyrl-CS"/>
        </w:rPr>
        <w:t xml:space="preserve">) </w:t>
      </w:r>
      <w:r w:rsidRPr="00722DF4">
        <w:rPr>
          <w:rFonts w:ascii="Arial" w:hAnsi="Arial" w:cs="Arial"/>
          <w:sz w:val="24"/>
          <w:szCs w:val="24"/>
          <w:lang w:val="pl-PL"/>
        </w:rPr>
        <w:t>definisana je obaveza sprovo</w:t>
      </w:r>
      <w:r w:rsidRPr="00722DF4">
        <w:rPr>
          <w:rFonts w:ascii="Arial" w:hAnsi="Arial" w:cs="Arial"/>
          <w:sz w:val="24"/>
          <w:szCs w:val="24"/>
          <w:lang w:val="sr-Cyrl-CS"/>
        </w:rPr>
        <w:t>đ</w:t>
      </w:r>
      <w:r w:rsidRPr="00722DF4">
        <w:rPr>
          <w:rFonts w:ascii="Arial" w:hAnsi="Arial" w:cs="Arial"/>
          <w:sz w:val="24"/>
          <w:szCs w:val="24"/>
          <w:lang w:val="pl-PL"/>
        </w:rPr>
        <w:t>enja postupka strate</w:t>
      </w:r>
      <w:r w:rsidRPr="00722DF4">
        <w:rPr>
          <w:rFonts w:ascii="Arial" w:hAnsi="Arial" w:cs="Arial"/>
          <w:sz w:val="24"/>
          <w:szCs w:val="24"/>
          <w:lang w:val="sr-Cyrl-CS"/>
        </w:rPr>
        <w:t>š</w:t>
      </w:r>
      <w:r w:rsidRPr="00722DF4">
        <w:rPr>
          <w:rFonts w:ascii="Arial" w:hAnsi="Arial" w:cs="Arial"/>
          <w:sz w:val="24"/>
          <w:szCs w:val="24"/>
          <w:lang w:val="pl-PL"/>
        </w:rPr>
        <w:t>ke procjene uticaja na</w:t>
      </w:r>
      <w:r w:rsidRPr="00722DF4">
        <w:rPr>
          <w:rFonts w:ascii="Arial" w:hAnsi="Arial" w:cs="Arial"/>
          <w:sz w:val="24"/>
          <w:szCs w:val="24"/>
          <w:lang w:val="sr-Cyrl-CS"/>
        </w:rPr>
        <w:t xml:space="preserve"> ž</w:t>
      </w:r>
      <w:r w:rsidRPr="00722DF4">
        <w:rPr>
          <w:rFonts w:ascii="Arial" w:hAnsi="Arial" w:cs="Arial"/>
          <w:sz w:val="24"/>
          <w:szCs w:val="24"/>
          <w:lang w:val="pl-PL"/>
        </w:rPr>
        <w:t>ivotnu sredinu za planove i programe iz oblasti urbanisti</w:t>
      </w:r>
      <w:r w:rsidRPr="00722DF4">
        <w:rPr>
          <w:rFonts w:ascii="Arial" w:hAnsi="Arial" w:cs="Arial"/>
          <w:sz w:val="24"/>
          <w:szCs w:val="24"/>
          <w:lang w:val="sr-Cyrl-CS"/>
        </w:rPr>
        <w:t>č</w:t>
      </w:r>
      <w:r w:rsidRPr="00722DF4">
        <w:rPr>
          <w:rFonts w:ascii="Arial" w:hAnsi="Arial" w:cs="Arial"/>
          <w:sz w:val="24"/>
          <w:szCs w:val="24"/>
          <w:lang w:val="pl-PL"/>
        </w:rPr>
        <w:t>kog ili prostornog planiranja</w:t>
      </w:r>
      <w:r w:rsidR="00231FAD">
        <w:rPr>
          <w:rFonts w:ascii="Arial" w:hAnsi="Arial" w:cs="Arial"/>
          <w:sz w:val="24"/>
          <w:szCs w:val="24"/>
          <w:lang w:val="sr-Cyrl-CS"/>
        </w:rPr>
        <w:t>.</w:t>
      </w:r>
    </w:p>
    <w:p w:rsidR="00231FAD" w:rsidRPr="00231FAD" w:rsidRDefault="00231FAD" w:rsidP="00231FAD">
      <w:pPr>
        <w:autoSpaceDE w:val="0"/>
        <w:autoSpaceDN w:val="0"/>
        <w:adjustRightInd w:val="0"/>
        <w:spacing w:after="0"/>
        <w:jc w:val="both"/>
        <w:rPr>
          <w:rFonts w:ascii="Arial" w:hAnsi="Arial" w:cs="Arial"/>
          <w:sz w:val="24"/>
          <w:szCs w:val="24"/>
        </w:rPr>
      </w:pPr>
    </w:p>
    <w:p w:rsidR="00211F93" w:rsidRPr="00722DF4" w:rsidRDefault="00211F93" w:rsidP="00722DF4">
      <w:pPr>
        <w:pStyle w:val="1tekst"/>
        <w:spacing w:before="0" w:beforeAutospacing="0" w:after="0" w:afterAutospacing="0" w:line="276" w:lineRule="auto"/>
        <w:ind w:firstLine="0"/>
        <w:rPr>
          <w:sz w:val="24"/>
          <w:lang w:val="sr-Cyrl-CS"/>
        </w:rPr>
      </w:pPr>
      <w:r w:rsidRPr="00722DF4">
        <w:rPr>
          <w:sz w:val="24"/>
          <w:lang w:val="sr-Cyrl-CS"/>
        </w:rPr>
        <w:t>U</w:t>
      </w:r>
      <w:r w:rsidRPr="00722DF4">
        <w:rPr>
          <w:sz w:val="24"/>
          <w:lang w:val="sr-Latn-CS"/>
        </w:rPr>
        <w:t xml:space="preserve"> savremenom planiranju prostora</w:t>
      </w:r>
      <w:r w:rsidRPr="00722DF4">
        <w:rPr>
          <w:sz w:val="24"/>
          <w:lang w:val="sr-Cyrl-CS"/>
        </w:rPr>
        <w:t xml:space="preserve">, uvođenjem </w:t>
      </w:r>
      <w:r w:rsidR="009C2BEC">
        <w:rPr>
          <w:sz w:val="24"/>
          <w:lang w:val="sr-Latn-CS"/>
        </w:rPr>
        <w:t>i</w:t>
      </w:r>
      <w:r w:rsidRPr="00722DF4">
        <w:rPr>
          <w:sz w:val="24"/>
          <w:lang w:val="sr-Latn-CS"/>
        </w:rPr>
        <w:t xml:space="preserve">zvještaja o </w:t>
      </w:r>
      <w:r w:rsidRPr="00722DF4">
        <w:rPr>
          <w:sz w:val="24"/>
          <w:lang w:val="sr-Cyrl-CS"/>
        </w:rPr>
        <w:t>stratešk</w:t>
      </w:r>
      <w:r w:rsidRPr="00722DF4">
        <w:rPr>
          <w:sz w:val="24"/>
          <w:lang w:val="sr-Latn-CS"/>
        </w:rPr>
        <w:t>oj</w:t>
      </w:r>
      <w:r w:rsidRPr="00722DF4">
        <w:rPr>
          <w:sz w:val="24"/>
          <w:lang w:val="sr-Cyrl-CS"/>
        </w:rPr>
        <w:t xml:space="preserve"> procjen</w:t>
      </w:r>
      <w:r w:rsidRPr="00722DF4">
        <w:rPr>
          <w:sz w:val="24"/>
          <w:lang w:val="sr-Latn-CS"/>
        </w:rPr>
        <w:t>i</w:t>
      </w:r>
      <w:r w:rsidRPr="00722DF4">
        <w:rPr>
          <w:sz w:val="24"/>
          <w:lang w:val="sr-Cyrl-CS"/>
        </w:rPr>
        <w:t xml:space="preserve"> uticaja, </w:t>
      </w:r>
      <w:r w:rsidRPr="00722DF4">
        <w:rPr>
          <w:sz w:val="24"/>
          <w:lang w:val="sr-Latn-CS"/>
        </w:rPr>
        <w:t>ekološka dimenzija prožima čitav proces izrade planskih dokumenata i integri</w:t>
      </w:r>
      <w:r w:rsidRPr="00722DF4">
        <w:rPr>
          <w:sz w:val="24"/>
          <w:lang w:val="sr-Cyrl-CS"/>
        </w:rPr>
        <w:t>sana je</w:t>
      </w:r>
      <w:r w:rsidRPr="00722DF4">
        <w:rPr>
          <w:sz w:val="24"/>
          <w:lang w:val="sr-Latn-CS"/>
        </w:rPr>
        <w:t xml:space="preserve"> u planska rješenja, čime se planovi stavljaju u funkciju realizacije ciljeva održivog razvoja.</w:t>
      </w:r>
    </w:p>
    <w:p w:rsidR="00211F93" w:rsidRPr="00722DF4" w:rsidRDefault="00211F93" w:rsidP="00722DF4">
      <w:pPr>
        <w:pStyle w:val="1tekst"/>
        <w:spacing w:before="0" w:beforeAutospacing="0" w:after="0" w:afterAutospacing="0" w:line="276" w:lineRule="auto"/>
        <w:ind w:firstLine="0"/>
        <w:rPr>
          <w:sz w:val="24"/>
          <w:lang w:val="sr-Latn-BA"/>
        </w:rPr>
      </w:pPr>
    </w:p>
    <w:p w:rsidR="00211F93" w:rsidRPr="00722DF4" w:rsidRDefault="00211F93" w:rsidP="00722DF4">
      <w:pPr>
        <w:pStyle w:val="1tekst"/>
        <w:spacing w:before="0" w:beforeAutospacing="0" w:after="0" w:afterAutospacing="0" w:line="276" w:lineRule="auto"/>
        <w:ind w:firstLine="0"/>
        <w:rPr>
          <w:sz w:val="24"/>
          <w:lang w:val="sr-Latn-BA"/>
        </w:rPr>
      </w:pPr>
      <w:r w:rsidRPr="00722DF4">
        <w:rPr>
          <w:sz w:val="24"/>
          <w:lang w:val="sr-Latn-BA"/>
        </w:rPr>
        <w:t>Međutim, ekološka dimenzija predstavlja važan, ali ne i jedini aspekt koji sagledava ovaj instrument. Naime, poseban doprinos strateške procjene uticaja je doprinos realizaciji ciljeva održivog razvoja. To podrazumijeva da se, poreg sagledavanja ekološke dimenzije, posebna pažnja posvećuje i analizi uticaja planskih rješenja na socijalnu i ekomonsku komponentu razvoja.</w:t>
      </w:r>
    </w:p>
    <w:p w:rsidR="00211F93" w:rsidRPr="00722DF4" w:rsidRDefault="00211F93" w:rsidP="00722DF4">
      <w:pPr>
        <w:pStyle w:val="1tekst"/>
        <w:spacing w:before="0" w:beforeAutospacing="0" w:after="0" w:afterAutospacing="0" w:line="276" w:lineRule="auto"/>
        <w:ind w:firstLine="0"/>
        <w:rPr>
          <w:sz w:val="24"/>
          <w:lang w:val="sr-Latn-BA"/>
        </w:rPr>
      </w:pPr>
    </w:p>
    <w:p w:rsidR="00211F93" w:rsidRPr="00722DF4" w:rsidRDefault="00211F93" w:rsidP="00722DF4">
      <w:pPr>
        <w:pStyle w:val="1tekst"/>
        <w:spacing w:before="0" w:beforeAutospacing="0" w:after="0" w:afterAutospacing="0" w:line="276" w:lineRule="auto"/>
        <w:ind w:firstLine="0"/>
        <w:rPr>
          <w:bCs/>
          <w:sz w:val="24"/>
          <w:lang w:val="sr-Latn-CS"/>
        </w:rPr>
      </w:pPr>
      <w:r w:rsidRPr="00722DF4">
        <w:rPr>
          <w:sz w:val="24"/>
          <w:lang w:val="sr-Cyrl-CS"/>
        </w:rPr>
        <w:t xml:space="preserve">Jedna od prednosti izrade </w:t>
      </w:r>
      <w:r w:rsidRPr="00722DF4">
        <w:rPr>
          <w:sz w:val="24"/>
          <w:lang w:val="sr-Latn-BA"/>
        </w:rPr>
        <w:t xml:space="preserve">ovog </w:t>
      </w:r>
      <w:r w:rsidRPr="00722DF4">
        <w:rPr>
          <w:sz w:val="24"/>
          <w:lang w:val="sr-Cyrl-CS"/>
        </w:rPr>
        <w:t>Izv</w:t>
      </w:r>
      <w:r w:rsidRPr="00722DF4">
        <w:rPr>
          <w:sz w:val="24"/>
        </w:rPr>
        <w:t>j</w:t>
      </w:r>
      <w:r w:rsidRPr="00722DF4">
        <w:rPr>
          <w:sz w:val="24"/>
          <w:lang w:val="sr-Cyrl-CS"/>
        </w:rPr>
        <w:t xml:space="preserve">eštaja </w:t>
      </w:r>
      <w:r w:rsidRPr="00722DF4">
        <w:rPr>
          <w:sz w:val="24"/>
          <w:lang w:val="sr-Latn-BA"/>
        </w:rPr>
        <w:t>je u tome što je njegova izrada tekla paralelno sa izradom Plana, stvarajući na taj način mogućnosti za valorizaciju i evaluaciju različitih varijantnih rješenja</w:t>
      </w:r>
      <w:r w:rsidRPr="00722DF4">
        <w:rPr>
          <w:bCs/>
          <w:sz w:val="24"/>
          <w:lang w:val="sr-Cyrl-CS"/>
        </w:rPr>
        <w:t xml:space="preserve">, što </w:t>
      </w:r>
      <w:r w:rsidRPr="00722DF4">
        <w:rPr>
          <w:bCs/>
          <w:sz w:val="24"/>
          <w:lang w:val="sr-Latn-BA"/>
        </w:rPr>
        <w:t xml:space="preserve">je </w:t>
      </w:r>
      <w:r w:rsidRPr="00722DF4">
        <w:rPr>
          <w:bCs/>
          <w:sz w:val="24"/>
          <w:lang w:val="sr-Cyrl-CS"/>
        </w:rPr>
        <w:t>pruž</w:t>
      </w:r>
      <w:r w:rsidRPr="00722DF4">
        <w:rPr>
          <w:bCs/>
          <w:sz w:val="24"/>
          <w:lang w:val="sr-Latn-BA"/>
        </w:rPr>
        <w:t>ilo</w:t>
      </w:r>
      <w:r w:rsidRPr="00722DF4">
        <w:rPr>
          <w:bCs/>
          <w:sz w:val="24"/>
          <w:lang w:val="sr-Cyrl-CS"/>
        </w:rPr>
        <w:t xml:space="preserve"> mogućnost </w:t>
      </w:r>
      <w:r w:rsidRPr="00722DF4">
        <w:rPr>
          <w:bCs/>
          <w:sz w:val="24"/>
          <w:lang w:val="sr-Latn-BA"/>
        </w:rPr>
        <w:t>za izbor najpovoljnijeg varijantnog rješenja, što kroz sam planski proces, što kroz saradnju sa nadležnim institucijama i zainteresovanim organima i organizacijama</w:t>
      </w:r>
      <w:r w:rsidRPr="00722DF4">
        <w:rPr>
          <w:bCs/>
          <w:sz w:val="24"/>
          <w:lang w:val="sr-Cyrl-CS"/>
        </w:rPr>
        <w:t>.</w:t>
      </w:r>
    </w:p>
    <w:p w:rsidR="00211F93" w:rsidRPr="00722DF4" w:rsidRDefault="00211F93" w:rsidP="00722DF4">
      <w:pPr>
        <w:pStyle w:val="1tekst"/>
        <w:spacing w:before="0" w:beforeAutospacing="0" w:after="0" w:afterAutospacing="0" w:line="276" w:lineRule="auto"/>
        <w:ind w:firstLine="0"/>
        <w:rPr>
          <w:bCs/>
          <w:sz w:val="24"/>
          <w:lang w:val="sr-Latn-CS"/>
        </w:rPr>
      </w:pPr>
    </w:p>
    <w:p w:rsidR="00211F93" w:rsidRPr="00722DF4" w:rsidRDefault="00211F93" w:rsidP="00722DF4">
      <w:pPr>
        <w:pStyle w:val="1tekst"/>
        <w:spacing w:before="0" w:beforeAutospacing="0" w:after="0" w:afterAutospacing="0" w:line="276" w:lineRule="auto"/>
        <w:ind w:firstLine="0"/>
        <w:rPr>
          <w:bCs/>
          <w:sz w:val="24"/>
          <w:lang w:val="sr-Latn-CS"/>
        </w:rPr>
      </w:pPr>
      <w:r w:rsidRPr="00722DF4">
        <w:rPr>
          <w:bCs/>
          <w:sz w:val="24"/>
          <w:lang w:val="sr-Latn-CS"/>
        </w:rPr>
        <w:t xml:space="preserve">Drugi doprinos ovakvog pristupa omogućio je usmjeravanje planskih rješenja u pravcu ostvarivanja postavljenih ciljeva u samom procesu planiranja. Na taj način preventivno se deluje u cilju izbjegavanja potencijalnih konflikata u prostoru koliko god je to moguće. </w:t>
      </w:r>
    </w:p>
    <w:p w:rsidR="00211F93" w:rsidRPr="00722DF4" w:rsidRDefault="00211F93" w:rsidP="00722DF4">
      <w:pPr>
        <w:pStyle w:val="1tekst"/>
        <w:spacing w:before="0" w:beforeAutospacing="0" w:after="0" w:afterAutospacing="0" w:line="276" w:lineRule="auto"/>
        <w:ind w:firstLine="0"/>
        <w:rPr>
          <w:sz w:val="24"/>
          <w:lang w:val="sr-Latn-CS"/>
        </w:rPr>
      </w:pPr>
    </w:p>
    <w:p w:rsidR="00314E1F" w:rsidRPr="00722DF4" w:rsidRDefault="00314E1F" w:rsidP="00722DF4">
      <w:pPr>
        <w:pStyle w:val="1tekst"/>
        <w:spacing w:before="0" w:beforeAutospacing="0" w:after="0" w:afterAutospacing="0" w:line="276" w:lineRule="auto"/>
        <w:ind w:firstLine="0"/>
        <w:rPr>
          <w:sz w:val="24"/>
          <w:lang w:val="sr-Cyrl-CS"/>
        </w:rPr>
      </w:pPr>
      <w:r w:rsidRPr="00722DF4">
        <w:rPr>
          <w:sz w:val="24"/>
          <w:lang w:val="sr-Cyrl-CS"/>
        </w:rPr>
        <w:t>N</w:t>
      </w:r>
      <w:r w:rsidRPr="00722DF4">
        <w:rPr>
          <w:bCs/>
          <w:sz w:val="24"/>
          <w:lang w:val="sr-Cyrl-CS"/>
        </w:rPr>
        <w:t>osilac izrade Izv</w:t>
      </w:r>
      <w:r w:rsidRPr="00722DF4">
        <w:rPr>
          <w:bCs/>
          <w:sz w:val="24"/>
        </w:rPr>
        <w:t>j</w:t>
      </w:r>
      <w:r w:rsidRPr="00722DF4">
        <w:rPr>
          <w:bCs/>
          <w:sz w:val="24"/>
          <w:lang w:val="sr-Cyrl-CS"/>
        </w:rPr>
        <w:t xml:space="preserve">eštaja o strateškoj procjeni uticaja na životnu sredinu je </w:t>
      </w:r>
      <w:r w:rsidRPr="00722DF4">
        <w:rPr>
          <w:bCs/>
          <w:sz w:val="24"/>
        </w:rPr>
        <w:t>firma Europrojekt d.o.o</w:t>
      </w:r>
      <w:r w:rsidRPr="00722DF4">
        <w:rPr>
          <w:rStyle w:val="spelle"/>
          <w:sz w:val="24"/>
          <w:lang w:val="sr-Latn-BA"/>
        </w:rPr>
        <w:t xml:space="preserve"> koje je za potrebe </w:t>
      </w:r>
      <w:r w:rsidRPr="00722DF4">
        <w:rPr>
          <w:sz w:val="24"/>
          <w:lang w:val="sr-Cyrl-CS"/>
        </w:rPr>
        <w:t>izrad</w:t>
      </w:r>
      <w:r w:rsidRPr="00722DF4">
        <w:rPr>
          <w:sz w:val="24"/>
          <w:lang w:val="sr-Latn-BA"/>
        </w:rPr>
        <w:t>e</w:t>
      </w:r>
      <w:r w:rsidRPr="00722DF4">
        <w:rPr>
          <w:sz w:val="24"/>
          <w:lang w:val="sr-Cyrl-CS"/>
        </w:rPr>
        <w:t xml:space="preserve"> </w:t>
      </w:r>
      <w:r w:rsidRPr="00722DF4">
        <w:rPr>
          <w:sz w:val="24"/>
        </w:rPr>
        <w:t xml:space="preserve">predmetnog </w:t>
      </w:r>
      <w:r w:rsidRPr="00722DF4">
        <w:rPr>
          <w:sz w:val="24"/>
          <w:lang w:val="sr-Cyrl-CS"/>
        </w:rPr>
        <w:t>Izv</w:t>
      </w:r>
      <w:r w:rsidRPr="00722DF4">
        <w:rPr>
          <w:sz w:val="24"/>
        </w:rPr>
        <w:t>j</w:t>
      </w:r>
      <w:r w:rsidRPr="00722DF4">
        <w:rPr>
          <w:sz w:val="24"/>
          <w:lang w:val="sr-Cyrl-CS"/>
        </w:rPr>
        <w:t xml:space="preserve">eštaja </w:t>
      </w:r>
      <w:r w:rsidRPr="00722DF4">
        <w:rPr>
          <w:sz w:val="24"/>
          <w:lang w:val="sr-Latn-BA"/>
        </w:rPr>
        <w:t>o starteškoj procjeni na životnu sredinu obrazovala multidisciplinarni tim</w:t>
      </w:r>
      <w:r w:rsidRPr="00722DF4">
        <w:rPr>
          <w:sz w:val="24"/>
          <w:lang w:val="sr-Cyrl-CS"/>
        </w:rPr>
        <w:t xml:space="preserve"> eksper</w:t>
      </w:r>
      <w:r w:rsidRPr="00722DF4">
        <w:rPr>
          <w:sz w:val="24"/>
          <w:lang w:val="sr-Latn-BA"/>
        </w:rPr>
        <w:t>a</w:t>
      </w:r>
      <w:r w:rsidRPr="00722DF4">
        <w:rPr>
          <w:sz w:val="24"/>
          <w:lang w:val="sr-Cyrl-CS"/>
        </w:rPr>
        <w:t>t</w:t>
      </w:r>
      <w:r w:rsidRPr="00722DF4">
        <w:rPr>
          <w:sz w:val="24"/>
          <w:lang w:val="sr-Latn-BA"/>
        </w:rPr>
        <w:t>a</w:t>
      </w:r>
      <w:r w:rsidRPr="00722DF4">
        <w:rPr>
          <w:sz w:val="24"/>
          <w:lang w:val="sr-Cyrl-CS"/>
        </w:rPr>
        <w:t xml:space="preserve"> za </w:t>
      </w:r>
      <w:r w:rsidRPr="00722DF4">
        <w:rPr>
          <w:sz w:val="24"/>
        </w:rPr>
        <w:t xml:space="preserve">ključne </w:t>
      </w:r>
      <w:r w:rsidRPr="00722DF4">
        <w:rPr>
          <w:sz w:val="24"/>
          <w:lang w:val="sr-Cyrl-CS"/>
        </w:rPr>
        <w:t>oblasti</w:t>
      </w:r>
      <w:r w:rsidR="00596F9E">
        <w:rPr>
          <w:sz w:val="24"/>
        </w:rPr>
        <w:t>,</w:t>
      </w:r>
      <w:r w:rsidRPr="00722DF4">
        <w:rPr>
          <w:sz w:val="24"/>
          <w:lang w:val="sr-Cyrl-CS"/>
        </w:rPr>
        <w:t xml:space="preserve"> </w:t>
      </w:r>
      <w:r w:rsidRPr="00722DF4">
        <w:rPr>
          <w:sz w:val="24"/>
          <w:lang w:val="sr-Latn-BA"/>
        </w:rPr>
        <w:t>kako bi se sa različitih stručnih aspekata sagledali strateški značajni uticaji i dobio što kvalitetniji planski dokument.</w:t>
      </w:r>
    </w:p>
    <w:p w:rsidR="0029114A" w:rsidRPr="00722DF4" w:rsidRDefault="0029114A" w:rsidP="00722DF4">
      <w:pPr>
        <w:spacing w:after="0"/>
        <w:jc w:val="both"/>
        <w:rPr>
          <w:rFonts w:ascii="Arial" w:hAnsi="Arial" w:cs="Arial"/>
          <w:sz w:val="24"/>
          <w:szCs w:val="24"/>
        </w:rPr>
      </w:pPr>
    </w:p>
    <w:p w:rsidR="0029114A" w:rsidRPr="00722DF4" w:rsidRDefault="0029114A" w:rsidP="00722DF4">
      <w:pPr>
        <w:spacing w:after="0"/>
        <w:jc w:val="both"/>
        <w:rPr>
          <w:rFonts w:ascii="Arial" w:hAnsi="Arial" w:cs="Arial"/>
          <w:sz w:val="24"/>
          <w:szCs w:val="24"/>
        </w:rPr>
      </w:pPr>
    </w:p>
    <w:p w:rsidR="00D30862" w:rsidRPr="00722DF4" w:rsidRDefault="00D30862" w:rsidP="00722DF4">
      <w:pPr>
        <w:spacing w:after="0"/>
        <w:jc w:val="both"/>
        <w:rPr>
          <w:rFonts w:ascii="Arial" w:hAnsi="Arial" w:cs="Arial"/>
          <w:sz w:val="24"/>
          <w:szCs w:val="24"/>
        </w:rPr>
      </w:pPr>
    </w:p>
    <w:p w:rsidR="0029114A" w:rsidRPr="00722DF4" w:rsidRDefault="00231FAD" w:rsidP="00663F7F">
      <w:pPr>
        <w:pStyle w:val="Heading1"/>
        <w:numPr>
          <w:ilvl w:val="0"/>
          <w:numId w:val="3"/>
        </w:numPr>
        <w:spacing w:before="0"/>
        <w:ind w:left="357" w:hanging="357"/>
        <w:jc w:val="both"/>
        <w:rPr>
          <w:rFonts w:cs="Arial"/>
          <w:szCs w:val="24"/>
        </w:rPr>
      </w:pPr>
      <w:r>
        <w:rPr>
          <w:rFonts w:cs="Arial"/>
          <w:szCs w:val="24"/>
        </w:rPr>
        <w:br w:type="page"/>
      </w:r>
      <w:bookmarkStart w:id="1" w:name="_Toc6172797"/>
      <w:r w:rsidR="3B4348E7" w:rsidRPr="00722DF4">
        <w:rPr>
          <w:rFonts w:cs="Arial"/>
          <w:szCs w:val="24"/>
        </w:rPr>
        <w:lastRenderedPageBreak/>
        <w:t>KRATAK PREGLED SADRŽ</w:t>
      </w:r>
      <w:r w:rsidR="004D714E">
        <w:rPr>
          <w:rFonts w:cs="Arial"/>
          <w:szCs w:val="24"/>
        </w:rPr>
        <w:t xml:space="preserve">AJA I GLAVNIH CILJEVA </w:t>
      </w:r>
      <w:r w:rsidR="004D714E">
        <w:rPr>
          <w:rFonts w:cs="Arial"/>
          <w:szCs w:val="24"/>
          <w:lang w:val="sr-Latn-CS"/>
        </w:rPr>
        <w:t>PLANA</w:t>
      </w:r>
      <w:r w:rsidR="3B4348E7" w:rsidRPr="00722DF4">
        <w:rPr>
          <w:rFonts w:cs="Arial"/>
          <w:szCs w:val="24"/>
        </w:rPr>
        <w:t xml:space="preserve"> I ODNOS PREMA DRUGIM PLANOVIMA I PROGRAMIMA</w:t>
      </w:r>
      <w:bookmarkEnd w:id="1"/>
    </w:p>
    <w:p w:rsidR="0029114A" w:rsidRPr="00722DF4" w:rsidRDefault="0029114A" w:rsidP="00722DF4">
      <w:pPr>
        <w:pStyle w:val="T30X"/>
        <w:spacing w:before="0" w:after="0" w:line="276" w:lineRule="auto"/>
        <w:ind w:firstLine="0"/>
        <w:rPr>
          <w:rFonts w:ascii="Arial" w:hAnsi="Arial" w:cs="Arial"/>
          <w:sz w:val="24"/>
          <w:szCs w:val="24"/>
        </w:rPr>
      </w:pPr>
    </w:p>
    <w:p w:rsidR="008E06D9" w:rsidRPr="00722DF4" w:rsidRDefault="00F15A97" w:rsidP="00F15A97">
      <w:pPr>
        <w:pStyle w:val="Heading1"/>
        <w:numPr>
          <w:ilvl w:val="0"/>
          <w:numId w:val="0"/>
        </w:numPr>
      </w:pPr>
      <w:bookmarkStart w:id="2" w:name="_Toc6172798"/>
      <w:r w:rsidRPr="00C21B56">
        <w:rPr>
          <w:lang w:val="sr-Latn-CS"/>
        </w:rPr>
        <w:t xml:space="preserve">1.1. </w:t>
      </w:r>
      <w:r w:rsidR="008E06D9" w:rsidRPr="00C21B56">
        <w:t>Pregled sadržaja i ciljeva plana</w:t>
      </w:r>
      <w:bookmarkEnd w:id="2"/>
      <w:r w:rsidR="008E06D9" w:rsidRPr="00722DF4">
        <w:t xml:space="preserve"> </w:t>
      </w:r>
    </w:p>
    <w:p w:rsidR="0029114A" w:rsidRPr="00722DF4" w:rsidRDefault="0029114A" w:rsidP="00722DF4">
      <w:pPr>
        <w:pStyle w:val="T30X"/>
        <w:spacing w:before="0" w:after="0" w:line="276" w:lineRule="auto"/>
        <w:ind w:firstLine="0"/>
        <w:rPr>
          <w:rFonts w:ascii="Arial" w:hAnsi="Arial" w:cs="Arial"/>
          <w:sz w:val="24"/>
          <w:szCs w:val="24"/>
        </w:rPr>
      </w:pPr>
    </w:p>
    <w:p w:rsidR="008E06D9" w:rsidRPr="00722DF4" w:rsidRDefault="008E06D9" w:rsidP="00722DF4">
      <w:pPr>
        <w:pStyle w:val="Default"/>
        <w:spacing w:line="276" w:lineRule="auto"/>
        <w:jc w:val="both"/>
        <w:rPr>
          <w:rFonts w:ascii="Arial" w:hAnsi="Arial" w:cs="Arial"/>
        </w:rPr>
      </w:pPr>
      <w:r w:rsidRPr="00722DF4">
        <w:rPr>
          <w:rFonts w:ascii="Arial" w:hAnsi="Arial" w:cs="Arial"/>
        </w:rPr>
        <w:t xml:space="preserve">Izvještaj o strateškoj procjeni sadrži podatke kojima se opisuju i procjenjuju mogući značajni uticaji na životnu sredinu do kojih može doći realizacijom plana i programa, kao i razmatrana varijantna rješenja, uz vođenje računa o ciljevima i geografskom obuhvatu plana i programa, u obimu utvrđenom odlukom iz člana 10. važećeg Zakona o strateškoj procjeni uticaja na životnu sredinu. </w:t>
      </w:r>
    </w:p>
    <w:p w:rsidR="006A59C3" w:rsidRPr="00722DF4" w:rsidRDefault="006A59C3" w:rsidP="00722DF4">
      <w:pPr>
        <w:pStyle w:val="Default"/>
        <w:spacing w:line="276" w:lineRule="auto"/>
        <w:jc w:val="both"/>
        <w:rPr>
          <w:rFonts w:ascii="Arial" w:hAnsi="Arial" w:cs="Arial"/>
        </w:rPr>
      </w:pPr>
    </w:p>
    <w:p w:rsidR="0029114A" w:rsidRDefault="00E77D64" w:rsidP="00E77D64">
      <w:pPr>
        <w:pStyle w:val="Heading3"/>
        <w:numPr>
          <w:ilvl w:val="0"/>
          <w:numId w:val="0"/>
        </w:numPr>
      </w:pPr>
      <w:bookmarkStart w:id="3" w:name="_Toc6172799"/>
      <w:r>
        <w:rPr>
          <w:lang w:val="sr-Latn-CS"/>
        </w:rPr>
        <w:t xml:space="preserve">1.1.1. </w:t>
      </w:r>
      <w:r w:rsidR="008E06D9" w:rsidRPr="00722DF4">
        <w:t>Pravni status plana, period na koji se on odnosi i geografski obuhvat</w:t>
      </w:r>
      <w:bookmarkEnd w:id="3"/>
      <w:r w:rsidR="008E06D9" w:rsidRPr="00722DF4">
        <w:t xml:space="preserve"> </w:t>
      </w:r>
    </w:p>
    <w:p w:rsidR="00722DF4" w:rsidRPr="00722DF4" w:rsidRDefault="00722DF4" w:rsidP="00722DF4">
      <w:pPr>
        <w:autoSpaceDE w:val="0"/>
        <w:autoSpaceDN w:val="0"/>
        <w:adjustRightInd w:val="0"/>
        <w:spacing w:after="0"/>
        <w:ind w:left="720"/>
        <w:jc w:val="both"/>
        <w:rPr>
          <w:rFonts w:ascii="Arial" w:hAnsi="Arial" w:cs="Arial"/>
          <w:b/>
          <w:bCs/>
          <w:color w:val="000000"/>
          <w:sz w:val="24"/>
          <w:szCs w:val="24"/>
        </w:rPr>
      </w:pPr>
    </w:p>
    <w:p w:rsidR="008E06D9" w:rsidRDefault="008E06D9" w:rsidP="00722DF4">
      <w:pPr>
        <w:pStyle w:val="Default"/>
        <w:spacing w:line="276" w:lineRule="auto"/>
        <w:jc w:val="both"/>
        <w:rPr>
          <w:rFonts w:ascii="Arial" w:hAnsi="Arial" w:cs="Arial"/>
        </w:rPr>
      </w:pPr>
      <w:r w:rsidRPr="00722DF4">
        <w:rPr>
          <w:rFonts w:ascii="Arial" w:hAnsi="Arial" w:cs="Arial"/>
        </w:rPr>
        <w:t>Zakonski osnov za izradu Programskog zadataka za Državni plan eksploaatcije mineralnih sirovina za pe</w:t>
      </w:r>
      <w:r w:rsidR="004D714E">
        <w:rPr>
          <w:rFonts w:ascii="Arial" w:hAnsi="Arial" w:cs="Arial"/>
        </w:rPr>
        <w:t>riod 2019-2028</w:t>
      </w:r>
      <w:r w:rsidRPr="00722DF4">
        <w:rPr>
          <w:rFonts w:ascii="Arial" w:hAnsi="Arial" w:cs="Arial"/>
        </w:rPr>
        <w:t xml:space="preserve">. godina, nalazi se u Zakonu o rudarstvu („Sl.list CG“, br. 65/08 i 74/10) koji u članu 17 definiše da  Vlada Crne Gore donosi Državni plan eksploatacije mineralnih sirovina i pravila za realizaciju mjera utvrđenih ovim planom. </w:t>
      </w:r>
    </w:p>
    <w:p w:rsidR="004D714E" w:rsidRPr="00722DF4" w:rsidRDefault="004D714E" w:rsidP="00722DF4">
      <w:pPr>
        <w:pStyle w:val="Default"/>
        <w:spacing w:line="276" w:lineRule="auto"/>
        <w:jc w:val="both"/>
        <w:rPr>
          <w:rFonts w:ascii="Arial" w:hAnsi="Arial" w:cs="Arial"/>
        </w:rPr>
      </w:pPr>
    </w:p>
    <w:p w:rsidR="008E06D9" w:rsidRDefault="008E06D9" w:rsidP="00722DF4">
      <w:pPr>
        <w:pStyle w:val="Default"/>
        <w:spacing w:line="276" w:lineRule="auto"/>
        <w:jc w:val="both"/>
        <w:rPr>
          <w:rFonts w:ascii="Arial" w:hAnsi="Arial" w:cs="Arial"/>
        </w:rPr>
      </w:pPr>
      <w:r w:rsidRPr="00722DF4">
        <w:rPr>
          <w:rFonts w:ascii="Arial" w:hAnsi="Arial" w:cs="Arial"/>
        </w:rPr>
        <w:t>Na osnovu člana 21, stav 5, Zakona o rudarstvu Vlada Crne Gore je, na sjednici od 21. jula 2011. godine, donijela Uredbu o sadržaju državnog plana eksploatacije mineralnih sirovina.</w:t>
      </w:r>
    </w:p>
    <w:p w:rsidR="00E77D64" w:rsidRPr="00722DF4" w:rsidRDefault="00E77D64" w:rsidP="00722DF4">
      <w:pPr>
        <w:pStyle w:val="Default"/>
        <w:spacing w:line="276" w:lineRule="auto"/>
        <w:jc w:val="both"/>
        <w:rPr>
          <w:rFonts w:ascii="Arial" w:hAnsi="Arial" w:cs="Arial"/>
        </w:rPr>
      </w:pPr>
    </w:p>
    <w:p w:rsidR="008E06D9" w:rsidRDefault="008E06D9" w:rsidP="00722DF4">
      <w:pPr>
        <w:pStyle w:val="Default"/>
        <w:spacing w:line="276" w:lineRule="auto"/>
        <w:jc w:val="both"/>
        <w:rPr>
          <w:rFonts w:ascii="Arial" w:hAnsi="Arial" w:cs="Arial"/>
        </w:rPr>
      </w:pPr>
      <w:r w:rsidRPr="00722DF4">
        <w:rPr>
          <w:rFonts w:ascii="Arial" w:hAnsi="Arial" w:cs="Arial"/>
        </w:rPr>
        <w:t>Programom rada Vlade Crne Gore za 2018. godinu, predviđena je izrada Državnog plana eksploatacije mineralnih sirovina za period 2019-202</w:t>
      </w:r>
      <w:r w:rsidR="008C03D2" w:rsidRPr="00692676">
        <w:rPr>
          <w:rFonts w:ascii="Arial" w:hAnsi="Arial" w:cs="Arial"/>
          <w:color w:val="auto"/>
        </w:rPr>
        <w:t>8</w:t>
      </w:r>
      <w:r w:rsidRPr="00722DF4">
        <w:rPr>
          <w:rFonts w:ascii="Arial" w:hAnsi="Arial" w:cs="Arial"/>
        </w:rPr>
        <w:t>. godina sa ciljem planiranja proizvodnje u sektoru rudarstva koji će za rezultat imati racionalno korišćenje mineralnih resursa rukovodeći se principima održivog razvoja i zaštite životne sredine Države.</w:t>
      </w:r>
    </w:p>
    <w:p w:rsidR="004D714E" w:rsidRPr="00722DF4" w:rsidRDefault="004D714E" w:rsidP="00722DF4">
      <w:pPr>
        <w:pStyle w:val="Default"/>
        <w:spacing w:line="276" w:lineRule="auto"/>
        <w:jc w:val="both"/>
        <w:rPr>
          <w:rFonts w:ascii="Arial" w:hAnsi="Arial" w:cs="Arial"/>
        </w:rPr>
      </w:pPr>
    </w:p>
    <w:p w:rsidR="008E06D9" w:rsidRDefault="008E06D9" w:rsidP="00722DF4">
      <w:pPr>
        <w:spacing w:after="0"/>
        <w:jc w:val="both"/>
        <w:rPr>
          <w:rFonts w:ascii="Arial" w:hAnsi="Arial" w:cs="Arial"/>
          <w:sz w:val="24"/>
          <w:szCs w:val="24"/>
        </w:rPr>
      </w:pPr>
      <w:r w:rsidRPr="00722DF4">
        <w:rPr>
          <w:rFonts w:ascii="Arial" w:hAnsi="Arial" w:cs="Arial"/>
          <w:sz w:val="24"/>
          <w:szCs w:val="24"/>
        </w:rPr>
        <w:t>Član 15 Zakona o zaštiti prirode propisuje ‘’da se uređenje i korišćenje prostora i prirodnih resursa i dobara može vršiti samo na osnovu prostorno-planske i tehničke dokumentacije, planova i programa upravljanja i korišćenja prirodnih resursa u rudarstvu, energetici, saobraćaju, pomorstvu, vodoprivredi, poljoprivredi, šumarstvu, lovstvu, ribarstvu, turizmu i drugim djelatnostima koje mogu imati uticaja na prirodu. Dokumenta iz stava 1 ovog člana, treba da sadrže smjernice i uslove zaštite prirode, radi očuvanja prirodnih vrijednosti’’.</w:t>
      </w:r>
    </w:p>
    <w:p w:rsidR="00E77D64" w:rsidRPr="00722DF4" w:rsidRDefault="00E77D64" w:rsidP="00722DF4">
      <w:pPr>
        <w:spacing w:after="0"/>
        <w:jc w:val="both"/>
        <w:rPr>
          <w:rFonts w:ascii="Arial" w:hAnsi="Arial" w:cs="Arial"/>
          <w:sz w:val="24"/>
          <w:szCs w:val="24"/>
        </w:rPr>
      </w:pPr>
    </w:p>
    <w:p w:rsidR="008E06D9" w:rsidRPr="00722DF4" w:rsidRDefault="008E06D9" w:rsidP="00722DF4">
      <w:pPr>
        <w:spacing w:after="0"/>
        <w:jc w:val="both"/>
        <w:rPr>
          <w:rFonts w:ascii="Arial" w:hAnsi="Arial" w:cs="Arial"/>
          <w:sz w:val="24"/>
          <w:szCs w:val="24"/>
        </w:rPr>
      </w:pPr>
      <w:r w:rsidRPr="00722DF4">
        <w:rPr>
          <w:rFonts w:ascii="Arial" w:hAnsi="Arial" w:cs="Arial"/>
          <w:sz w:val="24"/>
          <w:szCs w:val="24"/>
        </w:rPr>
        <w:t>U skladu sa navedenim urađen je Programski zadatak za Državni plan eksploatacije mineral</w:t>
      </w:r>
      <w:r w:rsidR="008C03D2">
        <w:rPr>
          <w:rFonts w:ascii="Arial" w:hAnsi="Arial" w:cs="Arial"/>
          <w:sz w:val="24"/>
          <w:szCs w:val="24"/>
        </w:rPr>
        <w:t>nih sirovina za period 2019-202</w:t>
      </w:r>
      <w:r w:rsidR="008C03D2" w:rsidRPr="00692676">
        <w:rPr>
          <w:rFonts w:ascii="Arial" w:hAnsi="Arial" w:cs="Arial"/>
          <w:sz w:val="24"/>
          <w:szCs w:val="24"/>
        </w:rPr>
        <w:t>8</w:t>
      </w:r>
      <w:r w:rsidRPr="00722DF4">
        <w:rPr>
          <w:rFonts w:ascii="Arial" w:hAnsi="Arial" w:cs="Arial"/>
          <w:sz w:val="24"/>
          <w:szCs w:val="24"/>
        </w:rPr>
        <w:t xml:space="preserve">. godine. Agencija za zaštitu životne </w:t>
      </w:r>
      <w:r w:rsidR="003552AB">
        <w:rPr>
          <w:rFonts w:ascii="Arial" w:hAnsi="Arial" w:cs="Arial"/>
          <w:sz w:val="24"/>
          <w:szCs w:val="24"/>
        </w:rPr>
        <w:t xml:space="preserve">sredine </w:t>
      </w:r>
      <w:r w:rsidR="003552AB">
        <w:rPr>
          <w:rFonts w:ascii="Arial" w:hAnsi="Arial" w:cs="Arial"/>
          <w:sz w:val="24"/>
          <w:szCs w:val="24"/>
        </w:rPr>
        <w:lastRenderedPageBreak/>
        <w:t xml:space="preserve">je 28.08.2018. </w:t>
      </w:r>
      <w:r w:rsidRPr="00722DF4">
        <w:rPr>
          <w:rFonts w:ascii="Arial" w:hAnsi="Arial" w:cs="Arial"/>
          <w:sz w:val="24"/>
          <w:szCs w:val="24"/>
        </w:rPr>
        <w:t>utvrdila „Uslove i smjernice zaštite prirode za potrebe izrade Državnog plana eksploatacije  mineralnih sirovina za period 2019-202</w:t>
      </w:r>
      <w:r w:rsidR="008C03D2" w:rsidRPr="00692676">
        <w:rPr>
          <w:rFonts w:ascii="Arial" w:hAnsi="Arial" w:cs="Arial"/>
          <w:sz w:val="24"/>
          <w:szCs w:val="24"/>
        </w:rPr>
        <w:t>8</w:t>
      </w:r>
      <w:r w:rsidRPr="00722DF4">
        <w:rPr>
          <w:rFonts w:ascii="Arial" w:hAnsi="Arial" w:cs="Arial"/>
          <w:sz w:val="24"/>
          <w:szCs w:val="24"/>
        </w:rPr>
        <w:t>. godine“.</w:t>
      </w:r>
    </w:p>
    <w:p w:rsidR="00E77D64" w:rsidRDefault="008E06D9" w:rsidP="00722DF4">
      <w:pPr>
        <w:pStyle w:val="Default"/>
        <w:spacing w:line="276" w:lineRule="auto"/>
        <w:jc w:val="both"/>
        <w:rPr>
          <w:rFonts w:ascii="Arial" w:hAnsi="Arial" w:cs="Arial"/>
        </w:rPr>
      </w:pPr>
      <w:r w:rsidRPr="00722DF4">
        <w:rPr>
          <w:rFonts w:ascii="Arial" w:hAnsi="Arial" w:cs="Arial"/>
        </w:rPr>
        <w:t xml:space="preserve">Prema Uredbi i Programskom zadatku </w:t>
      </w:r>
      <w:r w:rsidRPr="00722DF4">
        <w:rPr>
          <w:rFonts w:ascii="Arial" w:hAnsi="Arial" w:cs="Arial"/>
          <w:b/>
          <w:bCs/>
        </w:rPr>
        <w:t xml:space="preserve">vremenski horizont plana </w:t>
      </w:r>
      <w:r w:rsidRPr="00722DF4">
        <w:rPr>
          <w:rFonts w:ascii="Arial" w:hAnsi="Arial" w:cs="Arial"/>
        </w:rPr>
        <w:t>je 2019-202</w:t>
      </w:r>
      <w:r w:rsidR="008C03D2" w:rsidRPr="00692676">
        <w:rPr>
          <w:rFonts w:ascii="Arial" w:hAnsi="Arial" w:cs="Arial"/>
          <w:color w:val="auto"/>
        </w:rPr>
        <w:t>8</w:t>
      </w:r>
      <w:r w:rsidRPr="00722DF4">
        <w:rPr>
          <w:rFonts w:ascii="Arial" w:hAnsi="Arial" w:cs="Arial"/>
        </w:rPr>
        <w:t xml:space="preserve">. godina. </w:t>
      </w:r>
    </w:p>
    <w:p w:rsidR="00913884" w:rsidRPr="00722DF4" w:rsidRDefault="00913884" w:rsidP="00722DF4">
      <w:pPr>
        <w:pStyle w:val="Default"/>
        <w:spacing w:line="276" w:lineRule="auto"/>
        <w:jc w:val="both"/>
        <w:rPr>
          <w:rFonts w:ascii="Arial" w:hAnsi="Arial" w:cs="Arial"/>
        </w:rPr>
      </w:pPr>
    </w:p>
    <w:p w:rsidR="008E06D9" w:rsidRDefault="008E06D9" w:rsidP="00722DF4">
      <w:pPr>
        <w:spacing w:after="0"/>
        <w:jc w:val="both"/>
        <w:rPr>
          <w:rFonts w:ascii="Arial" w:hAnsi="Arial" w:cs="Arial"/>
          <w:sz w:val="24"/>
          <w:szCs w:val="24"/>
        </w:rPr>
      </w:pPr>
      <w:r w:rsidRPr="00722DF4">
        <w:rPr>
          <w:rFonts w:ascii="Arial" w:hAnsi="Arial" w:cs="Arial"/>
          <w:sz w:val="24"/>
          <w:szCs w:val="24"/>
        </w:rPr>
        <w:t>Ministarstvo ekonomije i JU Zavod za geološka istraživanja sklopili su Ugovor broj 970-89/2018-2, od 26.03.2018. godine, kojim se JU Zavod za geološka istraživanja obavezao</w:t>
      </w:r>
      <w:r w:rsidR="00837C83" w:rsidRPr="00722DF4">
        <w:rPr>
          <w:rFonts w:ascii="Arial" w:hAnsi="Arial" w:cs="Arial"/>
          <w:sz w:val="24"/>
          <w:szCs w:val="24"/>
        </w:rPr>
        <w:t xml:space="preserve"> da izradi Nacrt Državnog plana </w:t>
      </w:r>
      <w:r w:rsidRPr="00722DF4">
        <w:rPr>
          <w:rFonts w:ascii="Arial" w:hAnsi="Arial" w:cs="Arial"/>
          <w:sz w:val="24"/>
          <w:szCs w:val="24"/>
        </w:rPr>
        <w:t>eksploatacije mineralnih sirovina. Shodno tome, izrađen je Programski zadatak za Državni plan eksploatacije mineralnih sirovina za period 2019-202</w:t>
      </w:r>
      <w:r w:rsidR="008C03D2" w:rsidRPr="00692676">
        <w:rPr>
          <w:rFonts w:ascii="Arial" w:hAnsi="Arial" w:cs="Arial"/>
          <w:sz w:val="24"/>
          <w:szCs w:val="24"/>
        </w:rPr>
        <w:t>8</w:t>
      </w:r>
      <w:r w:rsidRPr="00722DF4">
        <w:rPr>
          <w:rFonts w:ascii="Arial" w:hAnsi="Arial" w:cs="Arial"/>
          <w:sz w:val="24"/>
          <w:szCs w:val="24"/>
        </w:rPr>
        <w:t>. godine.</w:t>
      </w:r>
    </w:p>
    <w:p w:rsidR="00E77D64" w:rsidRPr="00722DF4" w:rsidRDefault="00E77D64" w:rsidP="00722DF4">
      <w:pPr>
        <w:spacing w:after="0"/>
        <w:jc w:val="both"/>
        <w:rPr>
          <w:rFonts w:ascii="Arial" w:hAnsi="Arial" w:cs="Arial"/>
          <w:sz w:val="24"/>
          <w:szCs w:val="24"/>
        </w:rPr>
      </w:pPr>
    </w:p>
    <w:p w:rsidR="008E06D9" w:rsidRPr="00722DF4" w:rsidRDefault="00837C83" w:rsidP="00722DF4">
      <w:pPr>
        <w:spacing w:after="0"/>
        <w:jc w:val="both"/>
        <w:rPr>
          <w:rFonts w:ascii="Arial" w:hAnsi="Arial" w:cs="Arial"/>
          <w:sz w:val="24"/>
          <w:szCs w:val="24"/>
        </w:rPr>
      </w:pPr>
      <w:r w:rsidRPr="00722DF4">
        <w:rPr>
          <w:rFonts w:ascii="Arial" w:hAnsi="Arial" w:cs="Arial"/>
          <w:sz w:val="24"/>
          <w:szCs w:val="24"/>
        </w:rPr>
        <w:t>Državni plan se odnosi na</w:t>
      </w:r>
      <w:r w:rsidR="008E06D9" w:rsidRPr="00722DF4">
        <w:rPr>
          <w:rFonts w:ascii="Arial" w:hAnsi="Arial" w:cs="Arial"/>
          <w:sz w:val="24"/>
          <w:szCs w:val="24"/>
        </w:rPr>
        <w:t xml:space="preserve"> čitavu teritoriju Crne Gore.</w:t>
      </w:r>
    </w:p>
    <w:p w:rsidR="00913884" w:rsidRPr="00722DF4" w:rsidRDefault="00913884" w:rsidP="00722DF4">
      <w:pPr>
        <w:spacing w:after="0"/>
        <w:jc w:val="both"/>
        <w:rPr>
          <w:rFonts w:ascii="Arial" w:hAnsi="Arial" w:cs="Arial"/>
          <w:sz w:val="24"/>
          <w:szCs w:val="24"/>
        </w:rPr>
      </w:pPr>
    </w:p>
    <w:p w:rsidR="008E06D9" w:rsidRPr="00913884" w:rsidRDefault="00E77D64" w:rsidP="00E77D64">
      <w:pPr>
        <w:pStyle w:val="Heading3"/>
        <w:numPr>
          <w:ilvl w:val="0"/>
          <w:numId w:val="0"/>
        </w:numPr>
        <w:rPr>
          <w:lang w:val="en-GB"/>
        </w:rPr>
      </w:pPr>
      <w:bookmarkStart w:id="4" w:name="_Toc6172800"/>
      <w:r>
        <w:t xml:space="preserve">1.1.2. </w:t>
      </w:r>
      <w:r w:rsidR="008E06D9" w:rsidRPr="00722DF4">
        <w:t>Postojeće stanje korišćenja mineralnih sirovina</w:t>
      </w:r>
      <w:bookmarkEnd w:id="4"/>
    </w:p>
    <w:p w:rsidR="00360A52" w:rsidRPr="00722DF4" w:rsidRDefault="00360A52" w:rsidP="00722DF4">
      <w:pPr>
        <w:spacing w:after="0"/>
        <w:jc w:val="both"/>
        <w:rPr>
          <w:rFonts w:ascii="Arial" w:hAnsi="Arial" w:cs="Arial"/>
          <w:b/>
          <w:sz w:val="24"/>
          <w:szCs w:val="24"/>
          <w:u w:val="single"/>
        </w:rPr>
      </w:pPr>
    </w:p>
    <w:p w:rsidR="00E77D64" w:rsidRPr="00596F9E" w:rsidRDefault="00F7767A" w:rsidP="00596F9E">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Crna Gora, u odnosu na svoju površinu i broj stanovnika, raspolaže sa značajnim mineralnim resursima od kojih su najznačajniji ugalj, crveni boksiti i polimetalična ruda olova i cinka. Značaj imaju i nemetalične mineralne sirovine, čije potencijali se ne koriste u dovoljnoj mjeri. </w:t>
      </w:r>
      <w:r w:rsidR="00596F9E" w:rsidRPr="00596F9E">
        <w:rPr>
          <w:rFonts w:ascii="Arial" w:hAnsi="Arial" w:cs="Arial"/>
          <w:sz w:val="24"/>
          <w:szCs w:val="24"/>
        </w:rPr>
        <w:t>Ekonomski razvoj Crne Gore u posljednjih sedamdeset godina umnogome je bio zasnovan na korišćenju mineralnih sirovina. Tranzicioni period, gubitak tržišta, tehnološko zaostajanje i drugi razlozi uslovili su stagnaciju i smanjivanje rudarske i industrijske proizvodnje u Crnoj Gori posljednjih dvadeset godina. Određeni napredak je prisutan posljednjih godina u pogledu intenziviranja geoloških istraživanja ležišta mineralnih sirovina, ponovnog otvaranja zatvorenih rudnika, otvaranja novih rudnika i investicija u rudarske i kapacitete prerađivačke industrije zasnovane na mineralnim sirovinama.</w:t>
      </w:r>
    </w:p>
    <w:p w:rsidR="00596F9E" w:rsidRDefault="00596F9E" w:rsidP="00722DF4">
      <w:pPr>
        <w:autoSpaceDE w:val="0"/>
        <w:autoSpaceDN w:val="0"/>
        <w:adjustRightInd w:val="0"/>
        <w:spacing w:after="0"/>
        <w:jc w:val="both"/>
        <w:rPr>
          <w:rFonts w:ascii="Arial" w:hAnsi="Arial" w:cs="Arial"/>
          <w:sz w:val="24"/>
          <w:szCs w:val="24"/>
        </w:rPr>
      </w:pPr>
    </w:p>
    <w:p w:rsidR="00F7767A" w:rsidRDefault="00F7767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Danas se u Crnoj Gori vrši eksploatacija: metaličnih mineralnih sirovina - crvenih boksita i olova i cinka; nemetaličnih mineralnih sirovina – uglavnom nemetala-građevinskih materijala i energetskih mineralnih sirovina - mrkolignitnog i mrkog uglja.</w:t>
      </w:r>
    </w:p>
    <w:p w:rsidR="00231FAD" w:rsidRPr="00722DF4" w:rsidRDefault="00231FAD" w:rsidP="00722DF4">
      <w:pPr>
        <w:autoSpaceDE w:val="0"/>
        <w:autoSpaceDN w:val="0"/>
        <w:adjustRightInd w:val="0"/>
        <w:spacing w:after="0"/>
        <w:jc w:val="both"/>
        <w:rPr>
          <w:rFonts w:ascii="Arial" w:hAnsi="Arial" w:cs="Arial"/>
          <w:sz w:val="24"/>
          <w:szCs w:val="24"/>
        </w:rPr>
      </w:pPr>
    </w:p>
    <w:p w:rsidR="00E77D64" w:rsidRDefault="00596F9E" w:rsidP="00722DF4">
      <w:pPr>
        <w:autoSpaceDE w:val="0"/>
        <w:autoSpaceDN w:val="0"/>
        <w:adjustRightInd w:val="0"/>
        <w:spacing w:after="0"/>
        <w:jc w:val="both"/>
        <w:rPr>
          <w:rFonts w:ascii="Arial" w:hAnsi="Arial" w:cs="Arial"/>
          <w:sz w:val="24"/>
          <w:szCs w:val="24"/>
        </w:rPr>
      </w:pPr>
      <w:r w:rsidRPr="00596F9E">
        <w:rPr>
          <w:rFonts w:ascii="Arial" w:hAnsi="Arial" w:cs="Arial"/>
          <w:sz w:val="24"/>
          <w:szCs w:val="24"/>
        </w:rPr>
        <w:t>Crveni boksiti se izvoze zbog zatvaranja fabrike za proizvodnju glinice, ruda olova i cinka se prerađuje do poluproizvoda - koncentrata koji se takođe izvoze. Jedan, manji dio proizvodnje arhitektonskog kamena se takođe izvozi u vidu primarnih blokova ili gotovih proizvoda, a znatno veći dio se plasira na domaće tržište. Proizvodnja primarnih kamenih agregata, vezana je, gotovo u cjelosti za lokalno ili regionalno tržište u Crnoj Gori. Proizvodnja uglja je većim dijelom namijenjena proizvodnji električne energije, a manji dio se proizvodi za široku potrošnju.</w:t>
      </w:r>
    </w:p>
    <w:p w:rsidR="00596F9E" w:rsidRPr="00722DF4" w:rsidRDefault="00596F9E" w:rsidP="00722DF4">
      <w:pPr>
        <w:autoSpaceDE w:val="0"/>
        <w:autoSpaceDN w:val="0"/>
        <w:adjustRightInd w:val="0"/>
        <w:spacing w:after="0"/>
        <w:jc w:val="both"/>
        <w:rPr>
          <w:rFonts w:ascii="Arial" w:hAnsi="Arial" w:cs="Arial"/>
          <w:sz w:val="24"/>
          <w:szCs w:val="24"/>
        </w:rPr>
      </w:pPr>
    </w:p>
    <w:p w:rsidR="00596F9E" w:rsidRPr="00596F9E" w:rsidRDefault="00596F9E" w:rsidP="00596F9E">
      <w:pPr>
        <w:pStyle w:val="BodyText"/>
        <w:spacing w:after="0" w:line="276" w:lineRule="auto"/>
        <w:jc w:val="both"/>
        <w:rPr>
          <w:rFonts w:cs="Arial"/>
          <w:bCs/>
          <w:sz w:val="24"/>
          <w:szCs w:val="24"/>
          <w:lang w:val="sr-Latn-CS"/>
        </w:rPr>
      </w:pPr>
      <w:r w:rsidRPr="00596F9E">
        <w:rPr>
          <w:rFonts w:cs="Arial"/>
          <w:bCs/>
          <w:sz w:val="24"/>
          <w:szCs w:val="24"/>
          <w:lang w:val="sr-Latn-CS"/>
        </w:rPr>
        <w:t xml:space="preserve">Državne strategije i planovi, koji se odnose na mineralne resurse mogu se podijeliti na direktne ili sektorske i indirektne ili vansektorske.  Postojeće sektorske strategije i </w:t>
      </w:r>
      <w:r w:rsidRPr="00596F9E">
        <w:rPr>
          <w:rFonts w:cs="Arial"/>
          <w:bCs/>
          <w:sz w:val="24"/>
          <w:szCs w:val="24"/>
          <w:lang w:val="sr-Latn-CS"/>
        </w:rPr>
        <w:lastRenderedPageBreak/>
        <w:t xml:space="preserve">planovi zahtijevaju dodatno sagledavanje mogućnosti razvoja sektora u kontekstu savremenih pricipa održivog razvoja, što bi ih dovelo do  potrebnog obima značajnog za strateško usmjeravanje i planiranje geoloških istraživanja, i eksploatacije mineralnih resursa Crne Gore. </w:t>
      </w:r>
    </w:p>
    <w:p w:rsidR="00596F9E" w:rsidRDefault="00596F9E" w:rsidP="00596F9E">
      <w:pPr>
        <w:pStyle w:val="BodyText"/>
        <w:spacing w:after="0" w:line="276" w:lineRule="auto"/>
        <w:jc w:val="both"/>
        <w:rPr>
          <w:rFonts w:cs="Arial"/>
          <w:bCs/>
          <w:sz w:val="24"/>
          <w:szCs w:val="24"/>
          <w:lang w:val="sr-Latn-CS"/>
        </w:rPr>
      </w:pPr>
    </w:p>
    <w:p w:rsidR="00B66D43" w:rsidRDefault="00596F9E" w:rsidP="00596F9E">
      <w:pPr>
        <w:pStyle w:val="BodyText"/>
        <w:spacing w:after="0" w:line="276" w:lineRule="auto"/>
        <w:jc w:val="both"/>
        <w:rPr>
          <w:rFonts w:cs="Arial"/>
          <w:bCs/>
          <w:sz w:val="24"/>
          <w:szCs w:val="24"/>
          <w:lang w:val="sr-Latn-CS"/>
        </w:rPr>
      </w:pPr>
      <w:r w:rsidRPr="00596F9E">
        <w:rPr>
          <w:rFonts w:cs="Arial"/>
          <w:bCs/>
          <w:sz w:val="24"/>
          <w:szCs w:val="24"/>
          <w:lang w:val="sr-Latn-CS"/>
        </w:rPr>
        <w:t>U dijelu koji se odnosi na strateška dokumenta i planove koji  su indirektno značajni za mineralne resurse i aktivnosti u mineralnom sektoru treba imati u vidu dokumenta koja uređuju oblasti energetike, građevinarstva, industrije itd.</w:t>
      </w:r>
    </w:p>
    <w:p w:rsidR="00596F9E" w:rsidRPr="00000B9D" w:rsidRDefault="00596F9E" w:rsidP="00596F9E">
      <w:pPr>
        <w:pStyle w:val="BodyText"/>
        <w:spacing w:after="0" w:line="276" w:lineRule="auto"/>
        <w:jc w:val="both"/>
        <w:rPr>
          <w:rFonts w:cs="Arial"/>
          <w:bCs/>
          <w:sz w:val="24"/>
          <w:szCs w:val="24"/>
          <w:lang w:val="sr-Latn-CS"/>
        </w:rPr>
      </w:pPr>
    </w:p>
    <w:p w:rsidR="00913884" w:rsidRDefault="00913884" w:rsidP="00913884">
      <w:pPr>
        <w:pStyle w:val="BodyText"/>
        <w:spacing w:after="0" w:line="276" w:lineRule="auto"/>
        <w:jc w:val="both"/>
        <w:rPr>
          <w:rFonts w:cs="Arial"/>
          <w:bCs/>
          <w:sz w:val="24"/>
          <w:szCs w:val="24"/>
          <w:lang w:val="sr-Latn-CS"/>
        </w:rPr>
      </w:pPr>
      <w:r w:rsidRPr="00000B9D">
        <w:rPr>
          <w:rFonts w:cs="Arial"/>
          <w:bCs/>
          <w:sz w:val="24"/>
          <w:szCs w:val="24"/>
          <w:lang w:val="sr-Latn-CS"/>
        </w:rPr>
        <w:t>Usvojena Energetska politika Crne Gore do 2030. godine,  koju je Vlada donijela 2011. godine, predstavlja aktuelni plan energetskog razvoja Crne Gore. Strategija razvoja energetike Crne Gore do 2030. godine, koju je Vlada donijela 2014.</w:t>
      </w:r>
      <w:r w:rsidR="00D80A8D">
        <w:rPr>
          <w:rFonts w:cs="Arial"/>
          <w:bCs/>
          <w:sz w:val="24"/>
          <w:szCs w:val="24"/>
          <w:lang w:val="sr-Latn-CS"/>
        </w:rPr>
        <w:t xml:space="preserve"> </w:t>
      </w:r>
      <w:r w:rsidRPr="00000B9D">
        <w:rPr>
          <w:rFonts w:cs="Arial"/>
          <w:bCs/>
          <w:sz w:val="24"/>
          <w:szCs w:val="24"/>
          <w:lang w:val="sr-Latn-CS"/>
        </w:rPr>
        <w:t>godine, predstavlja važeći strateški dokument koji sadrži niz mjera i instrumenata čijom implementacijom se predviđa ispunjenje usvojenih ciljeva energetske politike države.  Akcioni plan za implementaciju Strategije razvoja energetike Crne Gore do 2030. godine za period 2016-2020 sadrži niz konkretnih programa i projekata, čija implementacija treba da rezultira ostvarivanjem ciljeva Strategije. Pomenuti dokumenti se odnose prije svega na energetske mineralne resurse.</w:t>
      </w:r>
    </w:p>
    <w:p w:rsidR="00913884" w:rsidRPr="00000B9D" w:rsidRDefault="00913884" w:rsidP="00913884">
      <w:pPr>
        <w:pStyle w:val="BodyText"/>
        <w:spacing w:after="0" w:line="276" w:lineRule="auto"/>
        <w:jc w:val="both"/>
        <w:rPr>
          <w:rFonts w:cs="Arial"/>
          <w:bCs/>
          <w:sz w:val="24"/>
          <w:szCs w:val="24"/>
          <w:lang w:val="sr-Latn-CS"/>
        </w:rPr>
      </w:pPr>
    </w:p>
    <w:p w:rsidR="00913884" w:rsidRDefault="00913884" w:rsidP="00913884">
      <w:pPr>
        <w:pStyle w:val="BodyText"/>
        <w:spacing w:after="0" w:line="276" w:lineRule="auto"/>
        <w:jc w:val="both"/>
        <w:rPr>
          <w:rFonts w:cs="Arial"/>
          <w:sz w:val="24"/>
          <w:szCs w:val="24"/>
        </w:rPr>
      </w:pPr>
      <w:r w:rsidRPr="00000B9D">
        <w:rPr>
          <w:rFonts w:cs="Arial"/>
          <w:bCs/>
          <w:sz w:val="24"/>
          <w:szCs w:val="24"/>
        </w:rPr>
        <w:t>Strategija razvoja građevinarstva u Crnoj Gori do 2020. godine, između ostalih, ima strateško opredjeljenje - razvoj industrije građevinskih materijala baziran na principima održivog razvoja, koji u jednom segmentu</w:t>
      </w:r>
      <w:r w:rsidRPr="00000B9D">
        <w:rPr>
          <w:rFonts w:cs="Arial"/>
          <w:sz w:val="24"/>
          <w:szCs w:val="24"/>
        </w:rPr>
        <w:t xml:space="preserve"> pominje </w:t>
      </w:r>
      <w:r w:rsidRPr="00000B9D">
        <w:rPr>
          <w:rFonts w:cs="Arial"/>
          <w:bCs/>
          <w:sz w:val="24"/>
          <w:szCs w:val="24"/>
        </w:rPr>
        <w:t xml:space="preserve">program za namjensko korišćenje mineralnih sirovina i izvore finansiranja. Takođe, jedan od zaključaka nacionalnih konsultacija u okviru realizacije projekta SNAP SEE - Održivo planiranje kamenih agregata u JI Evropi, je da bi trebalo izraditi plan održivog snabdijevanja primarnim agregatima kao jednom od pokretača </w:t>
      </w:r>
      <w:r w:rsidRPr="00000B9D">
        <w:rPr>
          <w:rFonts w:cs="Arial"/>
          <w:sz w:val="24"/>
          <w:szCs w:val="24"/>
        </w:rPr>
        <w:t xml:space="preserve">građevinske industrije, poštujući principe tržišta, dugoročne potrebe, kao i ravnomjeran regionalni razvoj. </w:t>
      </w:r>
    </w:p>
    <w:p w:rsidR="00913884" w:rsidRPr="00000B9D" w:rsidRDefault="00913884" w:rsidP="00913884">
      <w:pPr>
        <w:pStyle w:val="BodyText"/>
        <w:spacing w:after="0" w:line="276" w:lineRule="auto"/>
        <w:jc w:val="both"/>
        <w:rPr>
          <w:rFonts w:cs="Arial"/>
          <w:sz w:val="24"/>
          <w:szCs w:val="24"/>
        </w:rPr>
      </w:pPr>
    </w:p>
    <w:p w:rsidR="00913884" w:rsidRDefault="00913884" w:rsidP="00913884">
      <w:pPr>
        <w:pStyle w:val="BodyText"/>
        <w:spacing w:after="0" w:line="276" w:lineRule="auto"/>
        <w:jc w:val="both"/>
        <w:rPr>
          <w:rFonts w:cs="Arial"/>
          <w:bCs/>
          <w:sz w:val="24"/>
          <w:szCs w:val="24"/>
        </w:rPr>
      </w:pPr>
      <w:r w:rsidRPr="00000B9D">
        <w:rPr>
          <w:rFonts w:cs="Arial"/>
          <w:bCs/>
          <w:sz w:val="24"/>
          <w:szCs w:val="24"/>
        </w:rPr>
        <w:t>Industrijska politika Crne Gore do 2020. godine sa višegodišnjim Akcionim planom za njeno sprovođenje za period 2016-2020.godine ističe razvoj i podsticanje privrede kroz efikasnije upravljanje mineralnim sirovinama, na način povećanog obima proizvodnje mineralnih sirovina po vrstama, povećanja broja dodijeljenih koncesija za eksploataciju mineralnih sirovina i veću konkurentnost koncesionara na tržištu. Uspješna realizacije politike i postavljenih ciljeva  stvaraju pretpostavke za povećanje učešća u BDP-u, veće zapošljavanje i ravnomjerniji regionalni razvoj, što su jedni od primarnih ciljeva opšte ekonomske politike Vlade Crne Gore.</w:t>
      </w:r>
    </w:p>
    <w:p w:rsidR="00B66D43" w:rsidRDefault="00B66D43" w:rsidP="00913884">
      <w:pPr>
        <w:pStyle w:val="BodyText"/>
        <w:spacing w:after="0" w:line="276" w:lineRule="auto"/>
        <w:jc w:val="both"/>
        <w:rPr>
          <w:rFonts w:cs="Arial"/>
          <w:bCs/>
          <w:sz w:val="24"/>
          <w:szCs w:val="24"/>
          <w:lang w:val="sr-Latn-CS"/>
        </w:rPr>
      </w:pPr>
    </w:p>
    <w:p w:rsidR="00913884" w:rsidRPr="00000B9D" w:rsidRDefault="00913884" w:rsidP="00913884">
      <w:pPr>
        <w:pStyle w:val="BodyText"/>
        <w:spacing w:after="0" w:line="276" w:lineRule="auto"/>
        <w:jc w:val="both"/>
        <w:rPr>
          <w:rFonts w:cs="Arial"/>
          <w:bCs/>
          <w:sz w:val="24"/>
          <w:szCs w:val="24"/>
          <w:lang w:val="sr-Latn-CS"/>
        </w:rPr>
      </w:pPr>
      <w:r w:rsidRPr="00000B9D">
        <w:rPr>
          <w:rFonts w:cs="Arial"/>
          <w:bCs/>
          <w:sz w:val="24"/>
          <w:szCs w:val="24"/>
          <w:lang w:val="sr-Latn-CS"/>
        </w:rPr>
        <w:t>Zakonski okvir za oblasti rudarstva i geoloških istraživanja definisan je Zakonom o koncesijama ("Sl. list Crne Gore", br. 8/09), Zakonom o rudarstvu ("Sl. list Crne Gore", br. 65/08), Zakonom o geološkim istraživanjima ("Sl. list RCG", br. 28/93, 42/94 i 26/07 i ''Sl. list CG'', broj 28/11), Zakonom o istraživanju i proizvodnji ugljovodonika ("Sl. list Crne Gore", br. 41/10, 40/11), podzakonskim aktima i drugim propisima.</w:t>
      </w:r>
    </w:p>
    <w:p w:rsidR="00913884" w:rsidRDefault="00913884" w:rsidP="00913884">
      <w:pPr>
        <w:pStyle w:val="BodyText"/>
        <w:spacing w:after="0" w:line="276" w:lineRule="auto"/>
        <w:jc w:val="both"/>
        <w:rPr>
          <w:rFonts w:cs="Arial"/>
          <w:bCs/>
          <w:sz w:val="24"/>
          <w:szCs w:val="24"/>
          <w:lang w:val="sr-Latn-CS"/>
        </w:rPr>
      </w:pPr>
      <w:r w:rsidRPr="00000B9D">
        <w:rPr>
          <w:rFonts w:cs="Arial"/>
          <w:bCs/>
          <w:sz w:val="24"/>
          <w:szCs w:val="24"/>
          <w:lang w:val="sr-Latn-CS"/>
        </w:rPr>
        <w:lastRenderedPageBreak/>
        <w:t xml:space="preserve">Zakonski okvir iz oblasti zaštite životne sredine, značajan za korišćenje mineralnih resursa, čine: Zakon o zaštiti prirode("Sl.list CG", br. 054/16 i 018/19) , Zakon o procjeni uticaja na životnu sredinu ("Sl.list CG", br. 075/18), Zakon o strateškoj procjeni uticaja na životnu sredinu ("Sl.list RCG", br. 080/05, „Sl. list CG", br. 073/10, 040/11, 059/11, 052/16), Zakon o odgovornosti za štetu u životnoj sredini ("Službeni list Crne Gore", br. 027/14 i 055/16), kao i veći broj uredbi i pravilnika. </w:t>
      </w:r>
    </w:p>
    <w:p w:rsidR="00913884" w:rsidRPr="00000B9D" w:rsidRDefault="00913884" w:rsidP="00913884">
      <w:pPr>
        <w:pStyle w:val="BodyText"/>
        <w:spacing w:after="0" w:line="276" w:lineRule="auto"/>
        <w:jc w:val="both"/>
        <w:rPr>
          <w:rFonts w:cs="Arial"/>
          <w:bCs/>
          <w:sz w:val="24"/>
          <w:szCs w:val="24"/>
          <w:lang w:val="sr-Latn-CS"/>
        </w:rPr>
      </w:pPr>
    </w:p>
    <w:p w:rsidR="00913884" w:rsidRDefault="00913884" w:rsidP="00913884">
      <w:pPr>
        <w:pStyle w:val="BodyText"/>
        <w:spacing w:after="0" w:line="276" w:lineRule="auto"/>
        <w:jc w:val="both"/>
        <w:rPr>
          <w:rFonts w:cs="Arial"/>
          <w:bCs/>
          <w:sz w:val="24"/>
          <w:szCs w:val="24"/>
          <w:lang w:val="sr-Latn-CS"/>
        </w:rPr>
      </w:pPr>
      <w:r w:rsidRPr="00000B9D">
        <w:rPr>
          <w:rFonts w:cs="Arial"/>
          <w:bCs/>
          <w:sz w:val="24"/>
          <w:szCs w:val="24"/>
          <w:lang w:val="sr-Latn-CS"/>
        </w:rPr>
        <w:t>Navedeni zakoni su u značajnoj mjeri usaglašeni sa Direktivama EU. Među pravilnicima kao podzakonskim aktima posebno se izdvaja Uredba o projektima za koje se vrši procjena uticaja na životnu sredinu ("Sl.list RCG", br. 020/07, Sl.list CG", br. 047/13, 053/14 i 037/18)</w:t>
      </w:r>
      <w:r w:rsidRPr="00000B9D">
        <w:rPr>
          <w:rFonts w:cs="Arial"/>
          <w:sz w:val="24"/>
          <w:szCs w:val="24"/>
        </w:rPr>
        <w:t xml:space="preserve"> kojom se </w:t>
      </w:r>
      <w:r w:rsidRPr="00000B9D">
        <w:rPr>
          <w:rFonts w:cs="Arial"/>
          <w:bCs/>
          <w:sz w:val="24"/>
          <w:szCs w:val="24"/>
          <w:lang w:val="sr-Latn-CS"/>
        </w:rPr>
        <w:t>utvrđuju projekti za koje je obavezna procjena uticaja na životnu sredinu i projekti za koje se može zahtijevati procjena uticaja.</w:t>
      </w:r>
    </w:p>
    <w:p w:rsidR="00913884" w:rsidRPr="00000B9D" w:rsidRDefault="00913884" w:rsidP="00913884">
      <w:pPr>
        <w:pStyle w:val="BodyText"/>
        <w:spacing w:after="0" w:line="276" w:lineRule="auto"/>
        <w:jc w:val="both"/>
        <w:rPr>
          <w:rFonts w:cs="Arial"/>
          <w:bCs/>
          <w:sz w:val="24"/>
          <w:szCs w:val="24"/>
          <w:lang w:val="sr-Latn-CS"/>
        </w:rPr>
      </w:pPr>
    </w:p>
    <w:p w:rsidR="00913884" w:rsidRDefault="00913884" w:rsidP="00913884">
      <w:pPr>
        <w:pStyle w:val="BodyText"/>
        <w:spacing w:after="0" w:line="276" w:lineRule="auto"/>
        <w:jc w:val="both"/>
        <w:rPr>
          <w:rFonts w:cs="Arial"/>
          <w:sz w:val="24"/>
          <w:szCs w:val="24"/>
          <w:lang w:val="sr-Latn-CS"/>
        </w:rPr>
      </w:pPr>
      <w:r w:rsidRPr="00000B9D">
        <w:rPr>
          <w:rFonts w:cs="Arial"/>
          <w:sz w:val="24"/>
          <w:szCs w:val="24"/>
          <w:lang w:val="sr-Latn-CS"/>
        </w:rPr>
        <w:t>Zakonski okviri iz ostalih oblasti, bitni i za mineralne resurse, obuhvataju: Zakon o energetici ("Sl.list Crne Gore", br. 005/16 i 051/17), Zakon o planiranju prostora i izgradnji objekata ("Sl.list CG", br. 064/17, 044/18, 063/18 i 011/19), Zakon o eksproprijaciji ("Sl.list RCG", br. 055/00, 012/02, 028/06, Sl.list CG", br. 021/08, 030/17 i 075/18), Zakon o državnoj imovini ("Sl.list CG", br. 021/09, 040/11), Zakon o zaštiti i zdravlju na radu ("Sl.list CG", br. 034/14, 044/18).</w:t>
      </w:r>
    </w:p>
    <w:p w:rsidR="00913884" w:rsidRPr="00000B9D" w:rsidRDefault="00913884" w:rsidP="00913884">
      <w:pPr>
        <w:pStyle w:val="BodyText"/>
        <w:spacing w:after="0" w:line="276" w:lineRule="auto"/>
        <w:jc w:val="both"/>
        <w:rPr>
          <w:rFonts w:cs="Arial"/>
          <w:sz w:val="24"/>
          <w:szCs w:val="24"/>
          <w:lang w:val="sr-Latn-CS"/>
        </w:rPr>
      </w:pPr>
    </w:p>
    <w:p w:rsidR="00913884" w:rsidRDefault="00913884" w:rsidP="00913884">
      <w:pPr>
        <w:pStyle w:val="NormalWeb"/>
        <w:spacing w:before="0" w:beforeAutospacing="0" w:after="0" w:afterAutospacing="0" w:line="276" w:lineRule="auto"/>
        <w:jc w:val="both"/>
        <w:rPr>
          <w:rFonts w:ascii="Arial" w:hAnsi="Arial" w:cs="Arial"/>
          <w:bCs/>
        </w:rPr>
      </w:pPr>
      <w:r w:rsidRPr="00000B9D">
        <w:rPr>
          <w:rFonts w:ascii="Arial" w:hAnsi="Arial" w:cs="Arial"/>
          <w:bCs/>
        </w:rPr>
        <w:t>Uredbom o organizaciji i načinu rada državne uprave ("Sl.list CG", br. 087/18 i 002/19)</w:t>
      </w:r>
      <w:r w:rsidRPr="00000B9D">
        <w:rPr>
          <w:rFonts w:ascii="Arial" w:hAnsi="Arial" w:cs="Arial"/>
        </w:rPr>
        <w:t xml:space="preserve"> kojom se uređuje </w:t>
      </w:r>
      <w:r w:rsidRPr="00000B9D">
        <w:rPr>
          <w:rFonts w:ascii="Arial" w:hAnsi="Arial" w:cs="Arial"/>
          <w:bCs/>
        </w:rPr>
        <w:t>organizacija i način rada državne</w:t>
      </w:r>
      <w:r>
        <w:rPr>
          <w:rFonts w:ascii="Arial" w:hAnsi="Arial" w:cs="Arial"/>
          <w:bCs/>
        </w:rPr>
        <w:t xml:space="preserve"> uprave i uređuju druga pitanja </w:t>
      </w:r>
      <w:r w:rsidRPr="00000B9D">
        <w:rPr>
          <w:rFonts w:ascii="Arial" w:hAnsi="Arial" w:cs="Arial"/>
          <w:bCs/>
        </w:rPr>
        <w:t xml:space="preserve">od značaja za organizaciju i rad državne uprave, nadležnost u oblasti geologije, rudarstva i ugljovodonika je u Ministarstvu ekonomije - Direktoratu za rudarstvo i geološka istraživanja. </w:t>
      </w:r>
    </w:p>
    <w:p w:rsidR="00913884" w:rsidRPr="00000B9D" w:rsidRDefault="00913884" w:rsidP="00913884">
      <w:pPr>
        <w:pStyle w:val="NormalWeb"/>
        <w:spacing w:before="0" w:beforeAutospacing="0" w:after="0" w:afterAutospacing="0" w:line="276" w:lineRule="auto"/>
        <w:jc w:val="both"/>
        <w:rPr>
          <w:rFonts w:ascii="Arial" w:hAnsi="Arial" w:cs="Arial"/>
          <w:bCs/>
        </w:rPr>
      </w:pPr>
    </w:p>
    <w:p w:rsidR="00913884" w:rsidRDefault="00913884" w:rsidP="00913884">
      <w:pPr>
        <w:spacing w:after="0"/>
        <w:jc w:val="both"/>
        <w:rPr>
          <w:rFonts w:ascii="Arial" w:eastAsia="Times New Roman" w:hAnsi="Arial" w:cs="Arial"/>
          <w:sz w:val="24"/>
          <w:szCs w:val="24"/>
        </w:rPr>
      </w:pPr>
      <w:r w:rsidRPr="00000B9D">
        <w:rPr>
          <w:rFonts w:ascii="Arial" w:eastAsia="Times New Roman" w:hAnsi="Arial" w:cs="Arial"/>
          <w:sz w:val="24"/>
          <w:szCs w:val="24"/>
        </w:rPr>
        <w:t xml:space="preserve">Odredbama Zakona o koncesijama u oblasti mineralnih sirovina propisan je način i postupak dobijanja prava korišćenje prirodnog bogatstva koje je u državnoj svojini. Koncesije se daju na osnovu godišnjeg plana, koji na predlog Ministarstva ekonomije, donosi Vlada, dok je omogućeno i zainteresovanom licu da može nadležnom organu podnijeti inicijativu za pokretanje postupka davanja koncesije koja nije sadržana u planu. </w:t>
      </w:r>
    </w:p>
    <w:p w:rsidR="00913884" w:rsidRPr="00000B9D" w:rsidRDefault="00913884" w:rsidP="00913884">
      <w:pPr>
        <w:spacing w:after="0"/>
        <w:jc w:val="both"/>
        <w:rPr>
          <w:rFonts w:ascii="Arial" w:eastAsia="Times New Roman" w:hAnsi="Arial" w:cs="Arial"/>
          <w:sz w:val="24"/>
          <w:szCs w:val="24"/>
        </w:rPr>
      </w:pPr>
    </w:p>
    <w:p w:rsidR="00913884" w:rsidRPr="00000B9D" w:rsidRDefault="00913884" w:rsidP="00913884">
      <w:pPr>
        <w:pStyle w:val="BodyText"/>
        <w:spacing w:after="0" w:line="276" w:lineRule="auto"/>
        <w:jc w:val="both"/>
        <w:rPr>
          <w:rFonts w:cs="Arial"/>
          <w:sz w:val="24"/>
          <w:szCs w:val="24"/>
        </w:rPr>
      </w:pPr>
      <w:r w:rsidRPr="00000B9D">
        <w:rPr>
          <w:rFonts w:cs="Arial"/>
          <w:sz w:val="24"/>
          <w:szCs w:val="24"/>
        </w:rPr>
        <w:t xml:space="preserve">Zakonom o geološkim istraživanjima uređuju se uslovi i način izvođenja geoloških istraživanja, finansiranje i organizacija vršenja geoloških istraživanja od interesa za Crnu Goru. </w:t>
      </w:r>
      <w:r>
        <w:rPr>
          <w:rFonts w:cs="Arial"/>
          <w:sz w:val="24"/>
          <w:szCs w:val="24"/>
        </w:rPr>
        <w:t xml:space="preserve">Poslove geoloških istraživanja od interesa za Crnu Goru, prema </w:t>
      </w:r>
      <w:r w:rsidRPr="00000B9D">
        <w:rPr>
          <w:rFonts w:cs="Arial"/>
          <w:sz w:val="24"/>
          <w:szCs w:val="24"/>
        </w:rPr>
        <w:t>Zakonu o geološkim istraživanjima i Odluci o organizovanju Republičkog zavoda za geološka istraživanja (“Sl. list RCG”, br. 41/94), obavlja Javna ustanova Zavod za geološka istraživanja - Podgorica. Zavod, pored osnovnih geoloških istraživanja i geoloških istraživanja od strateškog značaja van eksploatacionih prostora, radi i na izradi kompleksnih geoloških podloga za davanje koncesija, kao i sve vrste geoloških podloga od interesa za Crnu Goru, ako su obuhvaćene programom.</w:t>
      </w:r>
    </w:p>
    <w:p w:rsidR="00913884" w:rsidRDefault="00913884" w:rsidP="00913884">
      <w:pPr>
        <w:pStyle w:val="BodyText"/>
        <w:spacing w:after="0" w:line="276" w:lineRule="auto"/>
        <w:jc w:val="both"/>
        <w:rPr>
          <w:rFonts w:cs="Arial"/>
          <w:sz w:val="24"/>
          <w:szCs w:val="24"/>
        </w:rPr>
      </w:pPr>
      <w:r w:rsidRPr="00000B9D">
        <w:rPr>
          <w:rFonts w:cs="Arial"/>
          <w:sz w:val="24"/>
          <w:szCs w:val="24"/>
        </w:rPr>
        <w:lastRenderedPageBreak/>
        <w:t>Zakonom o rudarstvu uređuju se uslovi i način eksploatacije rudnog bogatstva, rudarska mjerenja i rudarski planovi, stručna sprema radnika koji rukovode tehničkim poslovima pri eksploataciji, mjere zaštite na radu i mjere zaštite životne sredine pri izvođenju rudarskih radova kao i druga pitanja od značaja za eksploataciju mineralnih sirovina.</w:t>
      </w:r>
    </w:p>
    <w:p w:rsidR="00913884" w:rsidRPr="00000B9D" w:rsidRDefault="00913884" w:rsidP="00913884">
      <w:pPr>
        <w:pStyle w:val="BodyText"/>
        <w:spacing w:after="0" w:line="276" w:lineRule="auto"/>
        <w:jc w:val="both"/>
        <w:rPr>
          <w:rFonts w:cs="Arial"/>
          <w:sz w:val="24"/>
          <w:szCs w:val="24"/>
        </w:rPr>
      </w:pPr>
    </w:p>
    <w:p w:rsidR="00913884" w:rsidRDefault="00913884" w:rsidP="00913884">
      <w:pPr>
        <w:spacing w:after="0"/>
        <w:jc w:val="both"/>
        <w:rPr>
          <w:rFonts w:ascii="Arial" w:hAnsi="Arial" w:cs="Arial"/>
          <w:sz w:val="24"/>
          <w:szCs w:val="24"/>
          <w:lang w:val="sr-Latn-CS"/>
        </w:rPr>
      </w:pPr>
      <w:r w:rsidRPr="00000B9D">
        <w:rPr>
          <w:rFonts w:ascii="Arial" w:hAnsi="Arial" w:cs="Arial"/>
          <w:sz w:val="24"/>
          <w:szCs w:val="24"/>
          <w:lang w:val="sr-Latn-CS"/>
        </w:rPr>
        <w:t>Ministarstvo ekonomije je da bi odgovorilo značajnim zahtjevima u oblasti normiranja djelatnosti rudarstva, geoloških istraživanja i sistema koncesija iz oblasti mineralnih sirovina, te aktivnosti usmjerilo u pravcu izrade nedostajućih strateških dokumenata neophodnih za razvoj rudarske djelatnosti, Uredbom o povjeravanju dijela poslova iz nadležnosti Ministarstva ekonomije JU Zavod za geološka istraživanja („Sl.list Crne Gore“, br. 16/18) povjerilo obavljanje pojedinih poslova iz svoje nadležnosti Zavodu za geološka istraživanja.</w:t>
      </w:r>
    </w:p>
    <w:p w:rsidR="00E77D64" w:rsidRPr="00722DF4" w:rsidRDefault="00E77D64" w:rsidP="00722DF4">
      <w:pPr>
        <w:autoSpaceDE w:val="0"/>
        <w:autoSpaceDN w:val="0"/>
        <w:adjustRightInd w:val="0"/>
        <w:spacing w:after="0"/>
        <w:jc w:val="both"/>
        <w:rPr>
          <w:rFonts w:ascii="Arial" w:hAnsi="Arial" w:cs="Arial"/>
          <w:sz w:val="24"/>
          <w:szCs w:val="24"/>
        </w:rPr>
      </w:pPr>
    </w:p>
    <w:p w:rsidR="00F7767A" w:rsidRPr="00722DF4" w:rsidRDefault="00E77D64" w:rsidP="00E77D64">
      <w:pPr>
        <w:pStyle w:val="Heading3"/>
        <w:numPr>
          <w:ilvl w:val="0"/>
          <w:numId w:val="0"/>
        </w:numPr>
      </w:pPr>
      <w:bookmarkStart w:id="5" w:name="_Toc6172801"/>
      <w:r>
        <w:t xml:space="preserve">1.1.3. </w:t>
      </w:r>
      <w:r w:rsidR="00F7767A" w:rsidRPr="00722DF4">
        <w:t>Smjernice za eksploataciju mineralnih sirovina u fun</w:t>
      </w:r>
      <w:r w:rsidR="00837C83" w:rsidRPr="00722DF4">
        <w:t>k</w:t>
      </w:r>
      <w:r w:rsidR="00F7767A" w:rsidRPr="00722DF4">
        <w:t>ciji održivog razvoja</w:t>
      </w:r>
      <w:bookmarkEnd w:id="5"/>
    </w:p>
    <w:p w:rsidR="00F7767A" w:rsidRDefault="00F7767A" w:rsidP="00722DF4">
      <w:pPr>
        <w:pStyle w:val="Default"/>
        <w:spacing w:line="276" w:lineRule="auto"/>
        <w:jc w:val="both"/>
        <w:rPr>
          <w:rFonts w:ascii="Arial" w:hAnsi="Arial" w:cs="Arial"/>
          <w:b/>
          <w:bCs/>
        </w:rPr>
      </w:pPr>
    </w:p>
    <w:p w:rsidR="00B66D43" w:rsidRPr="00B66D43" w:rsidRDefault="00B66D43" w:rsidP="00B66D43">
      <w:pPr>
        <w:spacing w:after="0"/>
        <w:jc w:val="both"/>
        <w:rPr>
          <w:rFonts w:ascii="Arial" w:eastAsia="Times New Roman" w:hAnsi="Arial" w:cs="Arial"/>
          <w:sz w:val="24"/>
          <w:szCs w:val="24"/>
          <w:shd w:val="clear" w:color="auto" w:fill="FFFFFF"/>
          <w:lang w:val="sr-Latn-CS"/>
        </w:rPr>
      </w:pPr>
      <w:r w:rsidRPr="00B66D43">
        <w:rPr>
          <w:rFonts w:ascii="Arial" w:eastAsia="Times New Roman" w:hAnsi="Arial" w:cs="Arial"/>
          <w:sz w:val="24"/>
          <w:szCs w:val="24"/>
          <w:shd w:val="clear" w:color="auto" w:fill="FFFFFF"/>
          <w:lang w:val="sr-Latn-CS"/>
        </w:rPr>
        <w:t>Potreba za razvojem društva, uopšte, generiše sve veće potrebe za korišćenjem mineralnih sirovina. Razvoj u oblasti rudarstva i industrije, zasnovan na unapređenju tehnologija eksploatacije i prerade mineralnih sirovina, a samim tim i zapošljavanje, doprinosi regionalnom razvoju i ekonomskom napretku. Vizija održivog razvoja Crne Gore, pored ostalog, zasniva se na viziji ekonomskog razvoja, koja polazi od potrebe ubrzavanja ekonomskog rasta i zaokruživanja procesa tranzicije ka tržišnoj privredi (stimulisanje inovacija i produktivnosti, osnaživanje preduzetništva), vodeći istovremeno računa o ispunjavanju zahtjeva održivosti kroz integrisanje politike zaštite životne sredine i ekonomske politike.</w:t>
      </w:r>
    </w:p>
    <w:p w:rsidR="00B66D43" w:rsidRDefault="00B66D43" w:rsidP="00B66D43">
      <w:pPr>
        <w:spacing w:after="0"/>
        <w:jc w:val="both"/>
        <w:rPr>
          <w:rFonts w:ascii="Arial" w:eastAsia="Times New Roman" w:hAnsi="Arial" w:cs="Arial"/>
          <w:sz w:val="24"/>
          <w:szCs w:val="24"/>
          <w:shd w:val="clear" w:color="auto" w:fill="FFFFFF"/>
          <w:lang w:val="sr-Latn-CS"/>
        </w:rPr>
      </w:pPr>
    </w:p>
    <w:p w:rsidR="0051194E" w:rsidRPr="00B66D43" w:rsidRDefault="00B66D43" w:rsidP="00B66D43">
      <w:pPr>
        <w:spacing w:after="0"/>
        <w:jc w:val="both"/>
        <w:rPr>
          <w:rFonts w:ascii="Arial" w:eastAsia="Times New Roman" w:hAnsi="Arial" w:cs="Arial"/>
          <w:sz w:val="24"/>
          <w:szCs w:val="24"/>
          <w:shd w:val="clear" w:color="auto" w:fill="FFFFFF"/>
          <w:lang w:val="sr-Latn-CS"/>
        </w:rPr>
      </w:pPr>
      <w:r w:rsidRPr="00B66D43">
        <w:rPr>
          <w:rFonts w:ascii="Arial" w:eastAsia="Times New Roman" w:hAnsi="Arial" w:cs="Arial"/>
          <w:sz w:val="24"/>
          <w:szCs w:val="24"/>
          <w:shd w:val="clear" w:color="auto" w:fill="FFFFFF"/>
          <w:lang w:val="sr-Latn-CS"/>
        </w:rPr>
        <w:t>Najvažnije smjernice u upravljanju eksploatacijom mineralnih sirovina države Crne Gore su: status mineralne sirovine kao neobnovljivog resursa i principi održivog razvoja i zaštite životne sredine.</w:t>
      </w:r>
    </w:p>
    <w:p w:rsidR="00B66D43" w:rsidRDefault="00B66D43" w:rsidP="00B66D43">
      <w:pPr>
        <w:spacing w:after="0"/>
        <w:jc w:val="both"/>
        <w:rPr>
          <w:rFonts w:ascii="Arial" w:hAnsi="Arial" w:cs="Arial"/>
          <w:sz w:val="24"/>
          <w:szCs w:val="24"/>
        </w:rPr>
      </w:pPr>
    </w:p>
    <w:p w:rsidR="00B66D43" w:rsidRPr="00B66D43" w:rsidRDefault="00B66D43" w:rsidP="00B66D43">
      <w:pPr>
        <w:spacing w:after="0"/>
        <w:jc w:val="both"/>
        <w:rPr>
          <w:rFonts w:ascii="Arial" w:eastAsiaTheme="minorEastAsia" w:hAnsi="Arial" w:cs="Arial"/>
          <w:sz w:val="24"/>
          <w:szCs w:val="24"/>
        </w:rPr>
      </w:pPr>
      <w:r w:rsidRPr="00B66D43">
        <w:rPr>
          <w:rFonts w:ascii="Arial" w:eastAsiaTheme="minorEastAsia" w:hAnsi="Arial" w:cs="Arial"/>
          <w:sz w:val="24"/>
          <w:szCs w:val="24"/>
        </w:rPr>
        <w:t>Dražava upravlja mineralnim sirovinama na način što:</w:t>
      </w:r>
    </w:p>
    <w:p w:rsidR="00B66D43" w:rsidRPr="00B66D43" w:rsidRDefault="00B66D43" w:rsidP="00B66D43">
      <w:pPr>
        <w:numPr>
          <w:ilvl w:val="0"/>
          <w:numId w:val="40"/>
        </w:numPr>
        <w:spacing w:after="0"/>
        <w:ind w:left="1080" w:hanging="450"/>
        <w:contextualSpacing/>
        <w:jc w:val="both"/>
        <w:rPr>
          <w:rFonts w:ascii="Arial" w:eastAsiaTheme="minorHAnsi" w:hAnsi="Arial" w:cs="Arial"/>
          <w:sz w:val="24"/>
          <w:szCs w:val="24"/>
        </w:rPr>
      </w:pPr>
      <w:r w:rsidRPr="00B66D43">
        <w:rPr>
          <w:rFonts w:ascii="Arial" w:eastAsiaTheme="minorHAnsi" w:hAnsi="Arial" w:cs="Arial"/>
          <w:sz w:val="24"/>
          <w:szCs w:val="24"/>
        </w:rPr>
        <w:t>vodi bilans mineralnih sirovina kroz vođenje evidencije o mineralnim sirovinama i dostavljanje istih nadležnom ministarstvu,</w:t>
      </w:r>
    </w:p>
    <w:p w:rsidR="00B66D43" w:rsidRPr="00B66D43" w:rsidRDefault="00B66D43" w:rsidP="00B66D43">
      <w:pPr>
        <w:numPr>
          <w:ilvl w:val="0"/>
          <w:numId w:val="40"/>
        </w:numPr>
        <w:spacing w:after="0"/>
        <w:ind w:left="1080" w:hanging="450"/>
        <w:contextualSpacing/>
        <w:jc w:val="both"/>
        <w:rPr>
          <w:rFonts w:ascii="Arial" w:eastAsiaTheme="minorHAnsi" w:hAnsi="Arial" w:cs="Arial"/>
          <w:sz w:val="24"/>
          <w:szCs w:val="24"/>
        </w:rPr>
      </w:pPr>
      <w:r w:rsidRPr="00B66D43">
        <w:rPr>
          <w:rFonts w:ascii="Arial" w:eastAsiaTheme="minorHAnsi" w:hAnsi="Arial" w:cs="Arial"/>
          <w:sz w:val="24"/>
          <w:szCs w:val="24"/>
        </w:rPr>
        <w:t>daje koncesije kao prava na detaljna geološka istraživanja i eksploataciju putem koncesionih ugovora, uz određenu naknadu,</w:t>
      </w:r>
    </w:p>
    <w:p w:rsidR="00B66D43" w:rsidRPr="00B66D43" w:rsidRDefault="00B66D43" w:rsidP="00B66D43">
      <w:pPr>
        <w:numPr>
          <w:ilvl w:val="0"/>
          <w:numId w:val="40"/>
        </w:numPr>
        <w:spacing w:after="0"/>
        <w:ind w:left="1080" w:hanging="450"/>
        <w:contextualSpacing/>
        <w:jc w:val="both"/>
        <w:rPr>
          <w:rFonts w:ascii="Arial" w:eastAsiaTheme="minorHAnsi" w:hAnsi="Arial" w:cs="Arial"/>
          <w:sz w:val="24"/>
          <w:szCs w:val="24"/>
        </w:rPr>
      </w:pPr>
      <w:r w:rsidRPr="00B66D43">
        <w:rPr>
          <w:rFonts w:ascii="Arial" w:eastAsiaTheme="minorHAnsi" w:hAnsi="Arial" w:cs="Arial"/>
          <w:sz w:val="24"/>
          <w:szCs w:val="24"/>
        </w:rPr>
        <w:t>vrši kontrolu relizacije obaveza iz ugovora,</w:t>
      </w:r>
    </w:p>
    <w:p w:rsidR="00B66D43" w:rsidRPr="00B66D43" w:rsidRDefault="00B66D43" w:rsidP="00B66D43">
      <w:pPr>
        <w:numPr>
          <w:ilvl w:val="0"/>
          <w:numId w:val="40"/>
        </w:numPr>
        <w:spacing w:after="0"/>
        <w:ind w:left="1080" w:hanging="450"/>
        <w:contextualSpacing/>
        <w:jc w:val="both"/>
        <w:rPr>
          <w:rFonts w:ascii="Arial" w:eastAsiaTheme="minorHAnsi" w:hAnsi="Arial" w:cs="Arial"/>
          <w:sz w:val="24"/>
          <w:szCs w:val="24"/>
        </w:rPr>
      </w:pPr>
      <w:r w:rsidRPr="00B66D43">
        <w:rPr>
          <w:rFonts w:ascii="Arial" w:eastAsiaTheme="minorHAnsi" w:hAnsi="Arial" w:cs="Arial"/>
          <w:sz w:val="24"/>
          <w:szCs w:val="24"/>
        </w:rPr>
        <w:t>sprovodi inspekcijski nadzor nad primjenom propisa iz oblasti geološih istraživanja i eksploatacije mineralnih sirovina, kao  i iz oblasti zaštite životne sredine, zaštite na radu.</w:t>
      </w:r>
    </w:p>
    <w:p w:rsidR="00B66D43" w:rsidRPr="00B66D43" w:rsidRDefault="00B66D43" w:rsidP="00B66D43">
      <w:pPr>
        <w:tabs>
          <w:tab w:val="left" w:pos="426"/>
        </w:tabs>
        <w:spacing w:after="0"/>
        <w:jc w:val="both"/>
        <w:rPr>
          <w:rFonts w:ascii="Arial" w:eastAsiaTheme="minorEastAsia" w:hAnsi="Arial" w:cs="Arial"/>
          <w:sz w:val="24"/>
          <w:szCs w:val="24"/>
        </w:rPr>
      </w:pPr>
      <w:r w:rsidRPr="00B66D43">
        <w:rPr>
          <w:rFonts w:ascii="Arial" w:eastAsiaTheme="minorEastAsia" w:hAnsi="Arial" w:cs="Arial"/>
          <w:sz w:val="24"/>
          <w:szCs w:val="24"/>
        </w:rPr>
        <w:lastRenderedPageBreak/>
        <w:t>Upravljanje mineralnim resursima treba da počiva na principima održivog razvoja i zaštite životne sredine. Održivi razvoj u pogledu upravljanja mineralnim sirovinama ostvaruje se kroz racionalnost njihove eksploatacije kao neobnovljivog resursa čije su rezerve ograničene, a na tamelju strateškog planiranj njihovog korišćenja.</w:t>
      </w:r>
    </w:p>
    <w:p w:rsidR="00B66D43" w:rsidRPr="00B66D43" w:rsidRDefault="00B66D43" w:rsidP="00B66D43">
      <w:pPr>
        <w:tabs>
          <w:tab w:val="left" w:pos="990"/>
        </w:tabs>
        <w:spacing w:after="0"/>
        <w:rPr>
          <w:rFonts w:ascii="Arial" w:eastAsiaTheme="minorEastAsia" w:hAnsi="Arial" w:cs="Arial"/>
          <w:sz w:val="24"/>
          <w:szCs w:val="24"/>
        </w:rPr>
      </w:pPr>
      <w:r w:rsidRPr="00B66D43">
        <w:rPr>
          <w:rFonts w:ascii="Arial" w:eastAsiaTheme="minorEastAsia" w:hAnsi="Arial" w:cs="Arial"/>
          <w:sz w:val="24"/>
          <w:szCs w:val="24"/>
        </w:rPr>
        <w:t>Princip održivog razvoja u eksploataciji mineralnih sirovina se ostvaruje:</w:t>
      </w:r>
    </w:p>
    <w:p w:rsidR="00B66D43" w:rsidRPr="00B66D43" w:rsidRDefault="00B66D43" w:rsidP="00B66D43">
      <w:pPr>
        <w:numPr>
          <w:ilvl w:val="0"/>
          <w:numId w:val="41"/>
        </w:numPr>
        <w:tabs>
          <w:tab w:val="left" w:pos="990"/>
        </w:tabs>
        <w:spacing w:after="0"/>
        <w:contextualSpacing/>
        <w:jc w:val="both"/>
        <w:rPr>
          <w:rFonts w:ascii="Arial" w:eastAsiaTheme="minorHAnsi" w:hAnsi="Arial" w:cs="Arial"/>
          <w:sz w:val="24"/>
          <w:szCs w:val="24"/>
        </w:rPr>
      </w:pPr>
      <w:r w:rsidRPr="00B66D43">
        <w:rPr>
          <w:rFonts w:ascii="Arial" w:eastAsiaTheme="minorHAnsi" w:hAnsi="Arial" w:cs="Arial"/>
          <w:sz w:val="24"/>
          <w:szCs w:val="24"/>
        </w:rPr>
        <w:t>racionalnim planiranjem korišćenja mineralnih sirovina donošenjem strategije i planova geološkog istraživanja i eksploatacije mineralnih sirovina,</w:t>
      </w:r>
    </w:p>
    <w:p w:rsidR="00B66D43" w:rsidRPr="00B66D43" w:rsidRDefault="00B66D43" w:rsidP="00B66D43">
      <w:pPr>
        <w:numPr>
          <w:ilvl w:val="0"/>
          <w:numId w:val="41"/>
        </w:numPr>
        <w:tabs>
          <w:tab w:val="left" w:pos="990"/>
        </w:tabs>
        <w:spacing w:after="0"/>
        <w:contextualSpacing/>
        <w:jc w:val="both"/>
        <w:rPr>
          <w:rFonts w:ascii="Arial" w:eastAsiaTheme="minorHAnsi" w:hAnsi="Arial" w:cs="Arial"/>
          <w:sz w:val="24"/>
          <w:szCs w:val="24"/>
        </w:rPr>
      </w:pPr>
      <w:r w:rsidRPr="00B66D43">
        <w:rPr>
          <w:rFonts w:ascii="Arial" w:eastAsiaTheme="minorHAnsi" w:hAnsi="Arial" w:cs="Arial"/>
          <w:sz w:val="24"/>
          <w:szCs w:val="24"/>
        </w:rPr>
        <w:t>racionalnim definisanjem godišnje dinamike eksploatacije ležišta mineralnih sirovina kroz koncesione ugovore,</w:t>
      </w:r>
    </w:p>
    <w:p w:rsidR="00B66D43" w:rsidRPr="00B66D43" w:rsidRDefault="00B66D43" w:rsidP="00B66D43">
      <w:pPr>
        <w:numPr>
          <w:ilvl w:val="0"/>
          <w:numId w:val="41"/>
        </w:numPr>
        <w:tabs>
          <w:tab w:val="left" w:pos="990"/>
        </w:tabs>
        <w:spacing w:after="0"/>
        <w:contextualSpacing/>
        <w:jc w:val="both"/>
        <w:rPr>
          <w:rFonts w:ascii="Arial" w:eastAsiaTheme="minorHAnsi" w:hAnsi="Arial" w:cs="Arial"/>
          <w:sz w:val="24"/>
          <w:szCs w:val="24"/>
        </w:rPr>
      </w:pPr>
      <w:r w:rsidRPr="00B66D43">
        <w:rPr>
          <w:rFonts w:ascii="Arial" w:eastAsiaTheme="minorHAnsi" w:hAnsi="Arial" w:cs="Arial"/>
          <w:sz w:val="24"/>
          <w:szCs w:val="24"/>
        </w:rPr>
        <w:t>doistraživanjem ležišta koja su u procesu eksploatacije, sa ciljem povećanja mineralno-sirovinske baze,</w:t>
      </w:r>
    </w:p>
    <w:p w:rsidR="00B66D43" w:rsidRPr="00B66D43" w:rsidRDefault="00B66D43" w:rsidP="00B66D43">
      <w:pPr>
        <w:numPr>
          <w:ilvl w:val="0"/>
          <w:numId w:val="41"/>
        </w:numPr>
        <w:tabs>
          <w:tab w:val="left" w:pos="990"/>
        </w:tabs>
        <w:spacing w:after="0"/>
        <w:contextualSpacing/>
        <w:jc w:val="both"/>
        <w:rPr>
          <w:rFonts w:ascii="Arial" w:eastAsiaTheme="minorHAnsi" w:hAnsi="Arial" w:cs="Arial"/>
          <w:sz w:val="24"/>
          <w:szCs w:val="24"/>
        </w:rPr>
      </w:pPr>
      <w:r w:rsidRPr="00B66D43">
        <w:rPr>
          <w:rFonts w:ascii="Arial" w:eastAsiaTheme="minorHAnsi" w:hAnsi="Arial" w:cs="Arial"/>
          <w:sz w:val="24"/>
          <w:szCs w:val="24"/>
        </w:rPr>
        <w:t>sanacijom i rekultivacijom prostora na kojima se vrši eksploatacija.</w:t>
      </w:r>
    </w:p>
    <w:p w:rsidR="00B66D43" w:rsidRPr="00B66D43" w:rsidRDefault="00B66D43" w:rsidP="00B66D43">
      <w:pPr>
        <w:tabs>
          <w:tab w:val="left" w:pos="990"/>
        </w:tabs>
        <w:spacing w:after="0"/>
        <w:jc w:val="both"/>
        <w:rPr>
          <w:rFonts w:ascii="Arial" w:eastAsiaTheme="minorEastAsia" w:hAnsi="Arial" w:cs="Arial"/>
          <w:sz w:val="24"/>
          <w:szCs w:val="24"/>
        </w:rPr>
      </w:pPr>
      <w:r w:rsidRPr="00B66D43">
        <w:rPr>
          <w:rFonts w:ascii="Arial" w:eastAsiaTheme="minorEastAsia" w:hAnsi="Arial" w:cs="Arial"/>
          <w:sz w:val="24"/>
          <w:szCs w:val="24"/>
        </w:rPr>
        <w:t>Princip zaštite životne sredine Država ostvaruje kroz sljedeće aktivnosti:</w:t>
      </w:r>
    </w:p>
    <w:p w:rsidR="00B66D43" w:rsidRPr="00B66D43" w:rsidRDefault="00B66D43" w:rsidP="00B66D43">
      <w:pPr>
        <w:numPr>
          <w:ilvl w:val="0"/>
          <w:numId w:val="41"/>
        </w:numPr>
        <w:tabs>
          <w:tab w:val="left" w:pos="990"/>
        </w:tabs>
        <w:spacing w:after="0"/>
        <w:contextualSpacing/>
        <w:jc w:val="both"/>
        <w:rPr>
          <w:rFonts w:ascii="Arial" w:eastAsiaTheme="minorHAnsi" w:hAnsi="Arial" w:cs="Arial"/>
          <w:sz w:val="24"/>
          <w:szCs w:val="24"/>
        </w:rPr>
      </w:pPr>
      <w:r w:rsidRPr="00B66D43">
        <w:rPr>
          <w:rFonts w:ascii="Arial" w:eastAsiaTheme="minorHAnsi" w:hAnsi="Arial" w:cs="Arial"/>
          <w:sz w:val="24"/>
          <w:szCs w:val="24"/>
        </w:rPr>
        <w:t xml:space="preserve">propisuje i kontroliše primjenu Studije uticaja zahvata na životnu sredinu </w:t>
      </w:r>
    </w:p>
    <w:p w:rsidR="00B66D43" w:rsidRPr="00B66D43" w:rsidRDefault="00B66D43" w:rsidP="00B66D43">
      <w:pPr>
        <w:numPr>
          <w:ilvl w:val="0"/>
          <w:numId w:val="41"/>
        </w:numPr>
        <w:tabs>
          <w:tab w:val="left" w:pos="990"/>
        </w:tabs>
        <w:spacing w:after="0"/>
        <w:contextualSpacing/>
        <w:jc w:val="both"/>
        <w:rPr>
          <w:rFonts w:ascii="Arial" w:eastAsiaTheme="minorHAnsi" w:hAnsi="Arial" w:cs="Arial"/>
          <w:sz w:val="24"/>
          <w:szCs w:val="24"/>
        </w:rPr>
      </w:pPr>
      <w:r w:rsidRPr="00B66D43">
        <w:rPr>
          <w:rFonts w:ascii="Arial" w:eastAsiaTheme="minorHAnsi" w:hAnsi="Arial" w:cs="Arial"/>
          <w:sz w:val="24"/>
          <w:szCs w:val="24"/>
        </w:rPr>
        <w:t>preko inspekcijskih organa prati primjenu propisanih mjera zaštite životne sredine u toku eksploatacije,</w:t>
      </w:r>
    </w:p>
    <w:p w:rsidR="00B66D43" w:rsidRPr="00B66D43" w:rsidRDefault="00B66D43" w:rsidP="00B66D43">
      <w:pPr>
        <w:numPr>
          <w:ilvl w:val="0"/>
          <w:numId w:val="41"/>
        </w:numPr>
        <w:tabs>
          <w:tab w:val="left" w:pos="990"/>
        </w:tabs>
        <w:spacing w:after="0"/>
        <w:contextualSpacing/>
        <w:jc w:val="both"/>
        <w:rPr>
          <w:rFonts w:ascii="Arial" w:eastAsiaTheme="minorHAnsi" w:hAnsi="Arial" w:cs="Arial"/>
          <w:sz w:val="24"/>
          <w:szCs w:val="24"/>
        </w:rPr>
      </w:pPr>
      <w:r w:rsidRPr="00B66D43">
        <w:rPr>
          <w:rFonts w:ascii="Arial" w:eastAsiaTheme="minorHAnsi" w:hAnsi="Arial" w:cs="Arial"/>
          <w:sz w:val="24"/>
          <w:szCs w:val="24"/>
        </w:rPr>
        <w:t>kontroliše primjenu mjera rekultivacije prostora.</w:t>
      </w:r>
    </w:p>
    <w:p w:rsidR="00B66D43" w:rsidRPr="00B66D43" w:rsidRDefault="00B66D43" w:rsidP="00B66D43">
      <w:pPr>
        <w:tabs>
          <w:tab w:val="left" w:pos="990"/>
        </w:tabs>
        <w:spacing w:before="120" w:after="0" w:line="240" w:lineRule="auto"/>
        <w:contextualSpacing/>
        <w:jc w:val="both"/>
        <w:rPr>
          <w:rFonts w:ascii="Arial" w:eastAsiaTheme="minorEastAsia" w:hAnsi="Arial" w:cs="Arial"/>
          <w:sz w:val="24"/>
          <w:szCs w:val="24"/>
        </w:rPr>
      </w:pPr>
    </w:p>
    <w:p w:rsidR="00B66D43" w:rsidRDefault="00C964A2" w:rsidP="00C964A2">
      <w:pPr>
        <w:tabs>
          <w:tab w:val="left" w:pos="990"/>
        </w:tabs>
        <w:spacing w:after="0"/>
        <w:contextualSpacing/>
        <w:jc w:val="both"/>
        <w:rPr>
          <w:rFonts w:ascii="Arial" w:hAnsi="Arial" w:cs="Arial"/>
          <w:sz w:val="24"/>
          <w:szCs w:val="24"/>
        </w:rPr>
      </w:pPr>
      <w:r w:rsidRPr="00000B9D">
        <w:rPr>
          <w:rFonts w:ascii="Arial" w:hAnsi="Arial" w:cs="Arial"/>
          <w:sz w:val="24"/>
          <w:szCs w:val="24"/>
        </w:rPr>
        <w:t xml:space="preserve">U okviru smjernica za eksploataciju mineralnih sirovina u funkciji održivog razvoja </w:t>
      </w:r>
      <w:r w:rsidR="00596F9E">
        <w:rPr>
          <w:rFonts w:ascii="Arial" w:hAnsi="Arial" w:cs="Arial"/>
          <w:sz w:val="24"/>
          <w:szCs w:val="24"/>
        </w:rPr>
        <w:t xml:space="preserve">naveden je </w:t>
      </w:r>
      <w:r w:rsidRPr="00000B9D">
        <w:rPr>
          <w:rFonts w:ascii="Arial" w:hAnsi="Arial" w:cs="Arial"/>
          <w:sz w:val="24"/>
          <w:szCs w:val="24"/>
        </w:rPr>
        <w:t xml:space="preserve">primjer sirovina za proizvodnju kamenih agregata koji čine osnovu na kojoj počiva izgradnja infrastrukturnih objekata (saobraćajnica, železnice, građevinska industrija, regulacija rijeka, brane, nasipanja) za potrebe društva u cjelini. </w:t>
      </w:r>
    </w:p>
    <w:p w:rsidR="00B66D43" w:rsidRDefault="00B66D43" w:rsidP="00C964A2">
      <w:pPr>
        <w:tabs>
          <w:tab w:val="left" w:pos="990"/>
        </w:tabs>
        <w:spacing w:after="0"/>
        <w:contextualSpacing/>
        <w:jc w:val="both"/>
        <w:rPr>
          <w:rFonts w:ascii="Arial" w:hAnsi="Arial" w:cs="Arial"/>
          <w:sz w:val="24"/>
          <w:szCs w:val="24"/>
        </w:rPr>
      </w:pPr>
    </w:p>
    <w:p w:rsidR="00C964A2" w:rsidRDefault="00C964A2" w:rsidP="00C964A2">
      <w:pPr>
        <w:tabs>
          <w:tab w:val="left" w:pos="990"/>
        </w:tabs>
        <w:spacing w:after="0"/>
        <w:contextualSpacing/>
        <w:jc w:val="both"/>
        <w:rPr>
          <w:rFonts w:ascii="Arial" w:hAnsi="Arial" w:cs="Arial"/>
          <w:sz w:val="24"/>
          <w:szCs w:val="24"/>
        </w:rPr>
      </w:pPr>
      <w:r w:rsidRPr="00000B9D">
        <w:rPr>
          <w:rFonts w:ascii="Arial" w:hAnsi="Arial" w:cs="Arial"/>
          <w:sz w:val="24"/>
          <w:szCs w:val="24"/>
        </w:rPr>
        <w:t>Održivo upravljanje kamenim agregatima u osnovi znači ekološki i ekonomski  prihvatljiva proizvodnja i korišćenje prirodnih i sekundarnih kamenih agregata na način koji je definisan opštim principima održivog razvoja cijelog društva, uz puno uvažavanje biodiverziteta sa jedne strane i energetske i tehnološke efikasnosti i racionalne potrošnje sa druge strane. Održivo upravljanje kamenim agregatima ima, međutim, i mnogo šire značenje, koje uključuje sistematsko planiranje na svim nivoima društva, od nacionalnog i internacionalnog nivoa pa sve do lokalnog nivoa (proizvođača, potrošača, lokalne zajednice).</w:t>
      </w:r>
    </w:p>
    <w:p w:rsidR="0051194E" w:rsidRPr="00000B9D" w:rsidRDefault="0051194E" w:rsidP="00C964A2">
      <w:pPr>
        <w:tabs>
          <w:tab w:val="left" w:pos="990"/>
        </w:tabs>
        <w:spacing w:after="0"/>
        <w:contextualSpacing/>
        <w:jc w:val="both"/>
        <w:rPr>
          <w:rFonts w:ascii="Arial" w:hAnsi="Arial" w:cs="Arial"/>
          <w:sz w:val="24"/>
          <w:szCs w:val="24"/>
        </w:rPr>
      </w:pPr>
    </w:p>
    <w:p w:rsidR="00C964A2" w:rsidRDefault="00C964A2" w:rsidP="00C964A2">
      <w:pPr>
        <w:spacing w:after="0"/>
        <w:jc w:val="both"/>
        <w:rPr>
          <w:rFonts w:ascii="Arial" w:hAnsi="Arial" w:cs="Arial"/>
          <w:sz w:val="24"/>
          <w:szCs w:val="24"/>
        </w:rPr>
      </w:pPr>
      <w:r w:rsidRPr="00000B9D">
        <w:rPr>
          <w:rFonts w:ascii="Arial" w:hAnsi="Arial" w:cs="Arial"/>
          <w:sz w:val="24"/>
          <w:szCs w:val="24"/>
        </w:rPr>
        <w:t xml:space="preserve">Pristup ležištima mineralnih sirovina, sa druge strane, takođe zadovoljava i javne interese kao što je </w:t>
      </w:r>
      <w:r w:rsidRPr="00000B9D">
        <w:rPr>
          <w:rFonts w:ascii="Arial" w:hAnsi="Arial" w:cs="Arial"/>
          <w:color w:val="000000"/>
          <w:sz w:val="24"/>
          <w:szCs w:val="24"/>
        </w:rPr>
        <w:t>zaštita mineralnih sirovina</w:t>
      </w:r>
      <w:r w:rsidRPr="00000B9D">
        <w:rPr>
          <w:rFonts w:ascii="Arial" w:hAnsi="Arial" w:cs="Arial"/>
          <w:sz w:val="24"/>
          <w:szCs w:val="24"/>
        </w:rPr>
        <w:t xml:space="preserve">. Razmatranje </w:t>
      </w:r>
      <w:r w:rsidRPr="00000B9D">
        <w:rPr>
          <w:rFonts w:ascii="Arial" w:hAnsi="Arial" w:cs="Arial"/>
          <w:color w:val="000000"/>
          <w:sz w:val="24"/>
          <w:szCs w:val="24"/>
        </w:rPr>
        <w:t>različitih mogućnosti</w:t>
      </w:r>
      <w:r w:rsidRPr="00000B9D">
        <w:rPr>
          <w:rFonts w:ascii="Arial" w:hAnsi="Arial" w:cs="Arial"/>
          <w:sz w:val="24"/>
          <w:szCs w:val="24"/>
        </w:rPr>
        <w:t xml:space="preserve"> korišćenja prostora zahtijeva adekvatno uvažavanje izuzetnosti, reverzibilnosti, i posljedica po okruženje. </w:t>
      </w:r>
    </w:p>
    <w:p w:rsidR="0043520E" w:rsidRPr="00000B9D" w:rsidRDefault="0043520E" w:rsidP="00C964A2">
      <w:pPr>
        <w:spacing w:after="0"/>
        <w:jc w:val="both"/>
        <w:rPr>
          <w:rFonts w:ascii="Arial" w:hAnsi="Arial" w:cs="Arial"/>
          <w:sz w:val="24"/>
          <w:szCs w:val="24"/>
        </w:rPr>
      </w:pPr>
    </w:p>
    <w:p w:rsidR="00C964A2" w:rsidRDefault="00C964A2" w:rsidP="00C964A2">
      <w:pPr>
        <w:spacing w:after="0"/>
        <w:jc w:val="both"/>
        <w:rPr>
          <w:rFonts w:ascii="Arial" w:hAnsi="Arial" w:cs="Arial"/>
          <w:sz w:val="24"/>
          <w:szCs w:val="24"/>
        </w:rPr>
      </w:pPr>
      <w:r w:rsidRPr="00000B9D">
        <w:rPr>
          <w:rFonts w:ascii="Arial" w:hAnsi="Arial" w:cs="Arial"/>
          <w:sz w:val="24"/>
          <w:szCs w:val="24"/>
        </w:rPr>
        <w:t xml:space="preserve">U isto vrijeme, potrebe našeg društva za </w:t>
      </w:r>
      <w:r w:rsidRPr="00000B9D">
        <w:rPr>
          <w:rFonts w:ascii="Arial" w:hAnsi="Arial" w:cs="Arial"/>
          <w:color w:val="000000"/>
          <w:sz w:val="24"/>
          <w:szCs w:val="24"/>
        </w:rPr>
        <w:t>mineralnim sirovinama</w:t>
      </w:r>
      <w:r w:rsidRPr="00000B9D">
        <w:rPr>
          <w:rFonts w:ascii="Arial" w:hAnsi="Arial" w:cs="Arial"/>
          <w:sz w:val="24"/>
          <w:szCs w:val="24"/>
        </w:rPr>
        <w:t xml:space="preserve"> potrebno je zadovoljiti bez ugrožavanja potreba budućih generacija. </w:t>
      </w:r>
      <w:r w:rsidRPr="00000B9D">
        <w:rPr>
          <w:rFonts w:ascii="Arial" w:hAnsi="Arial" w:cs="Arial"/>
          <w:color w:val="000000"/>
          <w:sz w:val="24"/>
          <w:szCs w:val="24"/>
        </w:rPr>
        <w:t>Ležišta mineralnih sirovina koja se mogu eksploatisati (istražena ležišta, napušteni i stari rudnici)</w:t>
      </w:r>
      <w:r w:rsidRPr="00000B9D">
        <w:rPr>
          <w:rFonts w:ascii="Arial" w:hAnsi="Arial" w:cs="Arial"/>
          <w:sz w:val="24"/>
          <w:szCs w:val="24"/>
        </w:rPr>
        <w:t xml:space="preserve"> potrebno je procijeniti u odnosu na druge mogućnosti upotrebe prostora, imajući u vidu kriterijume poput </w:t>
      </w:r>
      <w:r w:rsidRPr="00000B9D">
        <w:rPr>
          <w:rFonts w:ascii="Arial" w:hAnsi="Arial" w:cs="Arial"/>
          <w:sz w:val="24"/>
          <w:szCs w:val="24"/>
        </w:rPr>
        <w:lastRenderedPageBreak/>
        <w:t xml:space="preserve">poljoprivrede, šumarstva, staništa flore i faune, druga ekološka pitanja, prioritete za razvoj infrastrukture itd. </w:t>
      </w:r>
    </w:p>
    <w:p w:rsidR="0043520E" w:rsidRDefault="0043520E" w:rsidP="00C964A2">
      <w:pPr>
        <w:pStyle w:val="BodyText"/>
        <w:spacing w:after="0" w:line="276" w:lineRule="auto"/>
        <w:jc w:val="both"/>
        <w:rPr>
          <w:rFonts w:eastAsia="Calibri" w:cs="Arial"/>
          <w:sz w:val="24"/>
          <w:szCs w:val="24"/>
          <w:lang w:val="en-US" w:eastAsia="en-US"/>
        </w:rPr>
      </w:pPr>
    </w:p>
    <w:p w:rsidR="00C964A2" w:rsidRDefault="00C964A2" w:rsidP="00C964A2">
      <w:pPr>
        <w:pStyle w:val="BodyText"/>
        <w:spacing w:after="0" w:line="276" w:lineRule="auto"/>
        <w:jc w:val="both"/>
        <w:rPr>
          <w:rFonts w:cs="Arial"/>
          <w:sz w:val="24"/>
          <w:szCs w:val="24"/>
        </w:rPr>
      </w:pPr>
      <w:r w:rsidRPr="00000B9D">
        <w:rPr>
          <w:rFonts w:cs="Arial"/>
          <w:sz w:val="24"/>
          <w:szCs w:val="24"/>
        </w:rPr>
        <w:t>Osnovu za sagledavanje geoloških resursa, sprovođenje svih vrsta aktivnosti u oblasti geološkog planiranja, odlučivanja i projektovanja geoloških istražnih radova, ostvarivanje globalne geokomunikacije i komercijalizacije geoloških informacija, čini geološki informacioni sistem. Sa druge strane, formirаnje, klаsifikovаnje, održаvаnje, prezentаcija i distribucija numeričkih, opisnih i prostornih bаzа podаtаkа o odobrenim geološkim istrаživаnjimа, koncesijama, rudnim rezervаmа, odobrenjimа, licencаmа i potvrdаmа, kаtаstru istrаžnih i eksploаtаcionih poljа, kаtаstru ležištа i bilаnsа minerаlnih sirovinа predstavlja osnov za izradu informacionog sistema za geološka istraživanja i rudarstvo.</w:t>
      </w:r>
    </w:p>
    <w:p w:rsidR="0043520E" w:rsidRPr="00000B9D" w:rsidRDefault="0043520E" w:rsidP="00C964A2">
      <w:pPr>
        <w:pStyle w:val="BodyText"/>
        <w:spacing w:after="0" w:line="276" w:lineRule="auto"/>
        <w:jc w:val="both"/>
        <w:rPr>
          <w:rFonts w:cs="Arial"/>
          <w:sz w:val="24"/>
          <w:szCs w:val="24"/>
        </w:rPr>
      </w:pPr>
    </w:p>
    <w:p w:rsidR="00C964A2" w:rsidRDefault="00C964A2" w:rsidP="00C964A2">
      <w:pPr>
        <w:pStyle w:val="BodyText"/>
        <w:spacing w:after="0" w:line="276" w:lineRule="auto"/>
        <w:jc w:val="both"/>
        <w:rPr>
          <w:rFonts w:cs="Arial"/>
          <w:sz w:val="24"/>
          <w:szCs w:val="24"/>
        </w:rPr>
      </w:pPr>
      <w:r w:rsidRPr="00000B9D">
        <w:rPr>
          <w:rFonts w:cs="Arial"/>
          <w:sz w:val="24"/>
          <w:szCs w:val="24"/>
        </w:rPr>
        <w:t>Uspostavljanje ovog sistema vrlo je važan aspekt u unapređenju politike upravljanja mineralnim resursima Crne Gore, što će konsekventno značiti  jačanje rudarskog sektora, a samim tim i industrije i ostalih grana privrede.</w:t>
      </w:r>
    </w:p>
    <w:p w:rsidR="0043520E" w:rsidRPr="00000B9D" w:rsidRDefault="0043520E" w:rsidP="00C964A2">
      <w:pPr>
        <w:pStyle w:val="BodyText"/>
        <w:spacing w:after="0" w:line="276" w:lineRule="auto"/>
        <w:jc w:val="both"/>
        <w:rPr>
          <w:rFonts w:cs="Arial"/>
          <w:sz w:val="24"/>
          <w:szCs w:val="24"/>
        </w:rPr>
      </w:pPr>
    </w:p>
    <w:p w:rsidR="00C964A2" w:rsidRDefault="00C964A2" w:rsidP="00C964A2">
      <w:pPr>
        <w:spacing w:after="0"/>
        <w:jc w:val="both"/>
        <w:rPr>
          <w:rFonts w:ascii="Arial" w:hAnsi="Arial" w:cs="Arial"/>
          <w:noProof/>
          <w:sz w:val="24"/>
          <w:szCs w:val="24"/>
          <w:lang w:val="sr-Latn-CS"/>
        </w:rPr>
      </w:pPr>
      <w:r w:rsidRPr="00000B9D">
        <w:rPr>
          <w:rFonts w:ascii="Arial" w:hAnsi="Arial" w:cs="Arial"/>
          <w:noProof/>
          <w:sz w:val="24"/>
          <w:szCs w:val="24"/>
          <w:lang w:val="sr-Latn-CS"/>
        </w:rPr>
        <w:t>Prethodno navedeno ukazuje na potrebu vrednovanja mineralnih resursa i rudarstva u ukupnom društveno ekonomskom razvoju i njihov nesumnjiv potencijal.</w:t>
      </w:r>
      <w:r w:rsidR="0043520E">
        <w:rPr>
          <w:rFonts w:ascii="Arial" w:hAnsi="Arial" w:cs="Arial"/>
          <w:noProof/>
          <w:sz w:val="24"/>
          <w:szCs w:val="24"/>
          <w:lang w:val="sr-Latn-CS"/>
        </w:rPr>
        <w:t xml:space="preserve"> </w:t>
      </w:r>
      <w:r w:rsidRPr="00000B9D">
        <w:rPr>
          <w:rFonts w:ascii="Arial" w:hAnsi="Arial" w:cs="Arial"/>
          <w:noProof/>
          <w:sz w:val="24"/>
          <w:szCs w:val="24"/>
          <w:lang w:val="sr-Latn-CS"/>
        </w:rPr>
        <w:t>Sa tim u vezi nameću se određeni ciljevi za ostvarenje</w:t>
      </w:r>
      <w:r w:rsidR="000969FA">
        <w:rPr>
          <w:rFonts w:ascii="Arial" w:hAnsi="Arial" w:cs="Arial"/>
          <w:noProof/>
          <w:sz w:val="24"/>
          <w:szCs w:val="24"/>
          <w:lang w:val="sr-Latn-CS"/>
        </w:rPr>
        <w:t>,</w:t>
      </w:r>
      <w:r w:rsidRPr="00000B9D">
        <w:rPr>
          <w:rFonts w:ascii="Arial" w:hAnsi="Arial" w:cs="Arial"/>
          <w:noProof/>
          <w:sz w:val="24"/>
          <w:szCs w:val="24"/>
          <w:lang w:val="sr-Latn-CS"/>
        </w:rPr>
        <w:t xml:space="preserve"> a to su prije svega definisanje mineralnih sirovina od strateškog značaja, prioritet u prostornom planiranju uz uvažavanje svih ograničenja, unaprjeđenje zakonske regulative u cilju povećanja ukupnih investicija, ravnomjerniji regionalni razvoj i povećanje učešća u BDP-u sa sadašnjih 1,4% na 2% u periodu od 10 godina.</w:t>
      </w:r>
    </w:p>
    <w:p w:rsidR="0043520E" w:rsidRPr="00000B9D" w:rsidRDefault="0043520E" w:rsidP="00C964A2">
      <w:pPr>
        <w:spacing w:after="0"/>
        <w:jc w:val="both"/>
        <w:rPr>
          <w:rFonts w:ascii="Arial" w:hAnsi="Arial" w:cs="Arial"/>
          <w:noProof/>
          <w:sz w:val="24"/>
          <w:szCs w:val="24"/>
          <w:lang w:val="sr-Latn-CS"/>
        </w:rPr>
      </w:pPr>
    </w:p>
    <w:p w:rsidR="00C964A2" w:rsidRPr="0043520E" w:rsidRDefault="00C964A2" w:rsidP="00C964A2">
      <w:pPr>
        <w:spacing w:after="0"/>
        <w:jc w:val="both"/>
        <w:rPr>
          <w:rFonts w:ascii="Arial" w:hAnsi="Arial" w:cs="Arial"/>
          <w:noProof/>
          <w:sz w:val="24"/>
          <w:szCs w:val="24"/>
          <w:lang w:val="sr-Latn-CS"/>
        </w:rPr>
      </w:pPr>
      <w:r w:rsidRPr="00000B9D">
        <w:rPr>
          <w:rFonts w:ascii="Arial" w:hAnsi="Arial" w:cs="Arial"/>
          <w:noProof/>
          <w:sz w:val="24"/>
          <w:szCs w:val="24"/>
          <w:lang w:val="sr-Latn-CS"/>
        </w:rPr>
        <w:t>Ovaj pristup definiše razvojni okvir za sektor mineralnih sirovina i rudarsku proizvodnju uz uvažavanje ekonomske, socijalne i komponenete održivog razvoja države, lokalne uprave i privrednih subjekata.</w:t>
      </w:r>
      <w:r w:rsidR="0043520E">
        <w:rPr>
          <w:rFonts w:ascii="Arial" w:hAnsi="Arial" w:cs="Arial"/>
          <w:noProof/>
          <w:sz w:val="24"/>
          <w:szCs w:val="24"/>
          <w:lang w:val="sr-Latn-CS"/>
        </w:rPr>
        <w:t xml:space="preserve"> </w:t>
      </w:r>
      <w:r w:rsidRPr="00000B9D">
        <w:rPr>
          <w:rFonts w:ascii="Arial" w:hAnsi="Arial" w:cs="Arial"/>
          <w:noProof/>
          <w:sz w:val="24"/>
          <w:szCs w:val="24"/>
          <w:lang w:val="sr-Latn-CS"/>
        </w:rPr>
        <w:t xml:space="preserve">Dakle, upravljanje mineralnim resursima i geološka istraživanja mineralnih sirovina treba da budu koncipirani na način koji </w:t>
      </w:r>
      <w:r>
        <w:rPr>
          <w:rFonts w:ascii="Arial" w:hAnsi="Arial" w:cs="Arial"/>
          <w:noProof/>
          <w:sz w:val="24"/>
          <w:szCs w:val="24"/>
          <w:lang w:val="sr-Latn-CS"/>
        </w:rPr>
        <w:t>donosi</w:t>
      </w:r>
      <w:r w:rsidRPr="00000B9D">
        <w:rPr>
          <w:rFonts w:ascii="Arial" w:hAnsi="Arial" w:cs="Arial"/>
          <w:noProof/>
          <w:sz w:val="24"/>
          <w:szCs w:val="24"/>
          <w:lang w:val="sr-Latn-CS"/>
        </w:rPr>
        <w:t xml:space="preserve"> maksimalno profitabilne efekte i time razvojno pozitivne promjene koje su zasnovane na rastućem učešću znanja, adekvatnom finansiranju i zakonodavnoj regulativi, kao i jačanju i razvoju institucionalnog okvira.</w:t>
      </w:r>
      <w:r w:rsidRPr="00000B9D">
        <w:rPr>
          <w:rFonts w:ascii="Arial" w:hAnsi="Arial" w:cs="Arial"/>
          <w:sz w:val="24"/>
          <w:szCs w:val="24"/>
        </w:rPr>
        <w:t xml:space="preserve"> </w:t>
      </w:r>
    </w:p>
    <w:p w:rsidR="00E77D64" w:rsidRPr="00722DF4" w:rsidRDefault="00E77D64" w:rsidP="00722DF4">
      <w:pPr>
        <w:pStyle w:val="Default"/>
        <w:spacing w:line="276" w:lineRule="auto"/>
        <w:ind w:left="708"/>
        <w:jc w:val="both"/>
        <w:rPr>
          <w:rFonts w:ascii="Arial" w:hAnsi="Arial" w:cs="Arial"/>
        </w:rPr>
      </w:pPr>
    </w:p>
    <w:p w:rsidR="00F7767A" w:rsidRPr="00722DF4" w:rsidRDefault="00C75CAD" w:rsidP="00E77D64">
      <w:pPr>
        <w:pStyle w:val="Heading2"/>
        <w:numPr>
          <w:ilvl w:val="0"/>
          <w:numId w:val="0"/>
        </w:numPr>
      </w:pPr>
      <w:bookmarkStart w:id="6" w:name="_Toc6172802"/>
      <w:r>
        <w:rPr>
          <w:lang w:val="sr-Latn-CS"/>
        </w:rPr>
        <w:t>1.2</w:t>
      </w:r>
      <w:r w:rsidR="00E77D64">
        <w:rPr>
          <w:lang w:val="sr-Latn-CS"/>
        </w:rPr>
        <w:t xml:space="preserve">. </w:t>
      </w:r>
      <w:r w:rsidR="00F7767A" w:rsidRPr="00722DF4">
        <w:t>Pregled raspoloživih mineralnih sirovina i stepen istraženosti</w:t>
      </w:r>
      <w:bookmarkEnd w:id="6"/>
    </w:p>
    <w:p w:rsidR="00F7767A" w:rsidRPr="00722DF4" w:rsidRDefault="00F7767A" w:rsidP="00722DF4">
      <w:pPr>
        <w:pStyle w:val="Default"/>
        <w:spacing w:line="276" w:lineRule="auto"/>
        <w:jc w:val="both"/>
        <w:rPr>
          <w:rFonts w:ascii="Arial" w:hAnsi="Arial" w:cs="Arial"/>
          <w:b/>
          <w:bCs/>
        </w:rPr>
      </w:pPr>
    </w:p>
    <w:p w:rsidR="00F7767A" w:rsidRDefault="00F7767A" w:rsidP="00231FAD">
      <w:pPr>
        <w:autoSpaceDE w:val="0"/>
        <w:autoSpaceDN w:val="0"/>
        <w:adjustRightInd w:val="0"/>
        <w:spacing w:after="0"/>
        <w:jc w:val="both"/>
        <w:rPr>
          <w:rFonts w:ascii="Arial" w:hAnsi="Arial" w:cs="Arial"/>
          <w:sz w:val="24"/>
          <w:szCs w:val="24"/>
        </w:rPr>
      </w:pPr>
      <w:r w:rsidRPr="00722DF4">
        <w:rPr>
          <w:rFonts w:ascii="Arial" w:hAnsi="Arial" w:cs="Arial"/>
          <w:sz w:val="24"/>
          <w:szCs w:val="24"/>
        </w:rPr>
        <w:t>Intenzivnim geološkim istraživanjima poslije Drugog svjetskog rata, a naročito u periodu od 1946. do 1986. godine, u Crnoj Gori je otkriveno 28 vrsta mineralnih sirovina, od kojih je do sada eksploatisano 15 vrsta. Procjenjuje se da ekonomski značaj ima još osam različitih mineralnih sirovina</w:t>
      </w:r>
      <w:r w:rsidR="00356529" w:rsidRPr="00722DF4">
        <w:rPr>
          <w:rFonts w:ascii="Arial" w:hAnsi="Arial" w:cs="Arial"/>
          <w:sz w:val="24"/>
          <w:szCs w:val="24"/>
        </w:rPr>
        <w:t xml:space="preserve">. Na prostoru Crne Gore </w:t>
      </w:r>
      <w:r w:rsidRPr="00722DF4">
        <w:rPr>
          <w:rFonts w:ascii="Arial" w:hAnsi="Arial" w:cs="Arial"/>
          <w:sz w:val="24"/>
          <w:szCs w:val="24"/>
        </w:rPr>
        <w:t>utvrđene su 23 vrste mineralnih s</w:t>
      </w:r>
      <w:r w:rsidR="00231FAD">
        <w:rPr>
          <w:rFonts w:ascii="Arial" w:hAnsi="Arial" w:cs="Arial"/>
          <w:sz w:val="24"/>
          <w:szCs w:val="24"/>
        </w:rPr>
        <w:t>irovina sa značajnim rezervama.</w:t>
      </w:r>
    </w:p>
    <w:p w:rsidR="00231FAD" w:rsidRPr="00231FAD" w:rsidRDefault="00231FAD" w:rsidP="00231FAD">
      <w:pPr>
        <w:autoSpaceDE w:val="0"/>
        <w:autoSpaceDN w:val="0"/>
        <w:adjustRightInd w:val="0"/>
        <w:spacing w:after="0"/>
        <w:jc w:val="both"/>
        <w:rPr>
          <w:rFonts w:ascii="Arial" w:hAnsi="Arial" w:cs="Arial"/>
          <w:sz w:val="24"/>
          <w:szCs w:val="24"/>
        </w:rPr>
      </w:pPr>
    </w:p>
    <w:p w:rsidR="00F7767A" w:rsidRDefault="00C75CAD" w:rsidP="00C75CAD">
      <w:pPr>
        <w:pStyle w:val="Heading3"/>
        <w:numPr>
          <w:ilvl w:val="0"/>
          <w:numId w:val="0"/>
        </w:numPr>
      </w:pPr>
      <w:bookmarkStart w:id="7" w:name="_Toc6172803"/>
      <w:r>
        <w:rPr>
          <w:lang w:val="sr-Latn-CS"/>
        </w:rPr>
        <w:lastRenderedPageBreak/>
        <w:t xml:space="preserve">1.2.1. </w:t>
      </w:r>
      <w:r w:rsidR="00F7767A" w:rsidRPr="00722DF4">
        <w:t>Metalične mineralne sirovine</w:t>
      </w:r>
      <w:bookmarkEnd w:id="7"/>
    </w:p>
    <w:p w:rsidR="00E77D64" w:rsidRPr="00722DF4" w:rsidRDefault="00E77D64" w:rsidP="00E77D64">
      <w:pPr>
        <w:pStyle w:val="Default"/>
        <w:spacing w:line="276" w:lineRule="auto"/>
        <w:ind w:left="1080"/>
        <w:jc w:val="both"/>
        <w:rPr>
          <w:rFonts w:ascii="Arial" w:hAnsi="Arial" w:cs="Arial"/>
          <w:b/>
          <w:bCs/>
        </w:rPr>
      </w:pPr>
    </w:p>
    <w:p w:rsidR="00F7767A" w:rsidRPr="00722DF4" w:rsidRDefault="00F7767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Od metaličnih mineralnih sirovina u Crnoj Gori najveći ekonomski značaj imaju ležišta crvenih boksita i ležišta rude olova i cinka. Procjenjuje se da bi se doistraživanjima mog</w:t>
      </w:r>
      <w:r w:rsidR="002D42B3" w:rsidRPr="00692676">
        <w:rPr>
          <w:rFonts w:ascii="Arial" w:hAnsi="Arial" w:cs="Arial"/>
          <w:sz w:val="24"/>
          <w:szCs w:val="24"/>
        </w:rPr>
        <w:t>le</w:t>
      </w:r>
      <w:r w:rsidRPr="00722DF4">
        <w:rPr>
          <w:rFonts w:ascii="Arial" w:hAnsi="Arial" w:cs="Arial"/>
          <w:sz w:val="24"/>
          <w:szCs w:val="24"/>
        </w:rPr>
        <w:t xml:space="preserve"> dokazati nove rezerve i ekonomski značaj rude bakra u Varinama kod Pljevalja. Pojave rude žive, mangana, gvožđa, titana i hroma ocjenjuju se za sada kao ekonomski neinteresantne.</w:t>
      </w:r>
    </w:p>
    <w:p w:rsidR="00C75CAD" w:rsidRDefault="00C75CAD" w:rsidP="00C75CAD">
      <w:pPr>
        <w:pStyle w:val="ColorfulList-Accent11"/>
        <w:autoSpaceDE w:val="0"/>
        <w:autoSpaceDN w:val="0"/>
        <w:adjustRightInd w:val="0"/>
        <w:spacing w:after="0"/>
        <w:ind w:left="357"/>
        <w:contextualSpacing w:val="0"/>
        <w:jc w:val="both"/>
        <w:rPr>
          <w:rFonts w:ascii="Arial" w:hAnsi="Arial" w:cs="Arial"/>
          <w:sz w:val="24"/>
          <w:szCs w:val="24"/>
        </w:rPr>
      </w:pPr>
    </w:p>
    <w:p w:rsidR="00F7767A" w:rsidRDefault="00F7767A" w:rsidP="00C75CAD">
      <w:pPr>
        <w:pStyle w:val="ColorfulList-Accent11"/>
        <w:autoSpaceDE w:val="0"/>
        <w:autoSpaceDN w:val="0"/>
        <w:adjustRightInd w:val="0"/>
        <w:spacing w:after="0"/>
        <w:ind w:left="0"/>
        <w:contextualSpacing w:val="0"/>
        <w:jc w:val="both"/>
        <w:rPr>
          <w:rFonts w:ascii="Arial" w:hAnsi="Arial" w:cs="Arial"/>
          <w:b/>
          <w:bCs/>
          <w:sz w:val="24"/>
          <w:szCs w:val="24"/>
        </w:rPr>
      </w:pPr>
      <w:r w:rsidRPr="00722DF4">
        <w:rPr>
          <w:rFonts w:ascii="Arial" w:hAnsi="Arial" w:cs="Arial"/>
          <w:b/>
          <w:bCs/>
          <w:sz w:val="24"/>
          <w:szCs w:val="24"/>
        </w:rPr>
        <w:t>Crveni boksiti</w:t>
      </w:r>
    </w:p>
    <w:p w:rsidR="00F7767A" w:rsidRDefault="00F7767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Ležišta i pojave crvenih boksita imaju veliko rasprostranjenje u središnjim, a manje u južnim djelovima Crne Gore i predstavljaju najznačajniju metaličnu mineralnu sirovinu. Do sada je utvrđeno 30 ležišta i 150 pojava crvenih boksita (</w:t>
      </w:r>
      <w:r w:rsidR="006A59C3" w:rsidRPr="00722DF4">
        <w:rPr>
          <w:rFonts w:ascii="Arial" w:hAnsi="Arial" w:cs="Arial"/>
          <w:sz w:val="24"/>
          <w:szCs w:val="24"/>
        </w:rPr>
        <w:t>slika 1.1.</w:t>
      </w:r>
      <w:r w:rsidRPr="00722DF4">
        <w:rPr>
          <w:rFonts w:ascii="Arial" w:hAnsi="Arial" w:cs="Arial"/>
          <w:sz w:val="24"/>
          <w:szCs w:val="24"/>
        </w:rPr>
        <w:t xml:space="preserve">). </w:t>
      </w:r>
    </w:p>
    <w:p w:rsidR="00C75CAD" w:rsidRPr="00722DF4" w:rsidRDefault="00C75CAD" w:rsidP="00722DF4">
      <w:pPr>
        <w:autoSpaceDE w:val="0"/>
        <w:autoSpaceDN w:val="0"/>
        <w:adjustRightInd w:val="0"/>
        <w:spacing w:after="0"/>
        <w:jc w:val="both"/>
        <w:rPr>
          <w:rFonts w:ascii="Arial" w:hAnsi="Arial" w:cs="Arial"/>
          <w:sz w:val="24"/>
          <w:szCs w:val="24"/>
        </w:rPr>
      </w:pPr>
    </w:p>
    <w:p w:rsidR="00F7767A" w:rsidRDefault="00F7767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Najveći ekonomski značaj imaju jurski boksiti. Otkriveni su u rejonima: Nikšićke Župe, Bjelopavlićkih planina, Banjana, Rudina i na prostoru Katunske nahije. Najznačajnije rezerve crvenih boksita, međutim, nalaze se u širem prostoru Nikšićke Župe, gdje su otkrivena najveća karstna ležišta crvenih boksita: Liverovići I i II, Zagrad, Kutsko brdo, Đurakov do, Biočki stan i Štitovo I i II.</w:t>
      </w:r>
    </w:p>
    <w:p w:rsidR="00C75CAD" w:rsidRPr="00722DF4" w:rsidRDefault="00C75CAD" w:rsidP="00722DF4">
      <w:pPr>
        <w:autoSpaceDE w:val="0"/>
        <w:autoSpaceDN w:val="0"/>
        <w:adjustRightInd w:val="0"/>
        <w:spacing w:after="0"/>
        <w:jc w:val="both"/>
        <w:rPr>
          <w:rFonts w:ascii="Arial" w:hAnsi="Arial" w:cs="Arial"/>
          <w:sz w:val="24"/>
          <w:szCs w:val="24"/>
        </w:rPr>
      </w:pPr>
    </w:p>
    <w:p w:rsidR="00F7767A" w:rsidRDefault="00F7767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Stanje dokazanih (istražnih i djelimično istraženih) rezervi crvenih boksita u Crnoj Gori na kraju 2017. godine iznosilo je oko 66 miliona tona od kojih su rezerve bilansne i uslovnobilansne klase krajem 2005</w:t>
      </w:r>
      <w:r w:rsidR="004045DD">
        <w:rPr>
          <w:rFonts w:ascii="Arial" w:hAnsi="Arial" w:cs="Arial"/>
          <w:sz w:val="24"/>
          <w:szCs w:val="24"/>
        </w:rPr>
        <w:t>.</w:t>
      </w:r>
      <w:r w:rsidRPr="00722DF4">
        <w:rPr>
          <w:rFonts w:ascii="Arial" w:hAnsi="Arial" w:cs="Arial"/>
          <w:sz w:val="24"/>
          <w:szCs w:val="24"/>
        </w:rPr>
        <w:t xml:space="preserve"> godine tj. rezerve koje se mogu koristiti</w:t>
      </w:r>
      <w:r w:rsidR="00356529" w:rsidRPr="00722DF4">
        <w:rPr>
          <w:rFonts w:ascii="Arial" w:hAnsi="Arial" w:cs="Arial"/>
          <w:sz w:val="24"/>
          <w:szCs w:val="24"/>
        </w:rPr>
        <w:t xml:space="preserve"> </w:t>
      </w:r>
      <w:r w:rsidRPr="00722DF4">
        <w:rPr>
          <w:rFonts w:ascii="Arial" w:hAnsi="Arial" w:cs="Arial"/>
          <w:sz w:val="24"/>
          <w:szCs w:val="24"/>
        </w:rPr>
        <w:t>za dobijanje aluminijuma</w:t>
      </w:r>
      <w:r w:rsidR="004045DD">
        <w:rPr>
          <w:rFonts w:ascii="Arial" w:hAnsi="Arial" w:cs="Arial"/>
          <w:sz w:val="24"/>
          <w:szCs w:val="24"/>
        </w:rPr>
        <w:t xml:space="preserve"> (čiji je prosječni sadržaj SiO</w:t>
      </w:r>
      <w:r w:rsidR="004045DD">
        <w:rPr>
          <w:rFonts w:ascii="Arial" w:hAnsi="Arial" w:cs="Arial"/>
          <w:sz w:val="24"/>
          <w:szCs w:val="24"/>
          <w:vertAlign w:val="subscript"/>
        </w:rPr>
        <w:t>2</w:t>
      </w:r>
      <w:r w:rsidRPr="00722DF4">
        <w:rPr>
          <w:rFonts w:ascii="Arial" w:hAnsi="Arial" w:cs="Arial"/>
          <w:sz w:val="24"/>
          <w:szCs w:val="24"/>
        </w:rPr>
        <w:t xml:space="preserve"> manji od 6%) bile svega 20.864.000 tona, od kojih je koncesionaru “Saloman Enterprice” za korišćenje (eksploataciju) u periodu od 20 godina, 2005. godine ustupljeno 19.912.000 t</w:t>
      </w:r>
      <w:r w:rsidR="004045DD">
        <w:rPr>
          <w:rFonts w:ascii="Arial" w:hAnsi="Arial" w:cs="Arial"/>
          <w:sz w:val="24"/>
          <w:szCs w:val="24"/>
        </w:rPr>
        <w:t>ona</w:t>
      </w:r>
      <w:r w:rsidRPr="00722DF4">
        <w:rPr>
          <w:rFonts w:ascii="Arial" w:hAnsi="Arial" w:cs="Arial"/>
          <w:sz w:val="24"/>
          <w:szCs w:val="24"/>
        </w:rPr>
        <w:t xml:space="preserve"> rezervi boksita bilansne i uslovno bilansne klase.</w:t>
      </w:r>
      <w:r w:rsidR="000969FA" w:rsidRPr="000969FA">
        <w:t xml:space="preserve"> </w:t>
      </w:r>
      <w:r w:rsidR="000969FA" w:rsidRPr="000969FA">
        <w:rPr>
          <w:rFonts w:ascii="Arial" w:hAnsi="Arial" w:cs="Arial"/>
          <w:sz w:val="24"/>
          <w:szCs w:val="24"/>
        </w:rPr>
        <w:t>U septembru 2015. godine Vlada Crne Gore i ONICO SA – Varšava  zaključili su Ugovor o koncesiji za eksploataciju mineralne sirovine crvenih boksita sa ležišta „Zagrad“, „Đurakov do II“ , „Štitovo II“</w:t>
      </w:r>
      <w:r w:rsidR="00E17F51">
        <w:rPr>
          <w:rFonts w:ascii="Arial" w:hAnsi="Arial" w:cs="Arial"/>
          <w:sz w:val="24"/>
          <w:szCs w:val="24"/>
        </w:rPr>
        <w:t xml:space="preserve"> i „Biočki stan“, a zatim decembra 2015. Godine </w:t>
      </w:r>
      <w:r w:rsidR="000969FA" w:rsidRPr="000969FA">
        <w:rPr>
          <w:rFonts w:ascii="Arial" w:hAnsi="Arial" w:cs="Arial"/>
          <w:sz w:val="24"/>
          <w:szCs w:val="24"/>
        </w:rPr>
        <w:t>Ugovor o prenosu Ugovora o koncesiji za eksploataciju mineralne sirovine crvenih boksita sa ležišta „Zagrad“, „Đurakov do II“ , „Štitovo II“ i „Biočki stan“, opština Nikšić, na konzorcijum „UNIPROM“ DOO – Nikšić i „UNIPROM – METALI“ DOO – Nikšić</w:t>
      </w:r>
    </w:p>
    <w:p w:rsidR="00C75CAD" w:rsidRPr="00722DF4" w:rsidRDefault="00C75CAD" w:rsidP="00722DF4">
      <w:pPr>
        <w:autoSpaceDE w:val="0"/>
        <w:autoSpaceDN w:val="0"/>
        <w:adjustRightInd w:val="0"/>
        <w:spacing w:after="0"/>
        <w:jc w:val="both"/>
        <w:rPr>
          <w:rFonts w:ascii="Arial" w:hAnsi="Arial" w:cs="Arial"/>
          <w:sz w:val="24"/>
          <w:szCs w:val="24"/>
        </w:rPr>
      </w:pPr>
    </w:p>
    <w:p w:rsidR="00F7767A" w:rsidRDefault="00F7767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Navedeni podaci uglavnom se odnose na jurska ležišta crvenih boksita u širem području Nikšićke Župe. Od trijaskih ležišta jedino je djelimično istraženo</w:t>
      </w:r>
      <w:r w:rsidR="004045DD">
        <w:rPr>
          <w:rFonts w:ascii="Arial" w:hAnsi="Arial" w:cs="Arial"/>
          <w:sz w:val="24"/>
          <w:szCs w:val="24"/>
        </w:rPr>
        <w:t xml:space="preserve"> ležište </w:t>
      </w:r>
      <w:r w:rsidRPr="00722DF4">
        <w:rPr>
          <w:rFonts w:ascii="Arial" w:hAnsi="Arial" w:cs="Arial"/>
          <w:sz w:val="24"/>
          <w:szCs w:val="24"/>
        </w:rPr>
        <w:t>Gornjopoljski vir, sa rezervama oko jedan mili</w:t>
      </w:r>
      <w:r w:rsidR="004045DD">
        <w:rPr>
          <w:rFonts w:ascii="Arial" w:hAnsi="Arial" w:cs="Arial"/>
          <w:sz w:val="24"/>
          <w:szCs w:val="24"/>
        </w:rPr>
        <w:t>on tona i visokim sadržajem SiO</w:t>
      </w:r>
      <w:r w:rsidR="004045DD">
        <w:rPr>
          <w:rFonts w:ascii="Arial" w:hAnsi="Arial" w:cs="Arial"/>
          <w:sz w:val="24"/>
          <w:szCs w:val="24"/>
          <w:vertAlign w:val="subscript"/>
        </w:rPr>
        <w:t>2</w:t>
      </w:r>
      <w:r w:rsidRPr="00722DF4">
        <w:rPr>
          <w:rFonts w:ascii="Arial" w:hAnsi="Arial" w:cs="Arial"/>
          <w:sz w:val="24"/>
          <w:szCs w:val="24"/>
        </w:rPr>
        <w:t xml:space="preserve">. </w:t>
      </w:r>
    </w:p>
    <w:p w:rsidR="00C75CAD" w:rsidRPr="00722DF4" w:rsidRDefault="00C75CAD" w:rsidP="00722DF4">
      <w:pPr>
        <w:autoSpaceDE w:val="0"/>
        <w:autoSpaceDN w:val="0"/>
        <w:adjustRightInd w:val="0"/>
        <w:spacing w:after="0"/>
        <w:jc w:val="both"/>
        <w:rPr>
          <w:rFonts w:ascii="Arial" w:hAnsi="Arial" w:cs="Arial"/>
          <w:i/>
          <w:iCs/>
          <w:sz w:val="24"/>
          <w:szCs w:val="24"/>
        </w:rPr>
      </w:pPr>
    </w:p>
    <w:p w:rsidR="00F7767A" w:rsidRDefault="00F7767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Jurskim boksitima u Crnoj Gori posvećena je najveća pažnja, a naročito u pogledu istraživanja kvalitetnih ležišta u području Nikšićke Župe, gdje su utvrđene rezerve A+B+C1 kategorije: Liverovići, Zagrad, Kutsko brdo, Biočki stan, Đurakov do, Štitovo I i II, Crvenjaci. Ostala ležišta i pojave su istražena uglavnom do stepena C</w:t>
      </w:r>
      <w:r w:rsidR="000969FA">
        <w:rPr>
          <w:rFonts w:ascii="Arial" w:hAnsi="Arial" w:cs="Arial"/>
          <w:sz w:val="24"/>
          <w:szCs w:val="24"/>
          <w:vertAlign w:val="subscript"/>
        </w:rPr>
        <w:t>1</w:t>
      </w:r>
      <w:r w:rsidRPr="00722DF4">
        <w:rPr>
          <w:rFonts w:ascii="Arial" w:hAnsi="Arial" w:cs="Arial"/>
          <w:sz w:val="24"/>
          <w:szCs w:val="24"/>
        </w:rPr>
        <w:t xml:space="preserve"> kategorije, a rijetko i do B+C</w:t>
      </w:r>
      <w:r w:rsidR="000969FA">
        <w:rPr>
          <w:rFonts w:ascii="Arial" w:hAnsi="Arial" w:cs="Arial"/>
          <w:sz w:val="24"/>
          <w:szCs w:val="24"/>
          <w:vertAlign w:val="subscript"/>
        </w:rPr>
        <w:t>1</w:t>
      </w:r>
      <w:r w:rsidRPr="00722DF4">
        <w:rPr>
          <w:rFonts w:ascii="Arial" w:hAnsi="Arial" w:cs="Arial"/>
          <w:sz w:val="24"/>
          <w:szCs w:val="24"/>
        </w:rPr>
        <w:t xml:space="preserve">. </w:t>
      </w:r>
    </w:p>
    <w:p w:rsidR="00C75CAD" w:rsidRPr="00722DF4" w:rsidRDefault="00C75CAD" w:rsidP="00722DF4">
      <w:pPr>
        <w:autoSpaceDE w:val="0"/>
        <w:autoSpaceDN w:val="0"/>
        <w:adjustRightInd w:val="0"/>
        <w:spacing w:after="0"/>
        <w:jc w:val="both"/>
        <w:rPr>
          <w:rFonts w:ascii="Arial" w:hAnsi="Arial" w:cs="Arial"/>
          <w:sz w:val="24"/>
          <w:szCs w:val="24"/>
        </w:rPr>
      </w:pPr>
    </w:p>
    <w:p w:rsidR="00F7767A" w:rsidRPr="00722DF4" w:rsidRDefault="00F7767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Može se zaključiti da u Crnoj Gori potencijal perspektivnih rezervi, pored do sada dokazanih oko 66 miliona tona, sigurno iznosi oko 50 miliona tona. </w:t>
      </w:r>
    </w:p>
    <w:p w:rsidR="00F7767A" w:rsidRPr="00722DF4" w:rsidRDefault="001210F4" w:rsidP="00722DF4">
      <w:pPr>
        <w:autoSpaceDE w:val="0"/>
        <w:autoSpaceDN w:val="0"/>
        <w:adjustRightInd w:val="0"/>
        <w:spacing w:after="0"/>
        <w:jc w:val="both"/>
        <w:rPr>
          <w:rFonts w:ascii="Arial" w:hAnsi="Arial" w:cs="Arial"/>
          <w:noProof/>
          <w:sz w:val="24"/>
          <w:szCs w:val="24"/>
        </w:rPr>
      </w:pPr>
      <w:r>
        <w:rPr>
          <w:rFonts w:ascii="Arial" w:hAnsi="Arial" w:cs="Arial"/>
          <w:noProof/>
          <w:sz w:val="24"/>
          <w:szCs w:val="24"/>
        </w:rPr>
        <w:drawing>
          <wp:inline distT="0" distB="0" distL="0" distR="0">
            <wp:extent cx="5607050" cy="7228840"/>
            <wp:effectExtent l="1905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5607050" cy="7228840"/>
                    </a:xfrm>
                    <a:prstGeom prst="rect">
                      <a:avLst/>
                    </a:prstGeom>
                    <a:noFill/>
                    <a:ln w="9525">
                      <a:noFill/>
                      <a:miter lim="800000"/>
                      <a:headEnd/>
                      <a:tailEnd/>
                    </a:ln>
                  </pic:spPr>
                </pic:pic>
              </a:graphicData>
            </a:graphic>
          </wp:inline>
        </w:drawing>
      </w:r>
    </w:p>
    <w:p w:rsidR="00F7767A" w:rsidRPr="00231FAD" w:rsidRDefault="006A59C3" w:rsidP="00722DF4">
      <w:pPr>
        <w:autoSpaceDE w:val="0"/>
        <w:autoSpaceDN w:val="0"/>
        <w:adjustRightInd w:val="0"/>
        <w:spacing w:after="0"/>
        <w:jc w:val="both"/>
        <w:rPr>
          <w:rFonts w:ascii="Arial" w:hAnsi="Arial" w:cs="Arial"/>
          <w:i/>
          <w:iCs/>
        </w:rPr>
      </w:pPr>
      <w:r w:rsidRPr="00231FAD">
        <w:rPr>
          <w:rFonts w:ascii="Arial" w:hAnsi="Arial" w:cs="Arial"/>
          <w:b/>
          <w:iCs/>
        </w:rPr>
        <w:t>Slika 1.1.</w:t>
      </w:r>
      <w:r w:rsidR="00F7767A" w:rsidRPr="00231FAD">
        <w:rPr>
          <w:rFonts w:ascii="Arial" w:hAnsi="Arial" w:cs="Arial"/>
          <w:i/>
          <w:iCs/>
          <w:color w:val="FF0000"/>
        </w:rPr>
        <w:t xml:space="preserve"> </w:t>
      </w:r>
      <w:r w:rsidR="00F7767A" w:rsidRPr="00231FAD">
        <w:rPr>
          <w:rFonts w:ascii="Arial" w:hAnsi="Arial" w:cs="Arial"/>
          <w:iCs/>
        </w:rPr>
        <w:t xml:space="preserve">Karta najznačajnijih ležišta i perspektivnih terena metaličnih mineralnih sirovina (crveni boksiti, olovo i cink, bakar i živa) i uglja u Crnoj Gori </w:t>
      </w:r>
      <w:r w:rsidR="00F7767A" w:rsidRPr="00231FAD">
        <w:rPr>
          <w:rFonts w:ascii="Arial" w:hAnsi="Arial" w:cs="Arial"/>
          <w:i/>
          <w:iCs/>
        </w:rPr>
        <w:t>(Pajović i Radusinović, 2010)</w:t>
      </w:r>
    </w:p>
    <w:p w:rsidR="00231FAD" w:rsidRPr="00722DF4" w:rsidRDefault="00231FAD" w:rsidP="00722DF4">
      <w:pPr>
        <w:autoSpaceDE w:val="0"/>
        <w:autoSpaceDN w:val="0"/>
        <w:adjustRightInd w:val="0"/>
        <w:spacing w:after="0"/>
        <w:jc w:val="both"/>
        <w:rPr>
          <w:rFonts w:ascii="Arial" w:hAnsi="Arial" w:cs="Arial"/>
          <w:i/>
          <w:iCs/>
          <w:sz w:val="24"/>
          <w:szCs w:val="24"/>
        </w:rPr>
      </w:pPr>
    </w:p>
    <w:p w:rsidR="00EF7189" w:rsidRDefault="00EF7189"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lastRenderedPageBreak/>
        <w:t>Olovo i cink</w:t>
      </w:r>
    </w:p>
    <w:p w:rsidR="00C75CAD" w:rsidRPr="00722DF4" w:rsidRDefault="00C75CAD" w:rsidP="00C75CAD">
      <w:pPr>
        <w:autoSpaceDE w:val="0"/>
        <w:autoSpaceDN w:val="0"/>
        <w:adjustRightInd w:val="0"/>
        <w:spacing w:after="0"/>
        <w:jc w:val="both"/>
        <w:rPr>
          <w:rFonts w:ascii="Arial" w:hAnsi="Arial" w:cs="Arial"/>
          <w:b/>
          <w:bCs/>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Nalazišta olova i cinka u Crnoj Gori vezana su za metalogenetsku oblast sjeveroistočne Crne Gore. Ekonomske koncentracije rude ovih metala dokazane su u rejonima planina Ljubišnje (rudnik “Šuplja stijena”) i Bjelasice (rudnik “Brskovo”). Kao vrlo perspektivna procijenjena su i područja planina Visitor i Sjekirica, gdje je do sada dokazano više ekonomski interesantnih rudnih pojava. </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w:t>
      </w:r>
      <w:r w:rsidRPr="00722DF4">
        <w:rPr>
          <w:rFonts w:ascii="Arial" w:hAnsi="Arial" w:cs="Arial"/>
          <w:b/>
          <w:bCs/>
          <w:i/>
          <w:sz w:val="24"/>
          <w:szCs w:val="24"/>
        </w:rPr>
        <w:t>rudnom rejonu Ljubišnje</w:t>
      </w:r>
      <w:r w:rsidRPr="00722DF4">
        <w:rPr>
          <w:rFonts w:ascii="Arial" w:hAnsi="Arial" w:cs="Arial"/>
          <w:b/>
          <w:bCs/>
          <w:sz w:val="24"/>
          <w:szCs w:val="24"/>
        </w:rPr>
        <w:t xml:space="preserve"> </w:t>
      </w:r>
      <w:r w:rsidRPr="00722DF4">
        <w:rPr>
          <w:rFonts w:ascii="Arial" w:hAnsi="Arial" w:cs="Arial"/>
          <w:sz w:val="24"/>
          <w:szCs w:val="24"/>
        </w:rPr>
        <w:t>naročiti značaj ima rudno polje rudnika “Šuplja stijena” gdje su istraživanjima dokazana četiri ležišta: Šuplja stijena, Đurđeve vode, Ribnik i Paljevine. Proračunate su i ovjerene rezerve u ležištu Šuplja stijena, od 16.9234.000 tona, sa srednjim sadržajem od 2,51% Pb+Zn. Površinska eksploatacija ovog ležišta odvija se od 2010</w:t>
      </w:r>
      <w:r w:rsidR="00356529" w:rsidRPr="00722DF4">
        <w:rPr>
          <w:rFonts w:ascii="Arial" w:hAnsi="Arial" w:cs="Arial"/>
          <w:sz w:val="24"/>
          <w:szCs w:val="24"/>
        </w:rPr>
        <w:t>.</w:t>
      </w:r>
      <w:r w:rsidRPr="00722DF4">
        <w:rPr>
          <w:rFonts w:ascii="Arial" w:hAnsi="Arial" w:cs="Arial"/>
          <w:sz w:val="24"/>
          <w:szCs w:val="24"/>
        </w:rPr>
        <w:t xml:space="preserve"> godine. Rudni rejon Ljubišnje ima visok stepen istraženosti geološkim, geohemijskim i geofizičkim metodama. U 2017. godini preduzeta su dalja istraživanja, metodom bušenja sa površine, u ležištu Đurđeve vode, nakon kojih će se pristupiti daljim istraživanjima na ležištima Rubnik i Paljevine.</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b/>
          <w:i/>
          <w:sz w:val="24"/>
          <w:szCs w:val="24"/>
        </w:rPr>
        <w:t>Rudni rejon planine Bjelasice</w:t>
      </w:r>
      <w:r w:rsidRPr="00722DF4">
        <w:rPr>
          <w:rFonts w:ascii="Arial" w:hAnsi="Arial" w:cs="Arial"/>
          <w:sz w:val="24"/>
          <w:szCs w:val="24"/>
        </w:rPr>
        <w:t xml:space="preserve"> je drugi po značaju rejon sa rudom olova i cinka, u kome se nalazi poznati rudnik “Brskovo”, iz kojeg je u drugoj polovini 13-og vij</w:t>
      </w:r>
      <w:r w:rsidR="00356529" w:rsidRPr="00722DF4">
        <w:rPr>
          <w:rFonts w:ascii="Arial" w:hAnsi="Arial" w:cs="Arial"/>
          <w:sz w:val="24"/>
          <w:szCs w:val="24"/>
        </w:rPr>
        <w:t>eka eksploatisano olovo i srebro</w:t>
      </w:r>
      <w:r w:rsidRPr="00722DF4">
        <w:rPr>
          <w:rFonts w:ascii="Arial" w:hAnsi="Arial" w:cs="Arial"/>
          <w:sz w:val="24"/>
          <w:szCs w:val="24"/>
        </w:rPr>
        <w:t>. Rudnik “Brskovo” je u novijoj istoriji otvoren tek 1976. godine i radio je do kraja 1991</w:t>
      </w:r>
      <w:r w:rsidR="00356529" w:rsidRPr="00722DF4">
        <w:rPr>
          <w:rFonts w:ascii="Arial" w:hAnsi="Arial" w:cs="Arial"/>
          <w:sz w:val="24"/>
          <w:szCs w:val="24"/>
        </w:rPr>
        <w:t>.</w:t>
      </w:r>
      <w:r w:rsidRPr="00722DF4">
        <w:rPr>
          <w:rFonts w:ascii="Arial" w:hAnsi="Arial" w:cs="Arial"/>
          <w:sz w:val="24"/>
          <w:szCs w:val="24"/>
        </w:rPr>
        <w:t xml:space="preserve"> godine. Na prostoru ovog rudnika dokazana su ležišta rude olova i cinka u lokalnostima: Žuta prla, Višnjica, Igrišta i Brskovo. Iz ležišta Žuta Prla i Brskovo, u navedenom periodu otkopano je 2,8 miliona tona rude. Stanje ovjerenih rezervi krajem 1991</w:t>
      </w:r>
      <w:r w:rsidR="00356529" w:rsidRPr="00722DF4">
        <w:rPr>
          <w:rFonts w:ascii="Arial" w:hAnsi="Arial" w:cs="Arial"/>
          <w:sz w:val="24"/>
          <w:szCs w:val="24"/>
        </w:rPr>
        <w:t>.</w:t>
      </w:r>
      <w:r w:rsidRPr="00722DF4">
        <w:rPr>
          <w:rFonts w:ascii="Arial" w:hAnsi="Arial" w:cs="Arial"/>
          <w:sz w:val="24"/>
          <w:szCs w:val="24"/>
        </w:rPr>
        <w:t xml:space="preserve"> godine bilo je 15.796.000 t</w:t>
      </w:r>
      <w:r w:rsidR="004045DD">
        <w:rPr>
          <w:rFonts w:ascii="Arial" w:hAnsi="Arial" w:cs="Arial"/>
          <w:sz w:val="24"/>
          <w:szCs w:val="24"/>
        </w:rPr>
        <w:t>ona</w:t>
      </w:r>
      <w:r w:rsidRPr="00722DF4">
        <w:rPr>
          <w:rFonts w:ascii="Arial" w:hAnsi="Arial" w:cs="Arial"/>
          <w:sz w:val="24"/>
          <w:szCs w:val="24"/>
        </w:rPr>
        <w:t xml:space="preserve"> sa 0,75</w:t>
      </w:r>
      <w:r w:rsidR="00356529" w:rsidRPr="00722DF4">
        <w:rPr>
          <w:rFonts w:ascii="Arial" w:hAnsi="Arial" w:cs="Arial"/>
          <w:sz w:val="24"/>
          <w:szCs w:val="24"/>
        </w:rPr>
        <w:t>%</w:t>
      </w:r>
      <w:r w:rsidRPr="00722DF4">
        <w:rPr>
          <w:rFonts w:ascii="Arial" w:hAnsi="Arial" w:cs="Arial"/>
          <w:sz w:val="24"/>
          <w:szCs w:val="24"/>
        </w:rPr>
        <w:t xml:space="preserve"> Pb i 2,19% Zn.</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3569DD" w:rsidP="00722DF4">
      <w:pPr>
        <w:autoSpaceDE w:val="0"/>
        <w:autoSpaceDN w:val="0"/>
        <w:adjustRightInd w:val="0"/>
        <w:spacing w:after="0"/>
        <w:jc w:val="both"/>
        <w:rPr>
          <w:rFonts w:ascii="Arial" w:hAnsi="Arial" w:cs="Arial"/>
          <w:sz w:val="24"/>
          <w:szCs w:val="24"/>
        </w:rPr>
      </w:pPr>
      <w:r w:rsidRPr="003569DD">
        <w:rPr>
          <w:rFonts w:ascii="Arial" w:hAnsi="Arial" w:cs="Arial"/>
          <w:sz w:val="24"/>
          <w:szCs w:val="24"/>
        </w:rPr>
        <w:t xml:space="preserve">Vlada Crne Gore i DOO „North Mining’’ – Podgorica su 10.12.2010. godine, zaključili Ugovor o koncesiji za detaljna geološka istraživanja i eksploataciju sulfidne polimetalične rude (Pb, Zn, Cu, FeS2 i ostalih pratećih sulfida metala) na istražno-eksploatacionom prostoru bivšeg rudnika „Brskovo“ kod Mojkovca. </w:t>
      </w:r>
      <w:r w:rsidR="00EF7189" w:rsidRPr="00722DF4">
        <w:rPr>
          <w:rFonts w:ascii="Arial" w:hAnsi="Arial" w:cs="Arial"/>
          <w:sz w:val="24"/>
          <w:szCs w:val="24"/>
        </w:rPr>
        <w:t>Koncesionar je odmah preduzeo detaljna geološka istraživanja na prostoru ležišta Brskovo, a potom na ležištima Višnjica i Žuta prla. Ovjerene su rezerve rude sa graničnim (minimalnim) sadržajem od 1% Pb+Zn. Za sva tri ležišta (Brskovo, Žuta Prla, Višnjica) u iznosu od 34.253.000 tona sa 0,77%</w:t>
      </w:r>
      <w:r w:rsidR="00D41E7B">
        <w:rPr>
          <w:rFonts w:ascii="Arial" w:hAnsi="Arial" w:cs="Arial"/>
          <w:sz w:val="24"/>
          <w:szCs w:val="24"/>
        </w:rPr>
        <w:t xml:space="preserve"> </w:t>
      </w:r>
      <w:r w:rsidR="00EF7189" w:rsidRPr="00722DF4">
        <w:rPr>
          <w:rFonts w:ascii="Arial" w:hAnsi="Arial" w:cs="Arial"/>
          <w:sz w:val="24"/>
          <w:szCs w:val="24"/>
        </w:rPr>
        <w:t>Pb, 2,30%</w:t>
      </w:r>
      <w:r w:rsidR="00D41E7B">
        <w:rPr>
          <w:rFonts w:ascii="Arial" w:hAnsi="Arial" w:cs="Arial"/>
          <w:sz w:val="24"/>
          <w:szCs w:val="24"/>
        </w:rPr>
        <w:t xml:space="preserve"> </w:t>
      </w:r>
      <w:r w:rsidR="00EF7189" w:rsidRPr="00722DF4">
        <w:rPr>
          <w:rFonts w:ascii="Arial" w:hAnsi="Arial" w:cs="Arial"/>
          <w:sz w:val="24"/>
          <w:szCs w:val="24"/>
        </w:rPr>
        <w:t>Zn i 0,20% Cu.</w:t>
      </w:r>
      <w:r>
        <w:rPr>
          <w:rFonts w:ascii="Arial" w:hAnsi="Arial" w:cs="Arial"/>
          <w:sz w:val="24"/>
          <w:szCs w:val="24"/>
        </w:rPr>
        <w:t xml:space="preserve"> </w:t>
      </w:r>
      <w:r w:rsidR="00EF7189" w:rsidRPr="00722DF4">
        <w:rPr>
          <w:rFonts w:ascii="Arial" w:hAnsi="Arial" w:cs="Arial"/>
          <w:sz w:val="24"/>
          <w:szCs w:val="24"/>
        </w:rPr>
        <w:t>Ležište Igrišta nije obuhvaćeno navedenim istraživanjima, tako da je stanje rezervi C1 kate</w:t>
      </w:r>
      <w:r w:rsidR="00356529" w:rsidRPr="00722DF4">
        <w:rPr>
          <w:rFonts w:ascii="Arial" w:hAnsi="Arial" w:cs="Arial"/>
          <w:sz w:val="24"/>
          <w:szCs w:val="24"/>
        </w:rPr>
        <w:t xml:space="preserve">gorije tog ležišta, krajem 1978. </w:t>
      </w:r>
      <w:r w:rsidR="00EF7189" w:rsidRPr="00722DF4">
        <w:rPr>
          <w:rFonts w:ascii="Arial" w:hAnsi="Arial" w:cs="Arial"/>
          <w:sz w:val="24"/>
          <w:szCs w:val="24"/>
        </w:rPr>
        <w:t>godine: 1.561.000 t</w:t>
      </w:r>
      <w:r w:rsidR="00356529" w:rsidRPr="00722DF4">
        <w:rPr>
          <w:rFonts w:ascii="Arial" w:hAnsi="Arial" w:cs="Arial"/>
          <w:sz w:val="24"/>
          <w:szCs w:val="24"/>
        </w:rPr>
        <w:t>ona</w:t>
      </w:r>
      <w:r w:rsidR="00EF7189" w:rsidRPr="00722DF4">
        <w:rPr>
          <w:rFonts w:ascii="Arial" w:hAnsi="Arial" w:cs="Arial"/>
          <w:sz w:val="24"/>
          <w:szCs w:val="24"/>
        </w:rPr>
        <w:t>, sa 0,93% Pb i 2,93% Zn.</w:t>
      </w:r>
    </w:p>
    <w:p w:rsidR="004045DD" w:rsidRPr="00722DF4" w:rsidRDefault="004045D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b/>
          <w:bCs/>
          <w:i/>
          <w:sz w:val="24"/>
          <w:szCs w:val="24"/>
        </w:rPr>
        <w:t>Rudni rejon Sjekirice.</w:t>
      </w:r>
      <w:r w:rsidRPr="00722DF4">
        <w:rPr>
          <w:rFonts w:ascii="Arial" w:hAnsi="Arial" w:cs="Arial"/>
          <w:b/>
          <w:bCs/>
          <w:sz w:val="24"/>
          <w:szCs w:val="24"/>
        </w:rPr>
        <w:t xml:space="preserve"> </w:t>
      </w:r>
      <w:r w:rsidRPr="00722DF4">
        <w:rPr>
          <w:rFonts w:ascii="Arial" w:hAnsi="Arial" w:cs="Arial"/>
          <w:sz w:val="24"/>
          <w:szCs w:val="24"/>
        </w:rPr>
        <w:t xml:space="preserve">Na </w:t>
      </w:r>
      <w:r w:rsidR="00356529" w:rsidRPr="00722DF4">
        <w:rPr>
          <w:rFonts w:ascii="Arial" w:hAnsi="Arial" w:cs="Arial"/>
          <w:sz w:val="24"/>
          <w:szCs w:val="24"/>
        </w:rPr>
        <w:t>prostoru ovog rudnog rejona Pb-Z</w:t>
      </w:r>
      <w:r w:rsidRPr="00722DF4">
        <w:rPr>
          <w:rFonts w:ascii="Arial" w:hAnsi="Arial" w:cs="Arial"/>
          <w:sz w:val="24"/>
          <w:szCs w:val="24"/>
        </w:rPr>
        <w:t xml:space="preserve">n orudnjenje je otkriveno u lokalitetu Strmošne bare, koje je istraživano raskopima i istražnim bušotinama. Na osnovu rezultata ovih istraživanja proračunate su rezerve rude od 385.000 tona, sa 2,62%Pb, 3,51%Zn i 0,41%Cu i oko 30g/t srebra. Ove rezerve nijesu ovjerene, a po stepenu istraženosti odgovaraju rezervama C1 kategorije. </w:t>
      </w:r>
    </w:p>
    <w:p w:rsidR="004045DD" w:rsidRPr="00722DF4" w:rsidRDefault="004045D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b/>
          <w:bCs/>
          <w:i/>
          <w:sz w:val="24"/>
          <w:szCs w:val="24"/>
        </w:rPr>
        <w:t>Rudni rejon Visitora.</w:t>
      </w:r>
      <w:r w:rsidRPr="00722DF4">
        <w:rPr>
          <w:rFonts w:ascii="Arial" w:hAnsi="Arial" w:cs="Arial"/>
          <w:b/>
          <w:bCs/>
          <w:sz w:val="24"/>
          <w:szCs w:val="24"/>
        </w:rPr>
        <w:t xml:space="preserve"> </w:t>
      </w:r>
      <w:r w:rsidRPr="00722DF4">
        <w:rPr>
          <w:rFonts w:ascii="Arial" w:hAnsi="Arial" w:cs="Arial"/>
          <w:sz w:val="24"/>
          <w:szCs w:val="24"/>
        </w:rPr>
        <w:t xml:space="preserve">Ovaj rudni rejon je istraživan istim metodama kao i tereni rudnih pojava Bjelasice i Sjekirice. Na prostoru ovog rudnog rejona, dosadašnjim istraživanjima je kao najperspektivniji izdvojen teren </w:t>
      </w:r>
      <w:r w:rsidRPr="00722DF4">
        <w:rPr>
          <w:rFonts w:ascii="Arial" w:hAnsi="Arial" w:cs="Arial"/>
          <w:bCs/>
          <w:sz w:val="24"/>
          <w:szCs w:val="24"/>
        </w:rPr>
        <w:t>Pogane glave.</w:t>
      </w:r>
      <w:r w:rsidRPr="00722DF4">
        <w:rPr>
          <w:rFonts w:ascii="Arial" w:hAnsi="Arial" w:cs="Arial"/>
          <w:b/>
          <w:bCs/>
          <w:sz w:val="24"/>
          <w:szCs w:val="24"/>
        </w:rPr>
        <w:t xml:space="preserve"> </w:t>
      </w:r>
      <w:r w:rsidRPr="00722DF4">
        <w:rPr>
          <w:rFonts w:ascii="Arial" w:hAnsi="Arial" w:cs="Arial"/>
          <w:sz w:val="24"/>
          <w:szCs w:val="24"/>
        </w:rPr>
        <w:t xml:space="preserve">U ovoj lokalnosti Pb-Zn orudnjenje je otkriveno u anizijskim krečnjacima i na kontaktu sa vulkanogeno sedimentnom formacijom srednjeg trijasa. </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 prostoru Konjuha konstatovana je polimetalična sulfidna mineralizacija tzv. razbijenog tipa, zbog čega, sa ranijim istraživanjima nije izdvojena rudna zona. Ipak, tereni Bijelog potoka i Konjuha predstavljaju perspektivne rudne prostore.</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b/>
          <w:bCs/>
          <w:sz w:val="24"/>
          <w:szCs w:val="24"/>
        </w:rPr>
      </w:pPr>
      <w:r w:rsidRPr="00C75CAD">
        <w:rPr>
          <w:rFonts w:ascii="Arial" w:hAnsi="Arial" w:cs="Arial"/>
          <w:b/>
          <w:bCs/>
          <w:sz w:val="24"/>
          <w:szCs w:val="24"/>
        </w:rPr>
        <w:t xml:space="preserve">Ostali tereni u </w:t>
      </w:r>
      <w:r w:rsidR="00C75CAD" w:rsidRPr="00C75CAD">
        <w:rPr>
          <w:rFonts w:ascii="Arial" w:hAnsi="Arial" w:cs="Arial"/>
          <w:b/>
          <w:bCs/>
          <w:sz w:val="24"/>
          <w:szCs w:val="24"/>
        </w:rPr>
        <w:t>sjeveroistočnoj</w:t>
      </w:r>
      <w:r w:rsidRPr="00C75CAD">
        <w:rPr>
          <w:rFonts w:ascii="Arial" w:hAnsi="Arial" w:cs="Arial"/>
          <w:b/>
          <w:bCs/>
          <w:sz w:val="24"/>
          <w:szCs w:val="24"/>
        </w:rPr>
        <w:t xml:space="preserve"> Crnoj Gori sa pojavama olovo-cinkovog orudnjenja</w:t>
      </w:r>
    </w:p>
    <w:p w:rsidR="00C75CAD" w:rsidRPr="00C75CAD" w:rsidRDefault="00C75CAD" w:rsidP="00722DF4">
      <w:pPr>
        <w:autoSpaceDE w:val="0"/>
        <w:autoSpaceDN w:val="0"/>
        <w:adjustRightInd w:val="0"/>
        <w:spacing w:after="0"/>
        <w:jc w:val="both"/>
        <w:rPr>
          <w:rFonts w:ascii="Arial" w:hAnsi="Arial" w:cs="Arial"/>
          <w:b/>
          <w:bCs/>
          <w:sz w:val="24"/>
          <w:szCs w:val="24"/>
        </w:rPr>
      </w:pPr>
    </w:p>
    <w:p w:rsidR="00EF7189" w:rsidRPr="00722DF4"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paleozojskim i donjotrijaskim klastičnim stijenama konstatovana je polimetalična sulfidna mineralizacija na preko 15 lokaliteta, izvan opisanih rudnih rejona. Prema dosadašnjim rezultatima pažnju za dalja istraživanja posebno zaslužuju </w:t>
      </w:r>
      <w:r w:rsidRPr="004045DD">
        <w:rPr>
          <w:rFonts w:ascii="Arial" w:hAnsi="Arial" w:cs="Arial"/>
          <w:bCs/>
          <w:sz w:val="24"/>
          <w:szCs w:val="24"/>
        </w:rPr>
        <w:t>Kozica</w:t>
      </w:r>
      <w:r w:rsidRPr="00722DF4">
        <w:rPr>
          <w:rFonts w:ascii="Arial" w:hAnsi="Arial" w:cs="Arial"/>
          <w:b/>
          <w:bCs/>
          <w:sz w:val="24"/>
          <w:szCs w:val="24"/>
        </w:rPr>
        <w:t xml:space="preserve"> </w:t>
      </w:r>
      <w:r w:rsidRPr="00722DF4">
        <w:rPr>
          <w:rFonts w:ascii="Arial" w:hAnsi="Arial" w:cs="Arial"/>
          <w:sz w:val="24"/>
          <w:szCs w:val="24"/>
        </w:rPr>
        <w:t xml:space="preserve">(kod Pljevalja), </w:t>
      </w:r>
      <w:r w:rsidRPr="004045DD">
        <w:rPr>
          <w:rFonts w:ascii="Arial" w:hAnsi="Arial" w:cs="Arial"/>
          <w:bCs/>
          <w:sz w:val="24"/>
          <w:szCs w:val="24"/>
        </w:rPr>
        <w:t>Lješnica</w:t>
      </w:r>
      <w:r w:rsidRPr="00722DF4">
        <w:rPr>
          <w:rFonts w:ascii="Arial" w:hAnsi="Arial" w:cs="Arial"/>
          <w:b/>
          <w:bCs/>
          <w:sz w:val="24"/>
          <w:szCs w:val="24"/>
        </w:rPr>
        <w:t xml:space="preserve"> </w:t>
      </w:r>
      <w:r w:rsidRPr="00722DF4">
        <w:rPr>
          <w:rFonts w:ascii="Arial" w:hAnsi="Arial" w:cs="Arial"/>
          <w:sz w:val="24"/>
          <w:szCs w:val="24"/>
        </w:rPr>
        <w:t xml:space="preserve">(kod Bijelog polja), a zatim </w:t>
      </w:r>
      <w:r w:rsidRPr="004045DD">
        <w:rPr>
          <w:rFonts w:ascii="Arial" w:hAnsi="Arial" w:cs="Arial"/>
          <w:bCs/>
          <w:sz w:val="24"/>
          <w:szCs w:val="24"/>
        </w:rPr>
        <w:t xml:space="preserve">Velička rijeka </w:t>
      </w:r>
      <w:r w:rsidRPr="004045DD">
        <w:rPr>
          <w:rFonts w:ascii="Arial" w:hAnsi="Arial" w:cs="Arial"/>
          <w:sz w:val="24"/>
          <w:szCs w:val="24"/>
        </w:rPr>
        <w:t xml:space="preserve">i </w:t>
      </w:r>
      <w:r w:rsidRPr="004045DD">
        <w:rPr>
          <w:rFonts w:ascii="Arial" w:hAnsi="Arial" w:cs="Arial"/>
          <w:bCs/>
          <w:sz w:val="24"/>
          <w:szCs w:val="24"/>
        </w:rPr>
        <w:t>Bjeluha</w:t>
      </w:r>
      <w:r w:rsidRPr="00722DF4">
        <w:rPr>
          <w:rFonts w:ascii="Arial" w:hAnsi="Arial" w:cs="Arial"/>
          <w:b/>
          <w:bCs/>
          <w:sz w:val="24"/>
          <w:szCs w:val="24"/>
        </w:rPr>
        <w:t xml:space="preserve"> </w:t>
      </w:r>
      <w:r w:rsidRPr="00722DF4">
        <w:rPr>
          <w:rFonts w:ascii="Arial" w:hAnsi="Arial" w:cs="Arial"/>
          <w:sz w:val="24"/>
          <w:szCs w:val="24"/>
        </w:rPr>
        <w:t>u paleozojskim terenima između Murine i Plava – sa juga i Čakor-Bjelu</w:t>
      </w:r>
      <w:r w:rsidR="00356529" w:rsidRPr="00722DF4">
        <w:rPr>
          <w:rFonts w:ascii="Arial" w:hAnsi="Arial" w:cs="Arial"/>
          <w:sz w:val="24"/>
          <w:szCs w:val="24"/>
        </w:rPr>
        <w:t>ha-Bogićevice – sa sjeverne i sjeveroistocne</w:t>
      </w:r>
      <w:r w:rsidRPr="00722DF4">
        <w:rPr>
          <w:rFonts w:ascii="Arial" w:hAnsi="Arial" w:cs="Arial"/>
          <w:sz w:val="24"/>
          <w:szCs w:val="24"/>
        </w:rPr>
        <w:t xml:space="preserve"> strane. </w:t>
      </w:r>
    </w:p>
    <w:p w:rsidR="00EF7189" w:rsidRPr="00722DF4" w:rsidRDefault="00EF7189" w:rsidP="00722DF4">
      <w:pPr>
        <w:autoSpaceDE w:val="0"/>
        <w:autoSpaceDN w:val="0"/>
        <w:adjustRightInd w:val="0"/>
        <w:spacing w:after="0"/>
        <w:jc w:val="both"/>
        <w:rPr>
          <w:rFonts w:ascii="Arial" w:hAnsi="Arial" w:cs="Arial"/>
          <w:sz w:val="24"/>
          <w:szCs w:val="24"/>
        </w:rPr>
      </w:pPr>
    </w:p>
    <w:p w:rsidR="00EF7189" w:rsidRDefault="00EF7189"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Bakar</w:t>
      </w:r>
    </w:p>
    <w:p w:rsidR="00C75CAD" w:rsidRPr="00722DF4" w:rsidRDefault="00C75CAD" w:rsidP="00C75CAD">
      <w:pPr>
        <w:autoSpaceDE w:val="0"/>
        <w:autoSpaceDN w:val="0"/>
        <w:adjustRightInd w:val="0"/>
        <w:spacing w:after="0"/>
        <w:jc w:val="both"/>
        <w:rPr>
          <w:rFonts w:ascii="Arial" w:hAnsi="Arial" w:cs="Arial"/>
          <w:b/>
          <w:bCs/>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tehnološkom postupku prerade Pb-Zn rude u rudnicima “Šuplja stijena” i “Brskovo”, do sada nije posebno izdvojen koncentrat bakra. Proračunate količine metala bakra, prema najnovijim podacima, u ovjerenim geološkim rezervama rude “Brskova” iznose preko 70.000 tona, dok u rezervama “Šuplje stijene” nijesu obračunate.</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Pr="00722DF4"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Najznačajnije koncentracije rude bakra u Crnoj Gori, otkrivene su u </w:t>
      </w:r>
      <w:r w:rsidRPr="004045DD">
        <w:rPr>
          <w:rFonts w:ascii="Arial" w:hAnsi="Arial" w:cs="Arial"/>
          <w:bCs/>
          <w:sz w:val="24"/>
          <w:szCs w:val="24"/>
        </w:rPr>
        <w:t>Varinama</w:t>
      </w:r>
      <w:r w:rsidRPr="00722DF4">
        <w:rPr>
          <w:rFonts w:ascii="Arial" w:hAnsi="Arial" w:cs="Arial"/>
          <w:b/>
          <w:bCs/>
          <w:sz w:val="24"/>
          <w:szCs w:val="24"/>
        </w:rPr>
        <w:t xml:space="preserve"> </w:t>
      </w:r>
      <w:r w:rsidRPr="00722DF4">
        <w:rPr>
          <w:rFonts w:ascii="Arial" w:hAnsi="Arial" w:cs="Arial"/>
          <w:sz w:val="24"/>
          <w:szCs w:val="24"/>
        </w:rPr>
        <w:t>(kod Pljevalja). Prema S. Pejatoviću i sar. (1985) proračunate su rezerve rude bakra u Varinama, C1 (72%)+C2 (28%) kategorije, u iznosu od 7.295.000 tona, sa 0,77%Cu, 9 g/t Ag i 0,3g/t Au. Perspektivne rezerve rude bakra u Varinama su procijenjene na oko 24 miliona tona, sa 0,29% Cu.</w:t>
      </w:r>
    </w:p>
    <w:p w:rsidR="00EF7189" w:rsidRPr="00722DF4" w:rsidRDefault="00EF7189" w:rsidP="00722DF4">
      <w:pPr>
        <w:autoSpaceDE w:val="0"/>
        <w:autoSpaceDN w:val="0"/>
        <w:adjustRightInd w:val="0"/>
        <w:spacing w:after="0"/>
        <w:jc w:val="both"/>
        <w:rPr>
          <w:rFonts w:ascii="Arial" w:hAnsi="Arial" w:cs="Arial"/>
          <w:sz w:val="24"/>
          <w:szCs w:val="24"/>
        </w:rPr>
      </w:pPr>
    </w:p>
    <w:p w:rsidR="00EF7189" w:rsidRDefault="00EF7189"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Gvožđe</w:t>
      </w:r>
    </w:p>
    <w:p w:rsidR="00C75CAD" w:rsidRPr="00722DF4" w:rsidRDefault="00C75CAD" w:rsidP="00C75CAD">
      <w:pPr>
        <w:autoSpaceDE w:val="0"/>
        <w:autoSpaceDN w:val="0"/>
        <w:adjustRightInd w:val="0"/>
        <w:spacing w:after="0"/>
        <w:jc w:val="both"/>
        <w:rPr>
          <w:rFonts w:ascii="Arial" w:hAnsi="Arial" w:cs="Arial"/>
          <w:b/>
          <w:bCs/>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Crnoj Gori otkriveno je preko 20 pojava gvožđa, od kojih su najznačajnije pojave na Sozini (iznad Sutomora), u Klinima (atar Konjuha kod Andrijevice) i u Kozici (kod Pljevalja).</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i/>
          <w:iCs/>
          <w:sz w:val="24"/>
          <w:szCs w:val="24"/>
        </w:rPr>
        <w:t xml:space="preserve">Pojava Sozina. </w:t>
      </w:r>
      <w:r w:rsidRPr="00722DF4">
        <w:rPr>
          <w:rFonts w:ascii="Arial" w:hAnsi="Arial" w:cs="Arial"/>
          <w:sz w:val="24"/>
          <w:szCs w:val="24"/>
        </w:rPr>
        <w:t xml:space="preserve">Na kontaktu gornjojurskih i gornjotrijaskih krečnjaka, na vrhu Sozine, nalazi se sedimentna ruda gvožđa. Izgrađena je od getita i limonita, u vidu traka, u </w:t>
      </w:r>
      <w:r w:rsidRPr="00722DF4">
        <w:rPr>
          <w:rFonts w:ascii="Arial" w:hAnsi="Arial" w:cs="Arial"/>
          <w:sz w:val="24"/>
          <w:szCs w:val="24"/>
        </w:rPr>
        <w:lastRenderedPageBreak/>
        <w:t>smjeni sa gvožđevitim karbonatom. Ocijenjene su rezerve rude gvožđa na ovom lokalitetu, od oko 1.400 tona, sa 30% Fe.</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i/>
          <w:iCs/>
          <w:sz w:val="24"/>
          <w:szCs w:val="24"/>
        </w:rPr>
        <w:t xml:space="preserve">Pojava Klini. </w:t>
      </w:r>
      <w:r w:rsidRPr="00722DF4">
        <w:rPr>
          <w:rFonts w:ascii="Arial" w:hAnsi="Arial" w:cs="Arial"/>
          <w:sz w:val="24"/>
          <w:szCs w:val="24"/>
        </w:rPr>
        <w:t>Nalazi se sa desne strane Mojanske rijeke, u Konjusima. Orudnjenje gvožđa se nalazi na kontaktu trijaskih krečnjaka i vulkanita. Orudnjenje je izgrađeno od hematita i limonita. Količine rude su ocijenjene na oko 300 tona.</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i/>
          <w:iCs/>
          <w:sz w:val="24"/>
          <w:szCs w:val="24"/>
        </w:rPr>
        <w:t xml:space="preserve">Pojava Kozica. </w:t>
      </w:r>
      <w:r w:rsidRPr="00722DF4">
        <w:rPr>
          <w:rFonts w:ascii="Arial" w:hAnsi="Arial" w:cs="Arial"/>
          <w:sz w:val="24"/>
          <w:szCs w:val="24"/>
        </w:rPr>
        <w:t>Oksidi gvožđa u Kozici (getit i limonit), nastali su oksidacijom sulfidne rude koja se javlja u anizijskim krečnjacima. M. Savić (1955/56) je proračunao da rezerve gvožđa u ovom lokalitet</w:t>
      </w:r>
      <w:r w:rsidR="00141142" w:rsidRPr="00722DF4">
        <w:rPr>
          <w:rFonts w:ascii="Arial" w:hAnsi="Arial" w:cs="Arial"/>
          <w:sz w:val="24"/>
          <w:szCs w:val="24"/>
        </w:rPr>
        <w:t>u iznose 60.632 tone sa 52% Fe.</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C75CAD" w:rsidP="00C75CAD">
      <w:pPr>
        <w:pStyle w:val="Heading3"/>
        <w:numPr>
          <w:ilvl w:val="0"/>
          <w:numId w:val="0"/>
        </w:numPr>
        <w:rPr>
          <w:lang w:val="sr-Latn-CS"/>
        </w:rPr>
      </w:pPr>
      <w:bookmarkStart w:id="8" w:name="_Toc6172804"/>
      <w:r>
        <w:t>1.</w:t>
      </w:r>
      <w:r>
        <w:rPr>
          <w:lang w:val="sr-Latn-CS"/>
        </w:rPr>
        <w:t>2</w:t>
      </w:r>
      <w:r>
        <w:t xml:space="preserve">.2. </w:t>
      </w:r>
      <w:r w:rsidR="00EF7189" w:rsidRPr="00722DF4">
        <w:t>Nemetalične mineralne sirovine</w:t>
      </w:r>
      <w:bookmarkEnd w:id="8"/>
    </w:p>
    <w:p w:rsidR="00C75CAD" w:rsidRPr="00C75CAD" w:rsidRDefault="00C75CAD" w:rsidP="00C75CAD">
      <w:pPr>
        <w:rPr>
          <w:lang w:val="sr-Latn-CS"/>
        </w:rPr>
      </w:pPr>
    </w:p>
    <w:p w:rsidR="00EF7189"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Crnoj Gori dokazano je 13 vrsta nemetaličnih mineralnih sirovina od ekonomskog značaja i to: arhitektonsko-građevinski kamen, tehničko-građevinski kamen, bigar, šljunak i pijesak, opekarske gline, cementni laporac, bijeli boksit, dolomit, barit, bentonit, kvarcni pijesak, rožnaci i morska so. </w:t>
      </w:r>
    </w:p>
    <w:p w:rsidR="00C75CAD" w:rsidRPr="00722DF4" w:rsidRDefault="00C75CAD" w:rsidP="00722DF4">
      <w:pPr>
        <w:autoSpaceDE w:val="0"/>
        <w:autoSpaceDN w:val="0"/>
        <w:adjustRightInd w:val="0"/>
        <w:spacing w:after="0"/>
        <w:jc w:val="both"/>
        <w:rPr>
          <w:rFonts w:ascii="Arial" w:hAnsi="Arial" w:cs="Arial"/>
          <w:sz w:val="24"/>
          <w:szCs w:val="24"/>
        </w:rPr>
      </w:pPr>
    </w:p>
    <w:p w:rsidR="00EF7189" w:rsidRDefault="00EF7189"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Arhitektonsko-građevinski kamen</w:t>
      </w:r>
    </w:p>
    <w:p w:rsidR="00C75CAD" w:rsidRPr="00722DF4" w:rsidRDefault="00C75CAD" w:rsidP="00C75CAD">
      <w:pPr>
        <w:autoSpaceDE w:val="0"/>
        <w:autoSpaceDN w:val="0"/>
        <w:adjustRightInd w:val="0"/>
        <w:spacing w:after="0"/>
        <w:jc w:val="both"/>
        <w:rPr>
          <w:rFonts w:ascii="Arial" w:hAnsi="Arial" w:cs="Arial"/>
          <w:b/>
          <w:bCs/>
          <w:sz w:val="24"/>
          <w:szCs w:val="24"/>
        </w:rPr>
      </w:pPr>
    </w:p>
    <w:p w:rsidR="00EF7189" w:rsidRPr="00722DF4" w:rsidRDefault="00EF718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Arhitektonsko-građevinski ili ukrasni kamen je najznačajnija nemetalična mineralna sirovina u Crnoj Gori. Sva dosadašnja ležišta a-g kamena utvrđena su u karbonatnim stijenama (krečnjacima, dolomitičnim krečnjacima, krečnjačkim brečama) koje izgrađuju oko 70% teritorije Crne Gore. U Crnoj Gori takođe postoji značajan potencijal vulkanskih stijena koje bi se mogle koristiti kao a-g kamen, ali takvih istraživanja do sada praktično i nije bilo. Karbonatne formacije u kojima su do sada utvrđeno 21 ležište a-g kamena pripadaju trijasu, juri, kredi i neogenu. U trijaskim karbonatima su utvrđena ležišta: </w:t>
      </w:r>
      <w:r w:rsidRPr="004045DD">
        <w:rPr>
          <w:rFonts w:ascii="Arial" w:hAnsi="Arial" w:cs="Arial"/>
          <w:bCs/>
          <w:sz w:val="24"/>
          <w:szCs w:val="24"/>
        </w:rPr>
        <w:t>Bujaci</w:t>
      </w:r>
      <w:r w:rsidRPr="00722DF4">
        <w:rPr>
          <w:rFonts w:ascii="Arial" w:hAnsi="Arial" w:cs="Arial"/>
          <w:sz w:val="24"/>
          <w:szCs w:val="24"/>
        </w:rPr>
        <w:t xml:space="preserve"> (kod Virpazara, </w:t>
      </w:r>
      <w:r w:rsidRPr="004045DD">
        <w:rPr>
          <w:rFonts w:ascii="Arial" w:hAnsi="Arial" w:cs="Arial"/>
          <w:bCs/>
          <w:sz w:val="24"/>
          <w:szCs w:val="24"/>
        </w:rPr>
        <w:t>Gradina</w:t>
      </w:r>
      <w:r w:rsidRPr="00722DF4">
        <w:rPr>
          <w:rFonts w:ascii="Arial" w:hAnsi="Arial" w:cs="Arial"/>
          <w:b/>
          <w:bCs/>
          <w:sz w:val="24"/>
          <w:szCs w:val="24"/>
        </w:rPr>
        <w:t xml:space="preserve"> </w:t>
      </w:r>
      <w:r w:rsidRPr="00722DF4">
        <w:rPr>
          <w:rFonts w:ascii="Arial" w:hAnsi="Arial" w:cs="Arial"/>
          <w:sz w:val="24"/>
          <w:szCs w:val="24"/>
        </w:rPr>
        <w:t xml:space="preserve">(u Lipovu) i </w:t>
      </w:r>
      <w:r w:rsidRPr="004045DD">
        <w:rPr>
          <w:rFonts w:ascii="Arial" w:hAnsi="Arial" w:cs="Arial"/>
          <w:bCs/>
          <w:sz w:val="24"/>
          <w:szCs w:val="24"/>
        </w:rPr>
        <w:t>Žoljevica</w:t>
      </w:r>
      <w:r w:rsidRPr="00722DF4">
        <w:rPr>
          <w:rFonts w:ascii="Arial" w:hAnsi="Arial" w:cs="Arial"/>
          <w:b/>
          <w:bCs/>
          <w:sz w:val="24"/>
          <w:szCs w:val="24"/>
        </w:rPr>
        <w:t xml:space="preserve"> </w:t>
      </w:r>
      <w:r w:rsidRPr="00722DF4">
        <w:rPr>
          <w:rFonts w:ascii="Arial" w:hAnsi="Arial" w:cs="Arial"/>
          <w:sz w:val="24"/>
          <w:szCs w:val="24"/>
        </w:rPr>
        <w:t xml:space="preserve">(kod Andrijevice). U jurskim karbonatnim formacijama su dokazana ležišta a-g kamena </w:t>
      </w:r>
      <w:r w:rsidRPr="004045DD">
        <w:rPr>
          <w:rFonts w:ascii="Arial" w:hAnsi="Arial" w:cs="Arial"/>
          <w:bCs/>
          <w:sz w:val="24"/>
          <w:szCs w:val="24"/>
        </w:rPr>
        <w:t xml:space="preserve">Lipova ravan </w:t>
      </w:r>
      <w:r w:rsidRPr="004045DD">
        <w:rPr>
          <w:rFonts w:ascii="Arial" w:hAnsi="Arial" w:cs="Arial"/>
          <w:sz w:val="24"/>
          <w:szCs w:val="24"/>
        </w:rPr>
        <w:t xml:space="preserve">i </w:t>
      </w:r>
      <w:r w:rsidRPr="004045DD">
        <w:rPr>
          <w:rFonts w:ascii="Arial" w:hAnsi="Arial" w:cs="Arial"/>
          <w:bCs/>
          <w:sz w:val="24"/>
          <w:szCs w:val="24"/>
        </w:rPr>
        <w:t>Tijesna</w:t>
      </w:r>
      <w:r w:rsidRPr="004045DD">
        <w:rPr>
          <w:rFonts w:ascii="Arial" w:hAnsi="Arial" w:cs="Arial"/>
          <w:sz w:val="24"/>
          <w:szCs w:val="24"/>
        </w:rPr>
        <w:t xml:space="preserve"> </w:t>
      </w:r>
      <w:r w:rsidRPr="004045DD">
        <w:rPr>
          <w:rFonts w:ascii="Arial" w:hAnsi="Arial" w:cs="Arial"/>
          <w:bCs/>
          <w:sz w:val="24"/>
          <w:szCs w:val="24"/>
        </w:rPr>
        <w:t>vala</w:t>
      </w:r>
      <w:r w:rsidRPr="00722DF4">
        <w:rPr>
          <w:rFonts w:ascii="Arial" w:hAnsi="Arial" w:cs="Arial"/>
          <w:b/>
          <w:bCs/>
          <w:sz w:val="24"/>
          <w:szCs w:val="24"/>
        </w:rPr>
        <w:t xml:space="preserve"> </w:t>
      </w:r>
      <w:r w:rsidRPr="00722DF4">
        <w:rPr>
          <w:rFonts w:ascii="Arial" w:hAnsi="Arial" w:cs="Arial"/>
          <w:sz w:val="24"/>
          <w:szCs w:val="24"/>
        </w:rPr>
        <w:t xml:space="preserve">kod Vojnika i </w:t>
      </w:r>
      <w:r w:rsidRPr="004045DD">
        <w:rPr>
          <w:rFonts w:ascii="Arial" w:hAnsi="Arial" w:cs="Arial"/>
          <w:bCs/>
          <w:sz w:val="24"/>
          <w:szCs w:val="24"/>
        </w:rPr>
        <w:t>Topsude</w:t>
      </w:r>
      <w:r w:rsidRPr="00722DF4">
        <w:rPr>
          <w:rFonts w:ascii="Arial" w:hAnsi="Arial" w:cs="Arial"/>
          <w:b/>
          <w:bCs/>
          <w:sz w:val="24"/>
          <w:szCs w:val="24"/>
        </w:rPr>
        <w:t xml:space="preserve"> </w:t>
      </w:r>
      <w:r w:rsidRPr="00722DF4">
        <w:rPr>
          <w:rFonts w:ascii="Arial" w:hAnsi="Arial" w:cs="Arial"/>
          <w:sz w:val="24"/>
          <w:szCs w:val="24"/>
        </w:rPr>
        <w:t>(kod Grahova).</w:t>
      </w:r>
    </w:p>
    <w:p w:rsidR="001B3B6D" w:rsidRPr="00722DF4" w:rsidRDefault="001210F4" w:rsidP="00722DF4">
      <w:pPr>
        <w:autoSpaceDE w:val="0"/>
        <w:autoSpaceDN w:val="0"/>
        <w:adjustRightInd w:val="0"/>
        <w:spacing w:after="0"/>
        <w:jc w:val="both"/>
        <w:rPr>
          <w:rFonts w:ascii="Arial" w:hAnsi="Arial" w:cs="Arial"/>
          <w:noProof/>
          <w:sz w:val="24"/>
          <w:szCs w:val="24"/>
        </w:rPr>
      </w:pPr>
      <w:r>
        <w:rPr>
          <w:rFonts w:ascii="Arial" w:hAnsi="Arial" w:cs="Arial"/>
          <w:noProof/>
          <w:sz w:val="24"/>
          <w:szCs w:val="24"/>
        </w:rPr>
        <w:lastRenderedPageBreak/>
        <w:drawing>
          <wp:inline distT="0" distB="0" distL="0" distR="0">
            <wp:extent cx="5572760" cy="7228840"/>
            <wp:effectExtent l="19050" t="0" r="889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572760" cy="7228840"/>
                    </a:xfrm>
                    <a:prstGeom prst="rect">
                      <a:avLst/>
                    </a:prstGeom>
                    <a:noFill/>
                    <a:ln w="9525">
                      <a:noFill/>
                      <a:miter lim="800000"/>
                      <a:headEnd/>
                      <a:tailEnd/>
                    </a:ln>
                  </pic:spPr>
                </pic:pic>
              </a:graphicData>
            </a:graphic>
          </wp:inline>
        </w:drawing>
      </w:r>
    </w:p>
    <w:p w:rsidR="001B3B6D" w:rsidRPr="00231FAD" w:rsidRDefault="006A59C3" w:rsidP="00722DF4">
      <w:pPr>
        <w:autoSpaceDE w:val="0"/>
        <w:autoSpaceDN w:val="0"/>
        <w:adjustRightInd w:val="0"/>
        <w:spacing w:after="0"/>
        <w:jc w:val="both"/>
        <w:rPr>
          <w:rFonts w:ascii="Arial" w:hAnsi="Arial" w:cs="Arial"/>
          <w:i/>
          <w:iCs/>
        </w:rPr>
      </w:pPr>
      <w:r w:rsidRPr="00231FAD">
        <w:rPr>
          <w:rFonts w:ascii="Arial" w:hAnsi="Arial" w:cs="Arial"/>
          <w:b/>
          <w:iCs/>
        </w:rPr>
        <w:t>Slika 1.2.</w:t>
      </w:r>
      <w:r w:rsidR="001B3B6D" w:rsidRPr="00231FAD">
        <w:rPr>
          <w:rFonts w:ascii="Arial" w:hAnsi="Arial" w:cs="Arial"/>
          <w:i/>
          <w:iCs/>
          <w:color w:val="FF0000"/>
        </w:rPr>
        <w:t xml:space="preserve"> </w:t>
      </w:r>
      <w:r w:rsidR="001B3B6D" w:rsidRPr="00231FAD">
        <w:rPr>
          <w:rFonts w:ascii="Arial" w:hAnsi="Arial" w:cs="Arial"/>
          <w:iCs/>
        </w:rPr>
        <w:t xml:space="preserve">Karta najznačajnijih ležišta i perspektivnih terena nemetaličnih mineralnih sirovina u Crnoj Gori </w:t>
      </w:r>
      <w:r w:rsidR="001B3B6D" w:rsidRPr="00231FAD">
        <w:rPr>
          <w:rFonts w:ascii="Arial" w:hAnsi="Arial" w:cs="Arial"/>
          <w:i/>
          <w:iCs/>
        </w:rPr>
        <w:t>(Pajović i Radusinović, 2010, dopunjeno)</w:t>
      </w:r>
    </w:p>
    <w:p w:rsidR="00231FAD" w:rsidRPr="00722DF4" w:rsidRDefault="00231FAD" w:rsidP="00722DF4">
      <w:pPr>
        <w:autoSpaceDE w:val="0"/>
        <w:autoSpaceDN w:val="0"/>
        <w:adjustRightInd w:val="0"/>
        <w:spacing w:after="0"/>
        <w:jc w:val="both"/>
        <w:rPr>
          <w:rFonts w:ascii="Arial" w:hAnsi="Arial" w:cs="Arial"/>
          <w:i/>
          <w:iCs/>
          <w:sz w:val="24"/>
          <w:szCs w:val="24"/>
        </w:rPr>
      </w:pPr>
    </w:p>
    <w:p w:rsidR="001B3B6D" w:rsidRPr="002265EF"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Najznačajnija ležišta a-g kamena otkrivena su u gornjokrednim karbonatnim naslagama u rudnom rejonu Bjelopavlića. Do sada je istraženo deset ležišta, sa dokazanim bilansnim geološkim rezervama i utvrđenim kvalitetom, i to: </w:t>
      </w:r>
      <w:r w:rsidRPr="002265EF">
        <w:rPr>
          <w:rFonts w:ascii="Arial" w:hAnsi="Arial" w:cs="Arial"/>
          <w:bCs/>
          <w:sz w:val="24"/>
          <w:szCs w:val="24"/>
        </w:rPr>
        <w:t>Visočica,</w:t>
      </w:r>
      <w:r w:rsidRPr="002265EF">
        <w:rPr>
          <w:rFonts w:ascii="Arial" w:hAnsi="Arial" w:cs="Arial"/>
          <w:sz w:val="24"/>
          <w:szCs w:val="24"/>
        </w:rPr>
        <w:t xml:space="preserve"> </w:t>
      </w:r>
      <w:r w:rsidRPr="002265EF">
        <w:rPr>
          <w:rFonts w:ascii="Arial" w:hAnsi="Arial" w:cs="Arial"/>
          <w:bCs/>
          <w:sz w:val="24"/>
          <w:szCs w:val="24"/>
        </w:rPr>
        <w:lastRenderedPageBreak/>
        <w:t>Maljat, Klikovače, Vinići, Radujev krš, Suk, Slatina (Kriva ploča), Jovanovići,</w:t>
      </w:r>
      <w:r w:rsidRPr="002265EF">
        <w:rPr>
          <w:rFonts w:ascii="Arial" w:hAnsi="Arial" w:cs="Arial"/>
          <w:sz w:val="24"/>
          <w:szCs w:val="24"/>
        </w:rPr>
        <w:t xml:space="preserve"> </w:t>
      </w:r>
      <w:r w:rsidRPr="002265EF">
        <w:rPr>
          <w:rFonts w:ascii="Arial" w:hAnsi="Arial" w:cs="Arial"/>
          <w:bCs/>
          <w:sz w:val="24"/>
          <w:szCs w:val="24"/>
        </w:rPr>
        <w:t>zatim Đeđezi i Dolovi</w:t>
      </w:r>
      <w:r w:rsidRPr="00722DF4">
        <w:rPr>
          <w:rFonts w:ascii="Arial" w:hAnsi="Arial" w:cs="Arial"/>
          <w:b/>
          <w:bCs/>
          <w:sz w:val="24"/>
          <w:szCs w:val="24"/>
        </w:rPr>
        <w:t xml:space="preserve"> </w:t>
      </w:r>
      <w:r w:rsidRPr="00722DF4">
        <w:rPr>
          <w:rFonts w:ascii="Arial" w:hAnsi="Arial" w:cs="Arial"/>
          <w:sz w:val="24"/>
          <w:szCs w:val="24"/>
        </w:rPr>
        <w:t xml:space="preserve">u Komanima. U istom rudnom rejonu poznate su pojave a-g kamena u </w:t>
      </w:r>
      <w:r w:rsidRPr="002265EF">
        <w:rPr>
          <w:rFonts w:ascii="Arial" w:hAnsi="Arial" w:cs="Arial"/>
          <w:bCs/>
          <w:sz w:val="24"/>
          <w:szCs w:val="24"/>
        </w:rPr>
        <w:t xml:space="preserve">Lalevićima, Pješivačkom dolu </w:t>
      </w:r>
      <w:r w:rsidRPr="002265EF">
        <w:rPr>
          <w:rFonts w:ascii="Arial" w:hAnsi="Arial" w:cs="Arial"/>
          <w:sz w:val="24"/>
          <w:szCs w:val="24"/>
        </w:rPr>
        <w:t>i dr.</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sz w:val="24"/>
          <w:szCs w:val="24"/>
        </w:rPr>
        <w:t xml:space="preserve">Drugo, po značaju, područje sa dokazanim ležištima ukrasnog kamena je primorski dio Crne Gore, odnosno Jadransko-jonska geotektonska jedinica i Budva zona. U prvoj jedinici karbonatni kompleks platformnih sedimenata čine i rudonosne formacije u kojima su utvrđena ležišta a-g kamena u području Ulcinja </w:t>
      </w:r>
      <w:r w:rsidRPr="002265EF">
        <w:rPr>
          <w:rFonts w:ascii="Arial" w:hAnsi="Arial" w:cs="Arial"/>
          <w:bCs/>
          <w:sz w:val="24"/>
          <w:szCs w:val="24"/>
        </w:rPr>
        <w:t>(Vukići i</w:t>
      </w:r>
      <w:r w:rsidRPr="002265EF">
        <w:rPr>
          <w:rFonts w:ascii="Arial" w:hAnsi="Arial" w:cs="Arial"/>
          <w:sz w:val="24"/>
          <w:szCs w:val="24"/>
        </w:rPr>
        <w:t xml:space="preserve"> </w:t>
      </w:r>
      <w:r w:rsidRPr="002265EF">
        <w:rPr>
          <w:rFonts w:ascii="Arial" w:hAnsi="Arial" w:cs="Arial"/>
          <w:bCs/>
          <w:sz w:val="24"/>
          <w:szCs w:val="24"/>
        </w:rPr>
        <w:t xml:space="preserve">Krute) </w:t>
      </w:r>
      <w:r w:rsidRPr="002265EF">
        <w:rPr>
          <w:rFonts w:ascii="Arial" w:hAnsi="Arial" w:cs="Arial"/>
          <w:sz w:val="24"/>
          <w:szCs w:val="24"/>
        </w:rPr>
        <w:t>i</w:t>
      </w:r>
      <w:r w:rsidRPr="00722DF4">
        <w:rPr>
          <w:rFonts w:ascii="Arial" w:hAnsi="Arial" w:cs="Arial"/>
          <w:sz w:val="24"/>
          <w:szCs w:val="24"/>
        </w:rPr>
        <w:t xml:space="preserve"> na prostoru Grblja (kod Tivta) ležište </w:t>
      </w:r>
      <w:r w:rsidRPr="002265EF">
        <w:rPr>
          <w:rFonts w:ascii="Arial" w:hAnsi="Arial" w:cs="Arial"/>
          <w:bCs/>
          <w:sz w:val="24"/>
          <w:szCs w:val="24"/>
        </w:rPr>
        <w:t>Lješevići-Vranovići.</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primorskom dijelu Crne Gore, u okviru geotektonske jedinice Budva zone, nalazi se poseban tip a-g kamena poznat pod nazivom </w:t>
      </w:r>
      <w:r w:rsidRPr="00C21B56">
        <w:rPr>
          <w:rFonts w:ascii="Arial" w:hAnsi="Arial" w:cs="Arial"/>
          <w:bCs/>
          <w:sz w:val="24"/>
          <w:szCs w:val="24"/>
        </w:rPr>
        <w:t>bokit.</w:t>
      </w:r>
      <w:r w:rsidRPr="00722DF4">
        <w:rPr>
          <w:rFonts w:ascii="Arial" w:hAnsi="Arial" w:cs="Arial"/>
          <w:b/>
          <w:bCs/>
          <w:sz w:val="24"/>
          <w:szCs w:val="24"/>
        </w:rPr>
        <w:t xml:space="preserve"> </w:t>
      </w:r>
      <w:r w:rsidRPr="00722DF4">
        <w:rPr>
          <w:rFonts w:ascii="Arial" w:hAnsi="Arial" w:cs="Arial"/>
          <w:sz w:val="24"/>
          <w:szCs w:val="24"/>
        </w:rPr>
        <w:t xml:space="preserve">Javlja se u istoimenoj rudonosnoj karbonatnoj formaciji, u vidu paketa (ili uske zone) na potezu Lastva-Kamenari-Devesilje, zatim između Vrmca i Gornjeg Morinja, i na kraju na potezu Budva-Petrovac-Čanj. Najznačajnija nalazišta bokita su u lokalnostima: Kamenari, Repaji, Ploče, Kneževići, Podmaine i Čanj. Perspektivne rezerve bokita, u navedenim rudnim poljima, proračunate su u iznosu od </w:t>
      </w:r>
      <w:r w:rsidRPr="00692676">
        <w:rPr>
          <w:rFonts w:ascii="Arial" w:hAnsi="Arial" w:cs="Arial"/>
          <w:sz w:val="24"/>
          <w:szCs w:val="24"/>
        </w:rPr>
        <w:t>9.747.000 m</w:t>
      </w:r>
      <w:r w:rsidRPr="00692676">
        <w:rPr>
          <w:rFonts w:ascii="Arial" w:hAnsi="Arial" w:cs="Arial"/>
          <w:sz w:val="24"/>
          <w:szCs w:val="24"/>
          <w:vertAlign w:val="superscript"/>
        </w:rPr>
        <w:t>3</w:t>
      </w:r>
      <w:r w:rsidR="00806EFD" w:rsidRPr="00692676">
        <w:rPr>
          <w:rFonts w:ascii="Arial" w:hAnsi="Arial" w:cs="Arial"/>
          <w:sz w:val="24"/>
          <w:szCs w:val="24"/>
        </w:rPr>
        <w:t>č.s.m</w:t>
      </w:r>
      <w:r w:rsidRPr="00692676">
        <w:rPr>
          <w:rFonts w:ascii="Arial" w:hAnsi="Arial" w:cs="Arial"/>
          <w:sz w:val="24"/>
          <w:szCs w:val="24"/>
        </w:rPr>
        <w:t>.</w:t>
      </w:r>
    </w:p>
    <w:p w:rsidR="00C75CAD" w:rsidRPr="00722DF4" w:rsidRDefault="00C75CAD" w:rsidP="00722DF4">
      <w:pPr>
        <w:autoSpaceDE w:val="0"/>
        <w:autoSpaceDN w:val="0"/>
        <w:adjustRightInd w:val="0"/>
        <w:spacing w:after="0"/>
        <w:jc w:val="both"/>
        <w:rPr>
          <w:rFonts w:ascii="Arial" w:hAnsi="Arial" w:cs="Arial"/>
          <w:sz w:val="24"/>
          <w:szCs w:val="24"/>
        </w:rPr>
      </w:pPr>
    </w:p>
    <w:p w:rsidR="00772A43" w:rsidRPr="00722DF4"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Pored navedenog, na teritoriji opštine Cetinje utvrđena su ležišta ukrasnog kamena </w:t>
      </w:r>
    </w:p>
    <w:p w:rsidR="001B3B6D" w:rsidRPr="002265EF" w:rsidRDefault="001B3B6D" w:rsidP="00722DF4">
      <w:pPr>
        <w:autoSpaceDE w:val="0"/>
        <w:autoSpaceDN w:val="0"/>
        <w:adjustRightInd w:val="0"/>
        <w:spacing w:after="0"/>
        <w:jc w:val="both"/>
        <w:rPr>
          <w:rFonts w:ascii="Arial" w:hAnsi="Arial" w:cs="Arial"/>
          <w:sz w:val="24"/>
          <w:szCs w:val="24"/>
        </w:rPr>
      </w:pPr>
      <w:r w:rsidRPr="002265EF">
        <w:rPr>
          <w:rFonts w:ascii="Arial" w:hAnsi="Arial" w:cs="Arial"/>
          <w:bCs/>
          <w:sz w:val="24"/>
          <w:szCs w:val="24"/>
        </w:rPr>
        <w:t xml:space="preserve">Brankov krš </w:t>
      </w:r>
      <w:r w:rsidRPr="002265EF">
        <w:rPr>
          <w:rFonts w:ascii="Arial" w:hAnsi="Arial" w:cs="Arial"/>
          <w:sz w:val="24"/>
          <w:szCs w:val="24"/>
        </w:rPr>
        <w:t xml:space="preserve">i </w:t>
      </w:r>
      <w:r w:rsidRPr="002265EF">
        <w:rPr>
          <w:rFonts w:ascii="Arial" w:hAnsi="Arial" w:cs="Arial"/>
          <w:bCs/>
          <w:sz w:val="24"/>
          <w:szCs w:val="24"/>
        </w:rPr>
        <w:t>Bobik</w:t>
      </w:r>
      <w:r w:rsidRPr="002265EF">
        <w:rPr>
          <w:rFonts w:ascii="Arial" w:hAnsi="Arial" w:cs="Arial"/>
          <w:sz w:val="24"/>
          <w:szCs w:val="24"/>
        </w:rPr>
        <w:t>.</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Ležišta a-g kamena su sa relativno visokim stepenom istraženosti. Bilansne geološke rezerve, po stepenu istraženosti, za većinu ležišta su svrstene u A+B+C1 kategoriju, a za manji dio ležišta u B+C1 kategoriju. Ovjerene bilansne geološke rezerve stijenske u 21 ležište a-g kamena iznose oko 20.531.000 m</w:t>
      </w:r>
      <w:r w:rsidRPr="00722DF4">
        <w:rPr>
          <w:rFonts w:ascii="Arial" w:hAnsi="Arial" w:cs="Arial"/>
          <w:sz w:val="24"/>
          <w:szCs w:val="24"/>
          <w:vertAlign w:val="superscript"/>
        </w:rPr>
        <w:t>3</w:t>
      </w:r>
      <w:r w:rsidRPr="00722DF4">
        <w:rPr>
          <w:rFonts w:ascii="Arial" w:hAnsi="Arial" w:cs="Arial"/>
          <w:sz w:val="24"/>
          <w:szCs w:val="24"/>
        </w:rPr>
        <w:t xml:space="preserve">, od kojih rezervama A kategorije pripada 13% rezervama B kategorije 41% i C1 kategorije 46%. </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Tehničko-građevinski kamen</w:t>
      </w:r>
    </w:p>
    <w:p w:rsidR="00C75CAD" w:rsidRPr="00722DF4" w:rsidRDefault="00C75CAD" w:rsidP="00C75CAD">
      <w:pPr>
        <w:autoSpaceDE w:val="0"/>
        <w:autoSpaceDN w:val="0"/>
        <w:adjustRightInd w:val="0"/>
        <w:spacing w:after="0"/>
        <w:jc w:val="both"/>
        <w:rPr>
          <w:rFonts w:ascii="Arial" w:hAnsi="Arial" w:cs="Arial"/>
          <w:b/>
          <w:bCs/>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Crnoj Gori se uglavnom proizvodi i koristi tehničko-građevinski kamen od karbonatnih stijena-krečnjaka, dolomitičnih krečnjaka i dolomita. Karbonatne stijene određenih fizičko-mehaničkih karakteristika koriste kao a-g kamendok preostali otpad nakon proizvodnje blokova, koristi se, iz pojedinih ležišta kao građevinski kamen. Takođe, preko 90% ogromnog potencijala karbonatnih stijena može da se koristi u građevinarstvu i dr. djelatnostima – kao tehničko-građevinski kamen. </w:t>
      </w:r>
    </w:p>
    <w:p w:rsidR="0043520E" w:rsidRPr="00722DF4" w:rsidRDefault="0043520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Do kraja 2017. godine istraživane su, zatim proračunate i ovjerene rezerve za 42 ležišta ove mineralne sirovine.</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Najveći broj ležišta t-g kamena nalaze se u primorskom dijelu Crne Gore. Do sada je u ovom dijelu Crne Gore registrovano 22 ležišta t-g kamena, koja administrativno pripadaju opštinama Ulcinj, Bar, Kotor i Herceg Novi. U opštini Ulcinj nalaze se ležišta </w:t>
      </w:r>
      <w:r w:rsidRPr="00722DF4">
        <w:rPr>
          <w:rFonts w:ascii="Arial" w:hAnsi="Arial" w:cs="Arial"/>
          <w:sz w:val="24"/>
          <w:szCs w:val="24"/>
        </w:rPr>
        <w:lastRenderedPageBreak/>
        <w:t>Darza i Ristova ponta; na teritoriji opštine Bar rezerve t-g kamena su dokazane u šest ležišta: Možura, Vulujica, Velji Zabio, Goran, Haj Nehaj i Todorov krš (u Crmnici). U opštini Kotor je registrovano osam ležišta: Platac, Rudine-Nalježići, Rudine 2-Nalježići, Lješevići-Gajevi, Vranovići-Grabovac, Krivošije donje i Kameno more. U opštini Herceg Novi bilansne geološke rezerve t-g kamena utvrđene su u ležištima Bjelotina, Kruševice I, Kruševice II, Sitnica i Kotobilj.</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centralnom dijelu Crne Gore geološkim istraživanjima je dokazano 12 ležišta t-g kamena. U trijaskim karbonatnim stijenama nalazi se ležište Zagrablje (kod Cetinja); u jurskim karbonatima otkrivena su ležište Midova kosa (kod Nikšića) i Pelev brijeg (opština Podgorica). U krednim formacijama centralne Crne Gore utvrđene su rezerve t-g kamena u 9 ležišta: Grabova kosa i Kuside (kod Nikšića); Sađevac, Maljat i Visočica (opština Danilovgrad) i Potoci, Žuti krš, Bajčetine i Lopate (opština Podgorica).</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sjevernom dijelu Crne Gore nalaze se osam ležišta tehničko-građevinskog kamena. U trijaskim karbonatnim stijenama dokazano je šest ležišta i to: Kaluđerski laz (kod Rožaja), Lješnica-Bioča (opština Bijelo polje), Rajčevo brdo, Bušnje i Vilići (opština Pljevlja). </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Crnoj Gori postoji samo jedno ležište t-g kamena od vulkanskih stijena, a to je Okruglički krš u Štitarici (kod Mojkovca).</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43520E">
        <w:rPr>
          <w:rFonts w:ascii="Arial" w:hAnsi="Arial" w:cs="Arial"/>
          <w:sz w:val="24"/>
          <w:szCs w:val="24"/>
        </w:rPr>
        <w:t>Ležišta tehničko-građevinskog kamena su relativno dobro istražena. Proračunate i ovjerene bilansne geološke rezerve ove mineralne sirovine u Crnoj Gori, od svih 42 ležišta iznose oko 134 miliona m</w:t>
      </w:r>
      <w:r w:rsidRPr="0043520E">
        <w:rPr>
          <w:rFonts w:ascii="Arial" w:hAnsi="Arial" w:cs="Arial"/>
          <w:sz w:val="24"/>
          <w:szCs w:val="24"/>
          <w:vertAlign w:val="superscript"/>
        </w:rPr>
        <w:t>3</w:t>
      </w:r>
      <w:r w:rsidR="00806EFD" w:rsidRPr="0043520E">
        <w:rPr>
          <w:rFonts w:ascii="Arial" w:hAnsi="Arial" w:cs="Arial"/>
          <w:sz w:val="24"/>
          <w:szCs w:val="24"/>
        </w:rPr>
        <w:t>č.s.m</w:t>
      </w:r>
      <w:r w:rsidRPr="0043520E">
        <w:rPr>
          <w:rFonts w:ascii="Arial" w:hAnsi="Arial" w:cs="Arial"/>
          <w:sz w:val="24"/>
          <w:szCs w:val="24"/>
        </w:rPr>
        <w:t>, a eksploatacione rezerve oko 113 miliona m</w:t>
      </w:r>
      <w:r w:rsidRPr="0043520E">
        <w:rPr>
          <w:rFonts w:ascii="Arial" w:hAnsi="Arial" w:cs="Arial"/>
          <w:sz w:val="24"/>
          <w:szCs w:val="24"/>
          <w:vertAlign w:val="superscript"/>
        </w:rPr>
        <w:t>3</w:t>
      </w:r>
      <w:r w:rsidR="00806EFD" w:rsidRPr="0043520E">
        <w:rPr>
          <w:rFonts w:ascii="Arial" w:hAnsi="Arial" w:cs="Arial"/>
          <w:sz w:val="24"/>
          <w:szCs w:val="24"/>
        </w:rPr>
        <w:t>č.s.m</w:t>
      </w:r>
      <w:r w:rsidRPr="0043520E">
        <w:rPr>
          <w:rFonts w:ascii="Arial" w:hAnsi="Arial" w:cs="Arial"/>
          <w:sz w:val="24"/>
          <w:szCs w:val="24"/>
        </w:rPr>
        <w:t>.</w:t>
      </w:r>
    </w:p>
    <w:p w:rsidR="00FE2F15" w:rsidRPr="0043520E" w:rsidRDefault="00FE2F15"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43520E">
        <w:rPr>
          <w:rFonts w:ascii="Arial" w:hAnsi="Arial" w:cs="Arial"/>
          <w:sz w:val="24"/>
          <w:szCs w:val="24"/>
        </w:rPr>
        <w:t>Rezerve t-g kamena vulkanskog porijekla, u ležištu Okruglički krš u Štitar</w:t>
      </w:r>
      <w:r w:rsidR="00B305F9" w:rsidRPr="0043520E">
        <w:rPr>
          <w:rFonts w:ascii="Arial" w:hAnsi="Arial" w:cs="Arial"/>
          <w:sz w:val="24"/>
          <w:szCs w:val="24"/>
        </w:rPr>
        <w:t>ici, iznose svega 2,7 miliona m</w:t>
      </w:r>
      <w:r w:rsidR="00B305F9" w:rsidRPr="0043520E">
        <w:rPr>
          <w:rFonts w:ascii="Arial" w:hAnsi="Arial" w:cs="Arial"/>
          <w:sz w:val="24"/>
          <w:szCs w:val="24"/>
          <w:vertAlign w:val="superscript"/>
        </w:rPr>
        <w:t>3</w:t>
      </w:r>
      <w:r w:rsidR="00806EFD" w:rsidRPr="0043520E">
        <w:rPr>
          <w:rFonts w:ascii="Arial" w:hAnsi="Arial" w:cs="Arial"/>
          <w:sz w:val="24"/>
          <w:szCs w:val="24"/>
        </w:rPr>
        <w:t>č.s.m</w:t>
      </w:r>
      <w:r w:rsidRPr="0043520E">
        <w:rPr>
          <w:rFonts w:ascii="Arial" w:hAnsi="Arial" w:cs="Arial"/>
          <w:sz w:val="24"/>
          <w:szCs w:val="24"/>
        </w:rPr>
        <w:t>,</w:t>
      </w:r>
      <w:r w:rsidRPr="00722DF4">
        <w:rPr>
          <w:rFonts w:ascii="Arial" w:hAnsi="Arial" w:cs="Arial"/>
          <w:sz w:val="24"/>
          <w:szCs w:val="24"/>
        </w:rPr>
        <w:t xml:space="preserve"> čija je proizvodnja isuviše mala da bi se zadovoljile potrebe tržišta u Crnoj Gori.</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Bigar</w:t>
      </w:r>
    </w:p>
    <w:p w:rsidR="00C75CAD" w:rsidRPr="00722DF4" w:rsidRDefault="00C75CAD" w:rsidP="00C75CAD">
      <w:pPr>
        <w:autoSpaceDE w:val="0"/>
        <w:autoSpaceDN w:val="0"/>
        <w:adjustRightInd w:val="0"/>
        <w:spacing w:after="0"/>
        <w:jc w:val="both"/>
        <w:rPr>
          <w:rFonts w:ascii="Arial" w:hAnsi="Arial" w:cs="Arial"/>
          <w:b/>
          <w:bCs/>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Bigar je specifična vrsta mineralne sirovine koja se stvara pored slapova i vodopada. Na našim prostorima srednjovjekovne crkve i drugi sakralni i spomenički objekti kao i objekti od nacionalnog značaja rađeni su uglavnom od bigra.</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Crnoj Gori najvažnije ležište bigra nalazi se u lokalnosti </w:t>
      </w:r>
      <w:r w:rsidRPr="002265EF">
        <w:rPr>
          <w:rFonts w:ascii="Arial" w:hAnsi="Arial" w:cs="Arial"/>
          <w:bCs/>
          <w:sz w:val="24"/>
          <w:szCs w:val="24"/>
        </w:rPr>
        <w:t>Tavani (Podmalinsko)</w:t>
      </w:r>
      <w:r w:rsidRPr="00722DF4">
        <w:rPr>
          <w:rFonts w:ascii="Arial" w:hAnsi="Arial" w:cs="Arial"/>
          <w:sz w:val="24"/>
          <w:szCs w:val="24"/>
        </w:rPr>
        <w:t>, kod Šavnika, sa dokazanim rezerv</w:t>
      </w:r>
      <w:r w:rsidR="00B305F9" w:rsidRPr="00722DF4">
        <w:rPr>
          <w:rFonts w:ascii="Arial" w:hAnsi="Arial" w:cs="Arial"/>
          <w:sz w:val="24"/>
          <w:szCs w:val="24"/>
        </w:rPr>
        <w:t xml:space="preserve">ama stijenske mase </w:t>
      </w:r>
      <w:r w:rsidR="00B305F9" w:rsidRPr="00DB12D9">
        <w:rPr>
          <w:rFonts w:ascii="Arial" w:hAnsi="Arial" w:cs="Arial"/>
          <w:sz w:val="24"/>
          <w:szCs w:val="24"/>
        </w:rPr>
        <w:t>od 275.000 m</w:t>
      </w:r>
      <w:r w:rsidR="00B305F9" w:rsidRPr="00DB12D9">
        <w:rPr>
          <w:rFonts w:ascii="Arial" w:hAnsi="Arial" w:cs="Arial"/>
          <w:sz w:val="24"/>
          <w:szCs w:val="24"/>
          <w:vertAlign w:val="superscript"/>
        </w:rPr>
        <w:t>3</w:t>
      </w:r>
      <w:r w:rsidR="00806EFD" w:rsidRPr="00DB12D9">
        <w:rPr>
          <w:rFonts w:ascii="Arial" w:hAnsi="Arial" w:cs="Arial"/>
          <w:sz w:val="24"/>
          <w:szCs w:val="24"/>
        </w:rPr>
        <w:t>č.s.m</w:t>
      </w:r>
      <w:r w:rsidRPr="00722DF4">
        <w:rPr>
          <w:rFonts w:ascii="Arial" w:hAnsi="Arial" w:cs="Arial"/>
          <w:sz w:val="24"/>
          <w:szCs w:val="24"/>
        </w:rPr>
        <w:t xml:space="preserve"> i rezervama blok mase od oko </w:t>
      </w:r>
      <w:r w:rsidRPr="00DB12D9">
        <w:rPr>
          <w:rFonts w:ascii="Arial" w:hAnsi="Arial" w:cs="Arial"/>
          <w:sz w:val="24"/>
          <w:szCs w:val="24"/>
        </w:rPr>
        <w:t>116.000 m</w:t>
      </w:r>
      <w:r w:rsidRPr="00DB12D9">
        <w:rPr>
          <w:rFonts w:ascii="Arial" w:hAnsi="Arial" w:cs="Arial"/>
          <w:sz w:val="24"/>
          <w:szCs w:val="24"/>
          <w:vertAlign w:val="superscript"/>
        </w:rPr>
        <w:t>3</w:t>
      </w:r>
      <w:r w:rsidR="00806EFD" w:rsidRPr="00DB12D9">
        <w:rPr>
          <w:rFonts w:ascii="Arial" w:hAnsi="Arial" w:cs="Arial"/>
          <w:sz w:val="24"/>
          <w:szCs w:val="24"/>
        </w:rPr>
        <w:t>č.s.m</w:t>
      </w:r>
      <w:r w:rsidRPr="00DB12D9">
        <w:rPr>
          <w:rFonts w:ascii="Arial" w:hAnsi="Arial" w:cs="Arial"/>
          <w:sz w:val="24"/>
          <w:szCs w:val="24"/>
        </w:rPr>
        <w:t xml:space="preserve">. U ležištu bigra Goranja </w:t>
      </w:r>
      <w:r w:rsidRPr="00DB12D9">
        <w:rPr>
          <w:rFonts w:ascii="Arial" w:hAnsi="Arial" w:cs="Arial"/>
          <w:bCs/>
          <w:sz w:val="24"/>
          <w:szCs w:val="24"/>
        </w:rPr>
        <w:t>Lijeska (kod Tomaševa)</w:t>
      </w:r>
      <w:r w:rsidRPr="00DB12D9">
        <w:rPr>
          <w:rFonts w:ascii="Arial" w:hAnsi="Arial" w:cs="Arial"/>
          <w:sz w:val="24"/>
          <w:szCs w:val="24"/>
        </w:rPr>
        <w:t xml:space="preserve"> </w:t>
      </w:r>
      <w:r w:rsidRPr="00DB12D9">
        <w:rPr>
          <w:rFonts w:ascii="Arial" w:hAnsi="Arial" w:cs="Arial"/>
          <w:sz w:val="24"/>
          <w:szCs w:val="24"/>
        </w:rPr>
        <w:lastRenderedPageBreak/>
        <w:t>proračunato je 94.000 m</w:t>
      </w:r>
      <w:r w:rsidRPr="00DB12D9">
        <w:rPr>
          <w:rFonts w:ascii="Arial" w:hAnsi="Arial" w:cs="Arial"/>
          <w:sz w:val="24"/>
          <w:szCs w:val="24"/>
          <w:vertAlign w:val="superscript"/>
        </w:rPr>
        <w:t>3</w:t>
      </w:r>
      <w:r w:rsidR="00806EFD" w:rsidRPr="00DB12D9">
        <w:rPr>
          <w:rFonts w:ascii="Arial" w:hAnsi="Arial" w:cs="Arial"/>
          <w:sz w:val="24"/>
          <w:szCs w:val="24"/>
        </w:rPr>
        <w:t>č.s.m</w:t>
      </w:r>
      <w:r w:rsidRPr="00DB12D9">
        <w:rPr>
          <w:rFonts w:ascii="Arial" w:hAnsi="Arial" w:cs="Arial"/>
          <w:sz w:val="24"/>
          <w:szCs w:val="24"/>
        </w:rPr>
        <w:t xml:space="preserve"> stijenske mase a perspektivne rezerve su procijenjene na 150.000 m</w:t>
      </w:r>
      <w:r w:rsidRPr="00DB12D9">
        <w:rPr>
          <w:rFonts w:ascii="Arial" w:hAnsi="Arial" w:cs="Arial"/>
          <w:sz w:val="24"/>
          <w:szCs w:val="24"/>
          <w:vertAlign w:val="superscript"/>
        </w:rPr>
        <w:t>3</w:t>
      </w:r>
      <w:r w:rsidR="00806EFD" w:rsidRPr="00DB12D9">
        <w:rPr>
          <w:rFonts w:ascii="Arial" w:hAnsi="Arial" w:cs="Arial"/>
          <w:sz w:val="24"/>
          <w:szCs w:val="24"/>
        </w:rPr>
        <w:t>č.s.m</w:t>
      </w:r>
      <w:r w:rsidRPr="00DB12D9">
        <w:rPr>
          <w:rFonts w:ascii="Arial" w:hAnsi="Arial" w:cs="Arial"/>
          <w:sz w:val="24"/>
          <w:szCs w:val="24"/>
        </w:rPr>
        <w:t>.</w:t>
      </w:r>
    </w:p>
    <w:p w:rsidR="00231FAD" w:rsidRDefault="00231FAD" w:rsidP="00C75CAD">
      <w:pPr>
        <w:autoSpaceDE w:val="0"/>
        <w:autoSpaceDN w:val="0"/>
        <w:adjustRightInd w:val="0"/>
        <w:spacing w:after="0"/>
        <w:jc w:val="both"/>
        <w:rPr>
          <w:rFonts w:ascii="Arial" w:hAnsi="Arial" w:cs="Arial"/>
          <w:b/>
          <w:bCs/>
          <w:sz w:val="24"/>
          <w:szCs w:val="24"/>
        </w:rPr>
      </w:pPr>
    </w:p>
    <w:p w:rsidR="00231FA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Šljunak i pijesak</w:t>
      </w:r>
    </w:p>
    <w:p w:rsidR="004D714E" w:rsidRPr="00722DF4" w:rsidRDefault="004D714E" w:rsidP="00C75CAD">
      <w:pPr>
        <w:autoSpaceDE w:val="0"/>
        <w:autoSpaceDN w:val="0"/>
        <w:adjustRightInd w:val="0"/>
        <w:spacing w:after="0"/>
        <w:jc w:val="both"/>
        <w:rPr>
          <w:rFonts w:ascii="Arial" w:hAnsi="Arial" w:cs="Arial"/>
          <w:b/>
          <w:bCs/>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Šljunak i pijesak su se eksploatisale na više desetina lokacija, odnosno pozajmišta, od kojih je najveći broj u</w:t>
      </w:r>
      <w:r w:rsidR="002265EF">
        <w:rPr>
          <w:rFonts w:ascii="Arial" w:hAnsi="Arial" w:cs="Arial"/>
          <w:sz w:val="24"/>
          <w:szCs w:val="24"/>
        </w:rPr>
        <w:t xml:space="preserve"> koritu Morače, zatim Cijevne, Lima i</w:t>
      </w:r>
      <w:r w:rsidRPr="00722DF4">
        <w:rPr>
          <w:rFonts w:ascii="Arial" w:hAnsi="Arial" w:cs="Arial"/>
          <w:sz w:val="24"/>
          <w:szCs w:val="24"/>
        </w:rPr>
        <w:t xml:space="preserve"> Gračanice (kod Nikšića).</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Pozivajući se na podatke koji su dati u Nacrtu strategije razvoja građevinarstva u Crnoj Gori do 2010</w:t>
      </w:r>
      <w:r w:rsidR="002265EF">
        <w:rPr>
          <w:rFonts w:ascii="Arial" w:hAnsi="Arial" w:cs="Arial"/>
          <w:sz w:val="24"/>
          <w:szCs w:val="24"/>
        </w:rPr>
        <w:t>.</w:t>
      </w:r>
      <w:r w:rsidRPr="00722DF4">
        <w:rPr>
          <w:rFonts w:ascii="Arial" w:hAnsi="Arial" w:cs="Arial"/>
          <w:sz w:val="24"/>
          <w:szCs w:val="24"/>
        </w:rPr>
        <w:t xml:space="preserve"> godine, u 2007. godini je u Crnoj Gori </w:t>
      </w:r>
      <w:r w:rsidRPr="00DB12D9">
        <w:rPr>
          <w:rFonts w:ascii="Arial" w:hAnsi="Arial" w:cs="Arial"/>
          <w:sz w:val="24"/>
          <w:szCs w:val="24"/>
        </w:rPr>
        <w:t>proizvedeno 1.850.000 m</w:t>
      </w:r>
      <w:r w:rsidRPr="00DB12D9">
        <w:rPr>
          <w:rFonts w:ascii="Arial" w:hAnsi="Arial" w:cs="Arial"/>
          <w:sz w:val="24"/>
          <w:szCs w:val="24"/>
          <w:vertAlign w:val="superscript"/>
        </w:rPr>
        <w:t>3</w:t>
      </w:r>
      <w:r w:rsidRPr="00DB12D9">
        <w:rPr>
          <w:rFonts w:ascii="Arial" w:hAnsi="Arial" w:cs="Arial"/>
          <w:sz w:val="24"/>
          <w:szCs w:val="24"/>
        </w:rPr>
        <w:t xml:space="preserve"> šljunka i pij</w:t>
      </w:r>
      <w:r w:rsidR="00B305F9" w:rsidRPr="00DB12D9">
        <w:rPr>
          <w:rFonts w:ascii="Arial" w:hAnsi="Arial" w:cs="Arial"/>
          <w:sz w:val="24"/>
          <w:szCs w:val="24"/>
        </w:rPr>
        <w:t>eska iz vodotoka i oko 50.000 m</w:t>
      </w:r>
      <w:r w:rsidR="00B305F9" w:rsidRPr="00DB12D9">
        <w:rPr>
          <w:rFonts w:ascii="Arial" w:hAnsi="Arial" w:cs="Arial"/>
          <w:sz w:val="24"/>
          <w:szCs w:val="24"/>
          <w:vertAlign w:val="superscript"/>
        </w:rPr>
        <w:t>3</w:t>
      </w:r>
      <w:r w:rsidRPr="00DB12D9">
        <w:rPr>
          <w:rFonts w:ascii="Arial" w:hAnsi="Arial" w:cs="Arial"/>
          <w:sz w:val="24"/>
          <w:szCs w:val="24"/>
        </w:rPr>
        <w:t xml:space="preserve"> iz glaciofluvijalnih naslaga.</w:t>
      </w:r>
      <w:r w:rsidRPr="00722DF4">
        <w:rPr>
          <w:rFonts w:ascii="Arial" w:hAnsi="Arial" w:cs="Arial"/>
          <w:sz w:val="24"/>
          <w:szCs w:val="24"/>
        </w:rPr>
        <w:t xml:space="preserve"> Najintenzivnija proizvodnja vršena je u donjem toku rijeke Morače. Uzimajući prosječne cijene na nivou Države, ukupna vrijednost proizvodnje iznosila je oko 25 miliona eura.</w:t>
      </w:r>
    </w:p>
    <w:p w:rsidR="00C75CAD" w:rsidRPr="00722DF4" w:rsidRDefault="00C75CAD" w:rsidP="00722DF4">
      <w:pPr>
        <w:autoSpaceDE w:val="0"/>
        <w:autoSpaceDN w:val="0"/>
        <w:adjustRightInd w:val="0"/>
        <w:spacing w:after="0"/>
        <w:jc w:val="both"/>
        <w:rPr>
          <w:rFonts w:ascii="Arial" w:hAnsi="Arial" w:cs="Arial"/>
          <w:sz w:val="24"/>
          <w:szCs w:val="24"/>
        </w:rPr>
      </w:pPr>
    </w:p>
    <w:p w:rsidR="00C75CAD" w:rsidRDefault="003569DD" w:rsidP="00722DF4">
      <w:pPr>
        <w:autoSpaceDE w:val="0"/>
        <w:autoSpaceDN w:val="0"/>
        <w:adjustRightInd w:val="0"/>
        <w:spacing w:after="0"/>
        <w:jc w:val="both"/>
        <w:rPr>
          <w:rFonts w:ascii="Arial" w:hAnsi="Arial" w:cs="Arial"/>
          <w:sz w:val="24"/>
          <w:szCs w:val="24"/>
        </w:rPr>
      </w:pPr>
      <w:r w:rsidRPr="003569DD">
        <w:rPr>
          <w:rFonts w:ascii="Arial" w:hAnsi="Arial" w:cs="Arial"/>
          <w:sz w:val="24"/>
          <w:szCs w:val="24"/>
        </w:rPr>
        <w:t>Dosadašnja eksploatacija šljunka i pijeska značajno je devastirala korito i okolinu rijeke Morače, a naročito u dijelu toka između Morače i Skadarskog jezera. Takođe, eksploatacija ove mineralne sirovine u karstnim poljima znatno devastira i ugrožava ambijentalne vrijednosti i sadržaje takvih sredina. Trebalo bi ograničiti eksploataciju ovih resursa skoro u svim predjelima gdje se sada obavlja takva aktivnost, tim prije što postoje prirodni uslovi da se umjesto šljunka i pijeska koriste stijenske mase karbonatnog sastava, koje se pri eksploataciji boksita i a-g kamena odvajaju kao jalovina.</w:t>
      </w:r>
    </w:p>
    <w:p w:rsidR="003569DD" w:rsidRPr="00722DF4" w:rsidRDefault="003569DD" w:rsidP="00722DF4">
      <w:pPr>
        <w:autoSpaceDE w:val="0"/>
        <w:autoSpaceDN w:val="0"/>
        <w:adjustRightInd w:val="0"/>
        <w:spacing w:after="0"/>
        <w:jc w:val="both"/>
        <w:rPr>
          <w:rFonts w:ascii="Arial" w:hAnsi="Arial" w:cs="Arial"/>
          <w:sz w:val="24"/>
          <w:szCs w:val="24"/>
        </w:rPr>
      </w:pPr>
    </w:p>
    <w:p w:rsidR="00C75CA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Opekarske gline</w:t>
      </w:r>
    </w:p>
    <w:p w:rsidR="004D714E" w:rsidRPr="00722DF4" w:rsidRDefault="004D714E" w:rsidP="00C75CAD">
      <w:pPr>
        <w:autoSpaceDE w:val="0"/>
        <w:autoSpaceDN w:val="0"/>
        <w:adjustRightInd w:val="0"/>
        <w:spacing w:after="0"/>
        <w:jc w:val="both"/>
        <w:rPr>
          <w:rFonts w:ascii="Arial" w:hAnsi="Arial" w:cs="Arial"/>
          <w:b/>
          <w:bCs/>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Najznačajnija nalazišta opekarskih glina u Crnoj Gori nalaze se u neogenim jezerskim sedimentima sa ugljem, u području Pljevalja, Maoča i Berana. U lokalitetu Maljevac kod Pljevalja istraživanjima su dokazane bilansne rezerve ove mineralne sirovine od 4.700.000 t</w:t>
      </w:r>
      <w:r w:rsidR="00B305F9" w:rsidRPr="00722DF4">
        <w:rPr>
          <w:rFonts w:ascii="Arial" w:hAnsi="Arial" w:cs="Arial"/>
          <w:sz w:val="24"/>
          <w:szCs w:val="24"/>
        </w:rPr>
        <w:t>ona</w:t>
      </w:r>
      <w:r w:rsidRPr="00722DF4">
        <w:rPr>
          <w:rFonts w:ascii="Arial" w:hAnsi="Arial" w:cs="Arial"/>
          <w:sz w:val="24"/>
          <w:szCs w:val="24"/>
        </w:rPr>
        <w:t xml:space="preserve"> B+C1 kategorije a vanbilansne rezerve od 8.800.000 t</w:t>
      </w:r>
      <w:r w:rsidR="00B305F9" w:rsidRPr="00722DF4">
        <w:rPr>
          <w:rFonts w:ascii="Arial" w:hAnsi="Arial" w:cs="Arial"/>
          <w:sz w:val="24"/>
          <w:szCs w:val="24"/>
        </w:rPr>
        <w:t>ona</w:t>
      </w:r>
      <w:r w:rsidRPr="00722DF4">
        <w:rPr>
          <w:rFonts w:ascii="Arial" w:hAnsi="Arial" w:cs="Arial"/>
          <w:sz w:val="24"/>
          <w:szCs w:val="24"/>
        </w:rPr>
        <w:t>.</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ležištu Maoče gline se javljaju u okviru krovinskih sedimenata (tj. iznad sloja uglja), sa proračunatim rezervama C1 kategorije od oko 1,7 miliona tona i procijenjenim (perspektivnim) u iznosu od oko 573 miliona tona. Takođe su u jezerskim sedimentima Mataruga procijenjene rezerve glina o</w:t>
      </w:r>
      <w:r w:rsidR="00B305F9" w:rsidRPr="00722DF4">
        <w:rPr>
          <w:rFonts w:ascii="Arial" w:hAnsi="Arial" w:cs="Arial"/>
          <w:sz w:val="24"/>
          <w:szCs w:val="24"/>
        </w:rPr>
        <w:t>d oko 10 miliona tona. U ataru s</w:t>
      </w:r>
      <w:r w:rsidRPr="00722DF4">
        <w:rPr>
          <w:rFonts w:ascii="Arial" w:hAnsi="Arial" w:cs="Arial"/>
          <w:sz w:val="24"/>
          <w:szCs w:val="24"/>
        </w:rPr>
        <w:t>ela Kalušića proračunate su C1 rezerve od 12,7 miliona tona, a perspektivne na oko 12 miliona tona. U jezerskim sedimentima Berana (lokalnost Jasikovac – Bare) utvrđene su rezerve glina B+C1 kategorije u iznosu od 1.324.000 t</w:t>
      </w:r>
      <w:r w:rsidR="00B305F9" w:rsidRPr="00722DF4">
        <w:rPr>
          <w:rFonts w:ascii="Arial" w:hAnsi="Arial" w:cs="Arial"/>
          <w:sz w:val="24"/>
          <w:szCs w:val="24"/>
        </w:rPr>
        <w:t>ona</w:t>
      </w:r>
      <w:r w:rsidRPr="00722DF4">
        <w:rPr>
          <w:rFonts w:ascii="Arial" w:hAnsi="Arial" w:cs="Arial"/>
          <w:sz w:val="24"/>
          <w:szCs w:val="24"/>
        </w:rPr>
        <w:t>, dok su perspektivne procijenjene na oko 2.100.000 tona.</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Drugom genetskom tipu ležišta glina u Crnoj Gori pripadaju aluvijalna ležišta. Rezerve ove mineralne sirovine su utvrđene u: Kukavičkom vrhu kod Bijelog Polja, Donjem Lipovu kod Kolašina, Moromišu i Stanjevića rupi kod Spuža, Sinjarevu i Zekovoj glavici </w:t>
      </w:r>
      <w:r w:rsidRPr="00722DF4">
        <w:rPr>
          <w:rFonts w:ascii="Arial" w:hAnsi="Arial" w:cs="Arial"/>
          <w:sz w:val="24"/>
          <w:szCs w:val="24"/>
        </w:rPr>
        <w:lastRenderedPageBreak/>
        <w:t>kod Tivta i u Ćurkama kod Ulcinja. Ukupno utvrđene rezerve B+C1 kategorije opekarskih glina u ovim ležištima iznosi oko 12 miliona tona, od kojih se po kvalitetu ističu gline u okolini Tivta.</w:t>
      </w:r>
    </w:p>
    <w:p w:rsidR="0027075D" w:rsidRPr="00722DF4" w:rsidRDefault="0027075D" w:rsidP="00722DF4">
      <w:pPr>
        <w:autoSpaceDE w:val="0"/>
        <w:autoSpaceDN w:val="0"/>
        <w:adjustRightInd w:val="0"/>
        <w:spacing w:after="0"/>
        <w:jc w:val="both"/>
        <w:rPr>
          <w:rFonts w:ascii="Arial" w:hAnsi="Arial" w:cs="Arial"/>
          <w:sz w:val="24"/>
          <w:szCs w:val="24"/>
        </w:rPr>
      </w:pPr>
    </w:p>
    <w:p w:rsidR="00021F15" w:rsidRDefault="00021F15" w:rsidP="00021F15">
      <w:pPr>
        <w:spacing w:after="0" w:line="240" w:lineRule="auto"/>
        <w:jc w:val="both"/>
        <w:rPr>
          <w:rFonts w:ascii="Arial" w:hAnsi="Arial" w:cs="Arial"/>
          <w:b/>
          <w:sz w:val="24"/>
          <w:szCs w:val="24"/>
          <w:lang w:val="sr-Latn-CS"/>
        </w:rPr>
      </w:pPr>
      <w:r w:rsidRPr="00DB12D9">
        <w:rPr>
          <w:rFonts w:ascii="Arial" w:hAnsi="Arial" w:cs="Arial"/>
          <w:b/>
          <w:sz w:val="24"/>
          <w:szCs w:val="24"/>
          <w:lang w:val="sr-Latn-CS"/>
        </w:rPr>
        <w:t>Ležišta prirodnih cementnih laporaca</w:t>
      </w:r>
    </w:p>
    <w:p w:rsidR="004D714E" w:rsidRPr="004D714E" w:rsidRDefault="004D714E" w:rsidP="00021F15">
      <w:pPr>
        <w:spacing w:after="0" w:line="240" w:lineRule="auto"/>
        <w:jc w:val="both"/>
        <w:rPr>
          <w:rFonts w:ascii="Arial" w:hAnsi="Arial" w:cs="Arial"/>
          <w:b/>
          <w:sz w:val="24"/>
          <w:szCs w:val="24"/>
          <w:lang w:val="sr-Latn-CS"/>
        </w:rPr>
      </w:pPr>
    </w:p>
    <w:p w:rsidR="00021F15" w:rsidRPr="00DB12D9" w:rsidRDefault="00021F15" w:rsidP="00021F15">
      <w:pPr>
        <w:spacing w:after="0" w:line="240" w:lineRule="auto"/>
        <w:jc w:val="both"/>
        <w:rPr>
          <w:rFonts w:ascii="Arial" w:hAnsi="Arial" w:cs="Arial"/>
          <w:sz w:val="24"/>
          <w:szCs w:val="24"/>
          <w:lang w:val="sr-Latn-CS"/>
        </w:rPr>
      </w:pPr>
      <w:r w:rsidRPr="00DB12D9">
        <w:rPr>
          <w:rFonts w:ascii="Arial" w:hAnsi="Arial" w:cs="Arial"/>
          <w:sz w:val="24"/>
          <w:szCs w:val="24"/>
          <w:lang w:val="sr-Latn-CS"/>
        </w:rPr>
        <w:t xml:space="preserve">Najveće ležište prirodnih cementnih laporaca u Crnoj Gori je pljevaljski ugljonosni basen gdje cementni laporci predstavljaju neposrednu krovinu ugljenog sloja u ležištu. </w:t>
      </w:r>
    </w:p>
    <w:p w:rsidR="00021F15" w:rsidRPr="00DB12D9" w:rsidRDefault="00021F15" w:rsidP="00021F15">
      <w:pPr>
        <w:spacing w:after="0" w:line="240" w:lineRule="auto"/>
        <w:jc w:val="both"/>
        <w:rPr>
          <w:rFonts w:ascii="Arial" w:hAnsi="Arial" w:cs="Arial"/>
          <w:sz w:val="24"/>
          <w:szCs w:val="24"/>
          <w:lang w:val="sr-Latn-CS"/>
        </w:rPr>
      </w:pPr>
    </w:p>
    <w:p w:rsidR="00021F15" w:rsidRPr="00DB12D9" w:rsidRDefault="00021F15" w:rsidP="00021F15">
      <w:pPr>
        <w:spacing w:after="0"/>
        <w:jc w:val="both"/>
        <w:rPr>
          <w:rFonts w:ascii="Arial" w:hAnsi="Arial" w:cs="Arial"/>
          <w:sz w:val="24"/>
          <w:szCs w:val="24"/>
          <w:lang w:val="sr-Latn-CS"/>
        </w:rPr>
      </w:pPr>
      <w:r w:rsidRPr="00DB12D9">
        <w:rPr>
          <w:rFonts w:ascii="Arial" w:hAnsi="Arial" w:cs="Arial"/>
          <w:sz w:val="24"/>
          <w:szCs w:val="24"/>
          <w:lang w:val="sr-Latn-CS"/>
        </w:rPr>
        <w:t>Laporac iz ovog ležišta korišćen je kao osnovna sirovina za proizvodnju cementa u Fabrici cementa u Pljevljima. Proizvodnja se odvijala u ovoj fabrici u periodu 1976-1988. godine kada je proizvedeno oko 2.000.000 t</w:t>
      </w:r>
      <w:r w:rsidR="00DB12D9" w:rsidRPr="00DB12D9">
        <w:rPr>
          <w:rFonts w:ascii="Arial" w:hAnsi="Arial" w:cs="Arial"/>
          <w:sz w:val="24"/>
          <w:szCs w:val="24"/>
          <w:lang w:val="sr-Latn-CS"/>
        </w:rPr>
        <w:t>ona</w:t>
      </w:r>
      <w:r w:rsidRPr="00DB12D9">
        <w:rPr>
          <w:rFonts w:ascii="Arial" w:hAnsi="Arial" w:cs="Arial"/>
          <w:sz w:val="24"/>
          <w:szCs w:val="24"/>
          <w:lang w:val="sr-Latn-CS"/>
        </w:rPr>
        <w:t xml:space="preserve"> kvalitetnog portland cementa. Kao prateća mineralna sirovina u proizvodnji cementa korišćen je tuf iz Jugoštice (okolina Pljevalja), dok su aditivi, gips i kvarcni pijesak dopremani iz Bosne i Srbije. Razlozi prestanka proizvodnje cementa u Pljevljima bili su, prije svega, tehnološko – tehnički nedostaci primjenjene tehnologije koji su doveli do značajnog narušavanja kvaliteta životne sredine grada.</w:t>
      </w:r>
    </w:p>
    <w:p w:rsidR="00021F15" w:rsidRPr="00DB12D9" w:rsidRDefault="00021F15" w:rsidP="00021F15">
      <w:pPr>
        <w:spacing w:after="0" w:line="240" w:lineRule="auto"/>
        <w:jc w:val="both"/>
        <w:rPr>
          <w:rFonts w:ascii="Arial" w:hAnsi="Arial" w:cs="Arial"/>
          <w:sz w:val="24"/>
          <w:szCs w:val="24"/>
          <w:lang w:val="sr-Latn-CS"/>
        </w:rPr>
      </w:pPr>
    </w:p>
    <w:p w:rsidR="00021F15" w:rsidRPr="00DB12D9" w:rsidRDefault="00021F15" w:rsidP="00021F15">
      <w:pPr>
        <w:spacing w:after="0"/>
        <w:jc w:val="both"/>
        <w:rPr>
          <w:rFonts w:ascii="Arial" w:hAnsi="Arial" w:cs="Arial"/>
          <w:sz w:val="24"/>
          <w:szCs w:val="24"/>
          <w:lang w:val="sr-Latn-CS"/>
        </w:rPr>
      </w:pPr>
      <w:r w:rsidRPr="00DB12D9">
        <w:rPr>
          <w:rFonts w:ascii="Arial" w:hAnsi="Arial" w:cs="Arial"/>
          <w:sz w:val="24"/>
          <w:szCs w:val="24"/>
          <w:lang w:val="sr-Latn-CS"/>
        </w:rPr>
        <w:t>Stepen istraženosti ležišta prirodnih cementnih laporaca bio je na nivou rezervi A+B+C</w:t>
      </w:r>
      <w:r w:rsidRPr="00DB12D9">
        <w:rPr>
          <w:rFonts w:ascii="Arial" w:hAnsi="Arial" w:cs="Arial"/>
          <w:sz w:val="24"/>
          <w:szCs w:val="24"/>
          <w:vertAlign w:val="subscript"/>
          <w:lang w:val="sr-Latn-CS"/>
        </w:rPr>
        <w:t>1</w:t>
      </w:r>
      <w:r w:rsidRPr="00DB12D9">
        <w:rPr>
          <w:rFonts w:ascii="Arial" w:hAnsi="Arial" w:cs="Arial"/>
          <w:sz w:val="24"/>
          <w:szCs w:val="24"/>
          <w:lang w:val="sr-Latn-CS"/>
        </w:rPr>
        <w:t xml:space="preserve"> kategorije. Rezerve su sračunate za područje koje je detaljnije istraženo, a označavalo je geografski pojam Potrlica – Durutovići istok i odnosilo se na pakete </w:t>
      </w:r>
      <w:r w:rsidRPr="00DB12D9">
        <w:rPr>
          <w:rFonts w:ascii="Arial" w:hAnsi="Arial" w:cs="Arial"/>
          <w:sz w:val="24"/>
          <w:szCs w:val="24"/>
          <w:vertAlign w:val="superscript"/>
          <w:lang w:val="sr-Latn-CS"/>
        </w:rPr>
        <w:t>6</w:t>
      </w:r>
      <w:r w:rsidRPr="00DB12D9">
        <w:rPr>
          <w:rFonts w:ascii="Arial" w:hAnsi="Arial" w:cs="Arial"/>
          <w:sz w:val="24"/>
          <w:szCs w:val="24"/>
          <w:lang w:val="sr-Latn-CS"/>
        </w:rPr>
        <w:t>M</w:t>
      </w:r>
      <w:r w:rsidRPr="00DB12D9">
        <w:rPr>
          <w:rFonts w:ascii="Arial" w:hAnsi="Arial" w:cs="Arial"/>
          <w:sz w:val="24"/>
          <w:szCs w:val="24"/>
          <w:vertAlign w:val="subscript"/>
          <w:lang w:val="sr-Latn-CS"/>
        </w:rPr>
        <w:t>2</w:t>
      </w:r>
      <w:r w:rsidRPr="00DB12D9">
        <w:rPr>
          <w:rFonts w:ascii="Arial" w:hAnsi="Arial" w:cs="Arial"/>
          <w:sz w:val="24"/>
          <w:szCs w:val="24"/>
          <w:lang w:val="sr-Latn-CS"/>
        </w:rPr>
        <w:t xml:space="preserve">, </w:t>
      </w:r>
      <w:r w:rsidRPr="00DB12D9">
        <w:rPr>
          <w:rFonts w:ascii="Arial" w:hAnsi="Arial" w:cs="Arial"/>
          <w:sz w:val="24"/>
          <w:szCs w:val="24"/>
          <w:vertAlign w:val="superscript"/>
          <w:lang w:val="sr-Latn-CS"/>
        </w:rPr>
        <w:t>7</w:t>
      </w:r>
      <w:r w:rsidRPr="00DB12D9">
        <w:rPr>
          <w:rFonts w:ascii="Arial" w:hAnsi="Arial" w:cs="Arial"/>
          <w:sz w:val="24"/>
          <w:szCs w:val="24"/>
          <w:lang w:val="sr-Latn-CS"/>
        </w:rPr>
        <w:t>M</w:t>
      </w:r>
      <w:r w:rsidRPr="00DB12D9">
        <w:rPr>
          <w:rFonts w:ascii="Arial" w:hAnsi="Arial" w:cs="Arial"/>
          <w:sz w:val="24"/>
          <w:szCs w:val="24"/>
          <w:vertAlign w:val="subscript"/>
          <w:lang w:val="sr-Latn-CS"/>
        </w:rPr>
        <w:t>2</w:t>
      </w:r>
      <w:r w:rsidRPr="00DB12D9">
        <w:rPr>
          <w:rFonts w:ascii="Arial" w:hAnsi="Arial" w:cs="Arial"/>
          <w:sz w:val="24"/>
          <w:szCs w:val="24"/>
          <w:lang w:val="sr-Latn-CS"/>
        </w:rPr>
        <w:t xml:space="preserve"> i </w:t>
      </w:r>
      <w:r w:rsidRPr="00DB12D9">
        <w:rPr>
          <w:rFonts w:ascii="Arial" w:hAnsi="Arial" w:cs="Arial"/>
          <w:sz w:val="24"/>
          <w:szCs w:val="24"/>
          <w:vertAlign w:val="superscript"/>
          <w:lang w:val="sr-Latn-CS"/>
        </w:rPr>
        <w:t>8</w:t>
      </w:r>
      <w:r w:rsidRPr="00DB12D9">
        <w:rPr>
          <w:rFonts w:ascii="Arial" w:hAnsi="Arial" w:cs="Arial"/>
          <w:sz w:val="24"/>
          <w:szCs w:val="24"/>
          <w:lang w:val="sr-Latn-CS"/>
        </w:rPr>
        <w:t>M</w:t>
      </w:r>
      <w:r w:rsidRPr="00DB12D9">
        <w:rPr>
          <w:rFonts w:ascii="Arial" w:hAnsi="Arial" w:cs="Arial"/>
          <w:sz w:val="24"/>
          <w:szCs w:val="24"/>
          <w:vertAlign w:val="subscript"/>
          <w:lang w:val="sr-Latn-CS"/>
        </w:rPr>
        <w:t>2</w:t>
      </w:r>
      <w:r w:rsidRPr="00DB12D9">
        <w:rPr>
          <w:rFonts w:ascii="Arial" w:hAnsi="Arial" w:cs="Arial"/>
          <w:sz w:val="24"/>
          <w:szCs w:val="24"/>
          <w:lang w:val="sr-Latn-CS"/>
        </w:rPr>
        <w:t xml:space="preserve">. Krajnji donji paket visokoprocentih cementnih laporaca </w:t>
      </w:r>
      <w:r w:rsidRPr="00DB12D9">
        <w:rPr>
          <w:rFonts w:ascii="Arial" w:hAnsi="Arial" w:cs="Arial"/>
          <w:sz w:val="24"/>
          <w:szCs w:val="24"/>
          <w:vertAlign w:val="superscript"/>
          <w:lang w:val="sr-Latn-CS"/>
        </w:rPr>
        <w:t>5</w:t>
      </w:r>
      <w:r w:rsidRPr="00DB12D9">
        <w:rPr>
          <w:rFonts w:ascii="Arial" w:hAnsi="Arial" w:cs="Arial"/>
          <w:sz w:val="24"/>
          <w:szCs w:val="24"/>
          <w:lang w:val="sr-Latn-CS"/>
        </w:rPr>
        <w:t>M</w:t>
      </w:r>
      <w:r w:rsidRPr="00DB12D9">
        <w:rPr>
          <w:rFonts w:ascii="Arial" w:hAnsi="Arial" w:cs="Arial"/>
          <w:sz w:val="24"/>
          <w:szCs w:val="24"/>
          <w:vertAlign w:val="subscript"/>
          <w:lang w:val="sr-Latn-CS"/>
        </w:rPr>
        <w:t>2</w:t>
      </w:r>
      <w:r w:rsidRPr="00DB12D9">
        <w:rPr>
          <w:rFonts w:ascii="Arial" w:hAnsi="Arial" w:cs="Arial"/>
          <w:sz w:val="24"/>
          <w:szCs w:val="24"/>
          <w:lang w:val="sr-Latn-CS"/>
        </w:rPr>
        <w:t xml:space="preserve"> koji je tretiran kao jalova podina prirodnim cementnim laporcima nije bio uključen u proračun rezervi.</w:t>
      </w:r>
    </w:p>
    <w:p w:rsidR="00021F15" w:rsidRPr="00DB12D9" w:rsidRDefault="00021F15" w:rsidP="00021F15">
      <w:pPr>
        <w:spacing w:after="0"/>
        <w:jc w:val="both"/>
        <w:rPr>
          <w:rFonts w:ascii="Arial" w:hAnsi="Arial" w:cs="Arial"/>
          <w:sz w:val="24"/>
          <w:szCs w:val="24"/>
          <w:lang w:val="sr-Latn-CS"/>
        </w:rPr>
      </w:pPr>
    </w:p>
    <w:p w:rsidR="00021F15" w:rsidRPr="00DB12D9" w:rsidRDefault="00021F15" w:rsidP="00021F15">
      <w:pPr>
        <w:spacing w:after="0"/>
        <w:jc w:val="both"/>
        <w:rPr>
          <w:rFonts w:ascii="Arial" w:hAnsi="Arial" w:cs="Arial"/>
          <w:sz w:val="24"/>
          <w:szCs w:val="24"/>
          <w:lang w:val="sr-Latn-CS"/>
        </w:rPr>
      </w:pPr>
      <w:r w:rsidRPr="004D714E">
        <w:rPr>
          <w:rFonts w:ascii="Arial" w:hAnsi="Arial" w:cs="Arial"/>
          <w:sz w:val="24"/>
          <w:szCs w:val="24"/>
          <w:lang w:val="sr-Latn-CS"/>
        </w:rPr>
        <w:t>Bilansne rezerve</w:t>
      </w:r>
      <w:r w:rsidRPr="00DB12D9">
        <w:rPr>
          <w:rFonts w:ascii="Arial" w:hAnsi="Arial" w:cs="Arial"/>
          <w:sz w:val="24"/>
          <w:szCs w:val="24"/>
          <w:lang w:val="sr-Latn-CS"/>
        </w:rPr>
        <w:t xml:space="preserve"> cementnih laporaca pljevaljskog basena </w:t>
      </w:r>
      <w:r w:rsidR="006C4730" w:rsidRPr="00DB12D9">
        <w:rPr>
          <w:rFonts w:ascii="Arial" w:hAnsi="Arial" w:cs="Arial"/>
          <w:sz w:val="24"/>
          <w:szCs w:val="24"/>
          <w:lang w:val="sr-Latn-CS"/>
        </w:rPr>
        <w:t xml:space="preserve">iz </w:t>
      </w:r>
      <w:r w:rsidR="00DB12D9" w:rsidRPr="00DB12D9">
        <w:rPr>
          <w:rFonts w:ascii="Arial" w:hAnsi="Arial" w:cs="Arial"/>
          <w:sz w:val="24"/>
          <w:szCs w:val="24"/>
          <w:lang w:val="sr-Latn-CS"/>
        </w:rPr>
        <w:t>Elaborata iz</w:t>
      </w:r>
      <w:r w:rsidR="006C4730" w:rsidRPr="00DB12D9">
        <w:rPr>
          <w:rFonts w:ascii="Arial" w:hAnsi="Arial" w:cs="Arial"/>
          <w:sz w:val="24"/>
          <w:szCs w:val="24"/>
          <w:lang w:val="sr-Latn-CS"/>
        </w:rPr>
        <w:t xml:space="preserve"> 1982. godine </w:t>
      </w:r>
      <w:r w:rsidRPr="00DB12D9">
        <w:rPr>
          <w:rFonts w:ascii="Arial" w:hAnsi="Arial" w:cs="Arial"/>
          <w:sz w:val="24"/>
          <w:szCs w:val="24"/>
          <w:lang w:val="sr-Latn-CS"/>
        </w:rPr>
        <w:t>iznosile su  93.136.746 t</w:t>
      </w:r>
      <w:r w:rsidR="00DB12D9" w:rsidRPr="00DB12D9">
        <w:rPr>
          <w:rFonts w:ascii="Arial" w:hAnsi="Arial" w:cs="Arial"/>
          <w:sz w:val="24"/>
          <w:szCs w:val="24"/>
          <w:lang w:val="sr-Latn-CS"/>
        </w:rPr>
        <w:t>ona</w:t>
      </w:r>
      <w:r w:rsidRPr="00DB12D9">
        <w:rPr>
          <w:rFonts w:ascii="Arial" w:hAnsi="Arial" w:cs="Arial"/>
          <w:sz w:val="24"/>
          <w:szCs w:val="24"/>
          <w:lang w:val="sr-Latn-CS"/>
        </w:rPr>
        <w:t xml:space="preserve">,  </w:t>
      </w:r>
      <w:r w:rsidR="006C4730" w:rsidRPr="00DB12D9">
        <w:rPr>
          <w:rFonts w:ascii="Arial" w:hAnsi="Arial" w:cs="Arial"/>
          <w:sz w:val="24"/>
          <w:szCs w:val="24"/>
          <w:lang w:val="sr-Latn-CS"/>
        </w:rPr>
        <w:t xml:space="preserve">dok su </w:t>
      </w:r>
      <w:r w:rsidR="006C4730" w:rsidRPr="004D714E">
        <w:rPr>
          <w:rFonts w:ascii="Arial" w:hAnsi="Arial" w:cs="Arial"/>
          <w:sz w:val="24"/>
          <w:szCs w:val="24"/>
          <w:lang w:val="sr-Latn-CS"/>
        </w:rPr>
        <w:t>p</w:t>
      </w:r>
      <w:r w:rsidRPr="004D714E">
        <w:rPr>
          <w:rFonts w:ascii="Arial" w:hAnsi="Arial" w:cs="Arial"/>
          <w:sz w:val="24"/>
          <w:szCs w:val="24"/>
          <w:lang w:val="sr-Latn-CS"/>
        </w:rPr>
        <w:t>otencijalne rezerve</w:t>
      </w:r>
      <w:r w:rsidRPr="00DB12D9">
        <w:rPr>
          <w:rFonts w:ascii="Arial" w:hAnsi="Arial" w:cs="Arial"/>
          <w:sz w:val="24"/>
          <w:szCs w:val="24"/>
          <w:lang w:val="sr-Latn-CS"/>
        </w:rPr>
        <w:t xml:space="preserve"> </w:t>
      </w:r>
      <w:r w:rsidR="006C4730" w:rsidRPr="00DB12D9">
        <w:rPr>
          <w:rFonts w:ascii="Arial" w:hAnsi="Arial" w:cs="Arial"/>
          <w:sz w:val="24"/>
          <w:szCs w:val="24"/>
          <w:lang w:val="sr-Latn-CS"/>
        </w:rPr>
        <w:t>predstavljale C</w:t>
      </w:r>
      <w:r w:rsidR="006C4730" w:rsidRPr="00DB12D9">
        <w:rPr>
          <w:rFonts w:ascii="Arial" w:hAnsi="Arial" w:cs="Arial"/>
          <w:sz w:val="24"/>
          <w:szCs w:val="24"/>
          <w:vertAlign w:val="subscript"/>
          <w:lang w:val="sr-Latn-CS"/>
        </w:rPr>
        <w:t>2</w:t>
      </w:r>
      <w:r w:rsidR="006C4730" w:rsidRPr="00DB12D9">
        <w:rPr>
          <w:rFonts w:ascii="Arial" w:hAnsi="Arial" w:cs="Arial"/>
          <w:sz w:val="24"/>
          <w:szCs w:val="24"/>
          <w:lang w:val="sr-Latn-CS"/>
        </w:rPr>
        <w:t xml:space="preserve"> kategoriju rezervi – tj. sav preostali prostor u ležištu gdje su razvijeni paketi </w:t>
      </w:r>
      <w:r w:rsidR="006C4730" w:rsidRPr="00DB12D9">
        <w:rPr>
          <w:rFonts w:ascii="Arial" w:hAnsi="Arial" w:cs="Arial"/>
          <w:sz w:val="24"/>
          <w:szCs w:val="24"/>
          <w:vertAlign w:val="superscript"/>
          <w:lang w:val="sr-Latn-CS"/>
        </w:rPr>
        <w:t>6</w:t>
      </w:r>
      <w:r w:rsidR="006C4730" w:rsidRPr="00DB12D9">
        <w:rPr>
          <w:rFonts w:ascii="Arial" w:hAnsi="Arial" w:cs="Arial"/>
          <w:sz w:val="24"/>
          <w:szCs w:val="24"/>
          <w:lang w:val="sr-Latn-CS"/>
        </w:rPr>
        <w:t>M</w:t>
      </w:r>
      <w:r w:rsidR="006C4730" w:rsidRPr="00DB12D9">
        <w:rPr>
          <w:rFonts w:ascii="Arial" w:hAnsi="Arial" w:cs="Arial"/>
          <w:sz w:val="24"/>
          <w:szCs w:val="24"/>
          <w:vertAlign w:val="subscript"/>
          <w:lang w:val="sr-Latn-CS"/>
        </w:rPr>
        <w:t>2</w:t>
      </w:r>
      <w:r w:rsidR="006C4730" w:rsidRPr="00DB12D9">
        <w:rPr>
          <w:rFonts w:ascii="Arial" w:hAnsi="Arial" w:cs="Arial"/>
          <w:sz w:val="24"/>
          <w:szCs w:val="24"/>
          <w:lang w:val="sr-Latn-CS"/>
        </w:rPr>
        <w:t xml:space="preserve">, </w:t>
      </w:r>
      <w:r w:rsidR="006C4730" w:rsidRPr="00DB12D9">
        <w:rPr>
          <w:rFonts w:ascii="Arial" w:hAnsi="Arial" w:cs="Arial"/>
          <w:sz w:val="24"/>
          <w:szCs w:val="24"/>
          <w:vertAlign w:val="superscript"/>
          <w:lang w:val="sr-Latn-CS"/>
        </w:rPr>
        <w:t>7</w:t>
      </w:r>
      <w:r w:rsidR="006C4730" w:rsidRPr="00DB12D9">
        <w:rPr>
          <w:rFonts w:ascii="Arial" w:hAnsi="Arial" w:cs="Arial"/>
          <w:sz w:val="24"/>
          <w:szCs w:val="24"/>
          <w:lang w:val="sr-Latn-CS"/>
        </w:rPr>
        <w:t>M</w:t>
      </w:r>
      <w:r w:rsidR="006C4730" w:rsidRPr="00DB12D9">
        <w:rPr>
          <w:rFonts w:ascii="Arial" w:hAnsi="Arial" w:cs="Arial"/>
          <w:sz w:val="24"/>
          <w:szCs w:val="24"/>
          <w:vertAlign w:val="subscript"/>
          <w:lang w:val="sr-Latn-CS"/>
        </w:rPr>
        <w:t>2</w:t>
      </w:r>
      <w:r w:rsidR="006C4730" w:rsidRPr="00DB12D9">
        <w:rPr>
          <w:rFonts w:ascii="Arial" w:hAnsi="Arial" w:cs="Arial"/>
          <w:sz w:val="24"/>
          <w:szCs w:val="24"/>
          <w:lang w:val="sr-Latn-CS"/>
        </w:rPr>
        <w:t xml:space="preserve"> i </w:t>
      </w:r>
      <w:r w:rsidR="006C4730" w:rsidRPr="00DB12D9">
        <w:rPr>
          <w:rFonts w:ascii="Arial" w:hAnsi="Arial" w:cs="Arial"/>
          <w:sz w:val="24"/>
          <w:szCs w:val="24"/>
          <w:vertAlign w:val="superscript"/>
          <w:lang w:val="sr-Latn-CS"/>
        </w:rPr>
        <w:t>8</w:t>
      </w:r>
      <w:r w:rsidR="006C4730" w:rsidRPr="00DB12D9">
        <w:rPr>
          <w:rFonts w:ascii="Arial" w:hAnsi="Arial" w:cs="Arial"/>
          <w:sz w:val="24"/>
          <w:szCs w:val="24"/>
          <w:lang w:val="sr-Latn-CS"/>
        </w:rPr>
        <w:t>M</w:t>
      </w:r>
      <w:r w:rsidR="006C4730" w:rsidRPr="00DB12D9">
        <w:rPr>
          <w:rFonts w:ascii="Arial" w:hAnsi="Arial" w:cs="Arial"/>
          <w:sz w:val="24"/>
          <w:szCs w:val="24"/>
          <w:vertAlign w:val="subscript"/>
          <w:lang w:val="sr-Latn-CS"/>
        </w:rPr>
        <w:t>2</w:t>
      </w:r>
      <w:r w:rsidR="006C4730" w:rsidRPr="00DB12D9">
        <w:rPr>
          <w:rFonts w:ascii="Arial" w:hAnsi="Arial" w:cs="Arial"/>
          <w:sz w:val="24"/>
          <w:szCs w:val="24"/>
          <w:lang w:val="sr-Latn-CS"/>
        </w:rPr>
        <w:t xml:space="preserve"> prora</w:t>
      </w:r>
      <w:r w:rsidR="006C4730" w:rsidRPr="00DB12D9">
        <w:rPr>
          <w:rFonts w:ascii="Arial" w:hAnsi="Arial" w:cs="Arial"/>
          <w:sz w:val="24"/>
          <w:szCs w:val="24"/>
        </w:rPr>
        <w:t>č</w:t>
      </w:r>
      <w:r w:rsidR="006C4730" w:rsidRPr="00DB12D9">
        <w:rPr>
          <w:rFonts w:ascii="Arial" w:hAnsi="Arial" w:cs="Arial"/>
          <w:sz w:val="24"/>
          <w:szCs w:val="24"/>
          <w:lang w:val="sr-Latn-CS"/>
        </w:rPr>
        <w:t xml:space="preserve">unate na </w:t>
      </w:r>
      <w:r w:rsidRPr="00DB12D9">
        <w:rPr>
          <w:rFonts w:ascii="Arial" w:hAnsi="Arial" w:cs="Arial"/>
          <w:sz w:val="24"/>
          <w:szCs w:val="24"/>
          <w:lang w:val="sr-Latn-CS"/>
        </w:rPr>
        <w:t>2</w:t>
      </w:r>
      <w:r w:rsidR="006C4730" w:rsidRPr="00DB12D9">
        <w:rPr>
          <w:rFonts w:ascii="Arial" w:hAnsi="Arial" w:cs="Arial"/>
          <w:sz w:val="24"/>
          <w:szCs w:val="24"/>
          <w:lang w:val="sr-Latn-CS"/>
        </w:rPr>
        <w:t>27.830.500 t</w:t>
      </w:r>
      <w:r w:rsidR="00DB12D9" w:rsidRPr="00DB12D9">
        <w:rPr>
          <w:rFonts w:ascii="Arial" w:hAnsi="Arial" w:cs="Arial"/>
          <w:sz w:val="24"/>
          <w:szCs w:val="24"/>
          <w:lang w:val="sr-Latn-CS"/>
        </w:rPr>
        <w:t>ona</w:t>
      </w:r>
      <w:r w:rsidR="006C4730" w:rsidRPr="00DB12D9">
        <w:rPr>
          <w:rFonts w:ascii="Arial" w:hAnsi="Arial" w:cs="Arial"/>
          <w:sz w:val="24"/>
          <w:szCs w:val="24"/>
          <w:lang w:val="sr-Latn-CS"/>
        </w:rPr>
        <w:t xml:space="preserve"> .</w:t>
      </w:r>
    </w:p>
    <w:p w:rsidR="006C4730" w:rsidRPr="00DB12D9" w:rsidRDefault="006C4730" w:rsidP="00DB12D9">
      <w:pPr>
        <w:spacing w:after="0"/>
        <w:jc w:val="both"/>
        <w:rPr>
          <w:rFonts w:ascii="Arial" w:hAnsi="Arial" w:cs="Arial"/>
          <w:sz w:val="24"/>
          <w:szCs w:val="24"/>
          <w:lang w:val="sr-Latn-CS"/>
        </w:rPr>
      </w:pPr>
    </w:p>
    <w:p w:rsidR="00021F15" w:rsidRPr="00DB12D9" w:rsidRDefault="00021F15" w:rsidP="00DB12D9">
      <w:pPr>
        <w:spacing w:after="0"/>
        <w:jc w:val="both"/>
        <w:rPr>
          <w:rFonts w:ascii="Arial" w:hAnsi="Arial" w:cs="Arial"/>
          <w:sz w:val="24"/>
          <w:szCs w:val="24"/>
          <w:lang w:val="sr-Latn-CS"/>
        </w:rPr>
      </w:pPr>
      <w:r w:rsidRPr="00DB12D9">
        <w:rPr>
          <w:rFonts w:ascii="Arial" w:hAnsi="Arial" w:cs="Arial"/>
          <w:sz w:val="24"/>
          <w:szCs w:val="24"/>
          <w:lang w:val="sr-Latn-CS"/>
        </w:rPr>
        <w:t>Od početka 90-tih godina pro</w:t>
      </w:r>
      <w:r w:rsidRPr="00DB12D9">
        <w:rPr>
          <w:rFonts w:ascii="Arial" w:hAnsi="Arial" w:cs="Arial"/>
          <w:sz w:val="24"/>
          <w:szCs w:val="24"/>
        </w:rPr>
        <w:t xml:space="preserve">šlog vijeka do 2017. godine značajne količine laporca sa </w:t>
      </w:r>
      <w:r w:rsidRPr="00DB12D9">
        <w:rPr>
          <w:rFonts w:ascii="Arial" w:hAnsi="Arial" w:cs="Arial"/>
          <w:sz w:val="24"/>
          <w:szCs w:val="24"/>
          <w:lang w:val="sr-Latn-CS"/>
        </w:rPr>
        <w:t>površinskog kopa „Potrlica“ pljevaljskog ugljonosnog basena odlagane su na spoljašnje odlagalište „Jagnjilo“. Na odlagalištu „Jagnjilo“ ukupno je odloženo  oko 80.000.000 t</w:t>
      </w:r>
      <w:r w:rsidR="00DB12D9" w:rsidRPr="00DB12D9">
        <w:rPr>
          <w:rFonts w:ascii="Arial" w:hAnsi="Arial" w:cs="Arial"/>
          <w:sz w:val="24"/>
          <w:szCs w:val="24"/>
          <w:lang w:val="sr-Latn-CS"/>
        </w:rPr>
        <w:t>ona</w:t>
      </w:r>
      <w:r w:rsidRPr="00DB12D9">
        <w:rPr>
          <w:rFonts w:ascii="Arial" w:hAnsi="Arial" w:cs="Arial"/>
          <w:sz w:val="24"/>
          <w:szCs w:val="24"/>
          <w:lang w:val="sr-Latn-CS"/>
        </w:rPr>
        <w:t xml:space="preserve"> laporca koje danas predstavlja značajno tehnogeno ležište za proizvodnju cementa.</w:t>
      </w:r>
    </w:p>
    <w:p w:rsidR="00021F15" w:rsidRPr="00DB12D9" w:rsidRDefault="00021F15" w:rsidP="00DB12D9">
      <w:pPr>
        <w:spacing w:after="0"/>
        <w:jc w:val="both"/>
        <w:rPr>
          <w:rFonts w:ascii="Arial" w:hAnsi="Arial" w:cs="Arial"/>
          <w:sz w:val="24"/>
          <w:szCs w:val="24"/>
          <w:lang w:val="sr-Latn-CS"/>
        </w:rPr>
      </w:pPr>
    </w:p>
    <w:p w:rsidR="00021F15" w:rsidRDefault="00021F15" w:rsidP="00DB12D9">
      <w:pPr>
        <w:spacing w:after="0"/>
        <w:jc w:val="both"/>
        <w:rPr>
          <w:rFonts w:ascii="Arial" w:hAnsi="Arial" w:cs="Arial"/>
          <w:sz w:val="24"/>
          <w:szCs w:val="24"/>
          <w:lang w:val="sr-Latn-CS"/>
        </w:rPr>
      </w:pPr>
      <w:r w:rsidRPr="00DB12D9">
        <w:rPr>
          <w:rFonts w:ascii="Arial" w:hAnsi="Arial" w:cs="Arial"/>
          <w:sz w:val="24"/>
          <w:szCs w:val="24"/>
          <w:lang w:val="sr-Latn-CS"/>
        </w:rPr>
        <w:t>Ležište cementnog laporca, heterogenog sastava, dokazano je i u lokalnosti Gradina kod Spuža, sa rezervama od oko 30 miliona tona, kao i u Donjoj Klezni kod Ulcinja gdje su procijenjene rezerve preko 20 miliona tona.</w:t>
      </w:r>
    </w:p>
    <w:p w:rsidR="003569DD" w:rsidRDefault="003569DD" w:rsidP="00DB12D9">
      <w:pPr>
        <w:spacing w:after="0"/>
        <w:jc w:val="both"/>
        <w:rPr>
          <w:rFonts w:ascii="Arial" w:hAnsi="Arial" w:cs="Arial"/>
          <w:sz w:val="24"/>
          <w:szCs w:val="24"/>
          <w:lang w:val="sr-Latn-CS"/>
        </w:rPr>
      </w:pPr>
    </w:p>
    <w:p w:rsidR="003569DD" w:rsidRDefault="003569DD" w:rsidP="00DB12D9">
      <w:pPr>
        <w:spacing w:after="0"/>
        <w:jc w:val="both"/>
        <w:rPr>
          <w:rFonts w:ascii="Arial" w:hAnsi="Arial" w:cs="Arial"/>
          <w:sz w:val="24"/>
          <w:szCs w:val="24"/>
          <w:lang w:val="sr-Latn-CS"/>
        </w:rPr>
      </w:pPr>
    </w:p>
    <w:p w:rsidR="003569DD" w:rsidRPr="00DB12D9" w:rsidRDefault="003569DD" w:rsidP="00DB12D9">
      <w:pPr>
        <w:spacing w:after="0"/>
        <w:jc w:val="both"/>
        <w:rPr>
          <w:rFonts w:ascii="Arial" w:hAnsi="Arial" w:cs="Arial"/>
          <w:sz w:val="24"/>
          <w:szCs w:val="24"/>
          <w:lang w:val="sr-Latn-CS"/>
        </w:rPr>
      </w:pPr>
    </w:p>
    <w:p w:rsidR="003569DD" w:rsidRPr="00722DF4" w:rsidRDefault="003569DD" w:rsidP="00722DF4">
      <w:pPr>
        <w:autoSpaceDE w:val="0"/>
        <w:autoSpaceDN w:val="0"/>
        <w:adjustRightInd w:val="0"/>
        <w:spacing w:after="0"/>
        <w:jc w:val="both"/>
        <w:rPr>
          <w:rFonts w:ascii="Arial" w:hAnsi="Arial" w:cs="Arial"/>
          <w:sz w:val="24"/>
          <w:szCs w:val="24"/>
        </w:rPr>
      </w:pPr>
    </w:p>
    <w:p w:rsidR="001B3B6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lastRenderedPageBreak/>
        <w:t>Bijeli boksiti</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Bijeli boksiti su rijetka mineralna sirovina, koji se, osim u Crnoj Gori javljaju u Francuskoj i Kini. U njihovom sastavu miješaju se minerali glina (najviše kaolinit), sa hidroksidima aluminijuma (bemit, rijetko hidrargilit) i gvožđem (hematit, getit).</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Crnoj Gori je otkriveno preko 100 nalazišta (ležišta i p</w:t>
      </w:r>
      <w:r w:rsidR="002265EF">
        <w:rPr>
          <w:rFonts w:ascii="Arial" w:hAnsi="Arial" w:cs="Arial"/>
          <w:sz w:val="24"/>
          <w:szCs w:val="24"/>
        </w:rPr>
        <w:t>ojava) ove mineralnesirovine u z</w:t>
      </w:r>
      <w:r w:rsidRPr="00722DF4">
        <w:rPr>
          <w:rFonts w:ascii="Arial" w:hAnsi="Arial" w:cs="Arial"/>
          <w:sz w:val="24"/>
          <w:szCs w:val="24"/>
        </w:rPr>
        <w:t>apadnoj Crnoj Gori, na prostoru površine od oko 1.000 km</w:t>
      </w:r>
      <w:r w:rsidRPr="00722DF4">
        <w:rPr>
          <w:rFonts w:ascii="Arial" w:hAnsi="Arial" w:cs="Arial"/>
          <w:sz w:val="24"/>
          <w:szCs w:val="24"/>
          <w:vertAlign w:val="superscript"/>
        </w:rPr>
        <w:t>2</w:t>
      </w:r>
      <w:r w:rsidRPr="00722DF4">
        <w:rPr>
          <w:rFonts w:ascii="Arial" w:hAnsi="Arial" w:cs="Arial"/>
          <w:sz w:val="24"/>
          <w:szCs w:val="24"/>
        </w:rPr>
        <w:t xml:space="preserve"> – između Nikšića, Čeva, Dragalja, rijeke Trebišnjice i planine Golije.</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Ovjerene geološke rezerve bijelih boksita u području Bijelih Poljana (ležišta: Ravna Al</w:t>
      </w:r>
      <w:r w:rsidR="004D3CC9">
        <w:rPr>
          <w:rFonts w:ascii="Arial" w:hAnsi="Arial" w:cs="Arial"/>
          <w:sz w:val="24"/>
          <w:szCs w:val="24"/>
        </w:rPr>
        <w:t>`</w:t>
      </w:r>
      <w:r w:rsidRPr="00722DF4">
        <w:rPr>
          <w:rFonts w:ascii="Arial" w:hAnsi="Arial" w:cs="Arial"/>
          <w:sz w:val="24"/>
          <w:szCs w:val="24"/>
        </w:rPr>
        <w:t>uga, Trebovinjski pod i Lazine) krajem 2005. godine iznosile su: 1.729.000 t</w:t>
      </w:r>
      <w:r w:rsidR="00B305F9" w:rsidRPr="00722DF4">
        <w:rPr>
          <w:rFonts w:ascii="Arial" w:hAnsi="Arial" w:cs="Arial"/>
          <w:sz w:val="24"/>
          <w:szCs w:val="24"/>
        </w:rPr>
        <w:t>ona</w:t>
      </w:r>
      <w:r w:rsidRPr="00722DF4">
        <w:rPr>
          <w:rFonts w:ascii="Arial" w:hAnsi="Arial" w:cs="Arial"/>
          <w:sz w:val="24"/>
          <w:szCs w:val="24"/>
        </w:rPr>
        <w:t>, od kojih su rezerve najkvalitetnijeg varijeteta označenog kao “bijeli boksit” činile svega 133.500 t</w:t>
      </w:r>
      <w:r w:rsidR="00B305F9" w:rsidRPr="00722DF4">
        <w:rPr>
          <w:rFonts w:ascii="Arial" w:hAnsi="Arial" w:cs="Arial"/>
          <w:sz w:val="24"/>
          <w:szCs w:val="24"/>
        </w:rPr>
        <w:t>ona</w:t>
      </w:r>
      <w:r w:rsidRPr="00722DF4">
        <w:rPr>
          <w:rFonts w:ascii="Arial" w:hAnsi="Arial" w:cs="Arial"/>
          <w:sz w:val="24"/>
          <w:szCs w:val="24"/>
        </w:rPr>
        <w:t>, ili oko 8% od ukupno dokazanih. U području Trubjele istraživana su četiri ležišta: Kruščica – Ranjeva vlaka, Srni do, Gradac i Plitki do u kojima su dokazane rezerve od 3,9 miliona tona rude u kojoj preovlađuje bijeli g</w:t>
      </w:r>
      <w:r w:rsidR="002265EF">
        <w:rPr>
          <w:rFonts w:ascii="Arial" w:hAnsi="Arial" w:cs="Arial"/>
          <w:sz w:val="24"/>
          <w:szCs w:val="24"/>
        </w:rPr>
        <w:t>vožđeviti boksit, sa oko 45% Al</w:t>
      </w:r>
      <w:r w:rsidR="002265EF">
        <w:rPr>
          <w:rFonts w:ascii="Arial" w:hAnsi="Arial" w:cs="Arial"/>
          <w:sz w:val="24"/>
          <w:szCs w:val="24"/>
          <w:vertAlign w:val="subscript"/>
        </w:rPr>
        <w:t>2</w:t>
      </w:r>
      <w:r w:rsidR="002265EF">
        <w:rPr>
          <w:rFonts w:ascii="Arial" w:hAnsi="Arial" w:cs="Arial"/>
          <w:sz w:val="24"/>
          <w:szCs w:val="24"/>
        </w:rPr>
        <w:t>O</w:t>
      </w:r>
      <w:r w:rsidR="002265EF">
        <w:rPr>
          <w:rFonts w:ascii="Arial" w:hAnsi="Arial" w:cs="Arial"/>
          <w:sz w:val="24"/>
          <w:szCs w:val="24"/>
          <w:vertAlign w:val="subscript"/>
        </w:rPr>
        <w:t>3</w:t>
      </w:r>
      <w:r w:rsidR="002265EF">
        <w:rPr>
          <w:rFonts w:ascii="Arial" w:hAnsi="Arial" w:cs="Arial"/>
          <w:sz w:val="24"/>
          <w:szCs w:val="24"/>
        </w:rPr>
        <w:t>, 26% SiO</w:t>
      </w:r>
      <w:r w:rsidR="002265EF">
        <w:rPr>
          <w:rFonts w:ascii="Arial" w:hAnsi="Arial" w:cs="Arial"/>
          <w:sz w:val="24"/>
          <w:szCs w:val="24"/>
          <w:vertAlign w:val="subscript"/>
        </w:rPr>
        <w:t>2</w:t>
      </w:r>
      <w:r w:rsidR="002265EF">
        <w:rPr>
          <w:rFonts w:ascii="Arial" w:hAnsi="Arial" w:cs="Arial"/>
          <w:sz w:val="24"/>
          <w:szCs w:val="24"/>
        </w:rPr>
        <w:t xml:space="preserve"> i 13% Fe</w:t>
      </w:r>
      <w:r w:rsidR="002265EF">
        <w:rPr>
          <w:rFonts w:ascii="Arial" w:hAnsi="Arial" w:cs="Arial"/>
          <w:sz w:val="24"/>
          <w:szCs w:val="24"/>
          <w:vertAlign w:val="subscript"/>
        </w:rPr>
        <w:t>2</w:t>
      </w:r>
      <w:r w:rsidR="002265EF">
        <w:rPr>
          <w:rFonts w:ascii="Arial" w:hAnsi="Arial" w:cs="Arial"/>
          <w:sz w:val="24"/>
          <w:szCs w:val="24"/>
        </w:rPr>
        <w:t>O</w:t>
      </w:r>
      <w:r w:rsidR="002265EF">
        <w:rPr>
          <w:rFonts w:ascii="Arial" w:hAnsi="Arial" w:cs="Arial"/>
          <w:sz w:val="24"/>
          <w:szCs w:val="24"/>
          <w:vertAlign w:val="subscript"/>
        </w:rPr>
        <w:t>3</w:t>
      </w:r>
      <w:r w:rsidRPr="00722DF4">
        <w:rPr>
          <w:rFonts w:ascii="Arial" w:hAnsi="Arial" w:cs="Arial"/>
          <w:sz w:val="24"/>
          <w:szCs w:val="24"/>
        </w:rPr>
        <w:t>.</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Perspektivne rezerve bijelih boksita u čitavom regionu cijene se od 10 do 30 miliona tona. Do 2005. godine ukupno je otkopano oko 330.000 t</w:t>
      </w:r>
      <w:r w:rsidR="00B305F9" w:rsidRPr="00722DF4">
        <w:rPr>
          <w:rFonts w:ascii="Arial" w:hAnsi="Arial" w:cs="Arial"/>
          <w:sz w:val="24"/>
          <w:szCs w:val="24"/>
        </w:rPr>
        <w:t>ona</w:t>
      </w:r>
      <w:r w:rsidRPr="00722DF4">
        <w:rPr>
          <w:rFonts w:ascii="Arial" w:hAnsi="Arial" w:cs="Arial"/>
          <w:sz w:val="24"/>
          <w:szCs w:val="24"/>
        </w:rPr>
        <w:t xml:space="preserve"> pretežno bijelog varijeteta iz ove mineralne sirovine.</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Barit</w:t>
      </w:r>
    </w:p>
    <w:p w:rsidR="00C75CAD" w:rsidRPr="00722DF4" w:rsidRDefault="00C75CAD" w:rsidP="00C75CAD">
      <w:pPr>
        <w:autoSpaceDE w:val="0"/>
        <w:autoSpaceDN w:val="0"/>
        <w:adjustRightInd w:val="0"/>
        <w:spacing w:after="0"/>
        <w:jc w:val="both"/>
        <w:rPr>
          <w:rFonts w:ascii="Arial" w:hAnsi="Arial" w:cs="Arial"/>
          <w:b/>
          <w:bCs/>
          <w:sz w:val="24"/>
          <w:szCs w:val="24"/>
        </w:rPr>
      </w:pPr>
    </w:p>
    <w:p w:rsidR="001B3B6D" w:rsidRPr="00722DF4"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Nalazišta barita su koncentrisana u rudnom rejonu Kovač planine, na krajnjem sjeverozapadu Crne Gore, na prostoru Potkovača, Plakala, Plani i Arslanovine.</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Baritna tijela različitog oblika i veličine pronađena su u donjotrijaskim klastičnim stijenama. Ukupne dokazane rezerve rude barita iznose oko 400.000 t</w:t>
      </w:r>
      <w:r w:rsidR="00B305F9" w:rsidRPr="00722DF4">
        <w:rPr>
          <w:rFonts w:ascii="Arial" w:hAnsi="Arial" w:cs="Arial"/>
          <w:sz w:val="24"/>
          <w:szCs w:val="24"/>
        </w:rPr>
        <w:t>ona</w:t>
      </w:r>
      <w:r w:rsidR="00CE297F">
        <w:rPr>
          <w:rFonts w:ascii="Arial" w:hAnsi="Arial" w:cs="Arial"/>
          <w:sz w:val="24"/>
          <w:szCs w:val="24"/>
        </w:rPr>
        <w:t>, sa srednjim sadržajem BaSO</w:t>
      </w:r>
      <w:r w:rsidR="00CE297F">
        <w:rPr>
          <w:rFonts w:ascii="Arial" w:hAnsi="Arial" w:cs="Arial"/>
          <w:sz w:val="24"/>
          <w:szCs w:val="24"/>
          <w:vertAlign w:val="subscript"/>
        </w:rPr>
        <w:t>4</w:t>
      </w:r>
      <w:r w:rsidRPr="00722DF4">
        <w:rPr>
          <w:rFonts w:ascii="Arial" w:hAnsi="Arial" w:cs="Arial"/>
          <w:sz w:val="24"/>
          <w:szCs w:val="24"/>
        </w:rPr>
        <w:t xml:space="preserve"> od 38 do 56%.</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Bentonit</w:t>
      </w:r>
    </w:p>
    <w:p w:rsidR="00C75CAD" w:rsidRPr="00722DF4" w:rsidRDefault="00C75CAD" w:rsidP="00C75CAD">
      <w:pPr>
        <w:autoSpaceDE w:val="0"/>
        <w:autoSpaceDN w:val="0"/>
        <w:adjustRightInd w:val="0"/>
        <w:spacing w:after="0"/>
        <w:jc w:val="both"/>
        <w:rPr>
          <w:rFonts w:ascii="Arial" w:hAnsi="Arial" w:cs="Arial"/>
          <w:b/>
          <w:bCs/>
          <w:sz w:val="24"/>
          <w:szCs w:val="24"/>
        </w:rPr>
      </w:pPr>
    </w:p>
    <w:p w:rsidR="00C75CAD" w:rsidRDefault="003569DD" w:rsidP="00722DF4">
      <w:pPr>
        <w:autoSpaceDE w:val="0"/>
        <w:autoSpaceDN w:val="0"/>
        <w:adjustRightInd w:val="0"/>
        <w:spacing w:after="0"/>
        <w:jc w:val="both"/>
        <w:rPr>
          <w:rFonts w:ascii="Arial" w:hAnsi="Arial" w:cs="Arial"/>
          <w:sz w:val="24"/>
          <w:szCs w:val="24"/>
        </w:rPr>
      </w:pPr>
      <w:r w:rsidRPr="003569DD">
        <w:rPr>
          <w:rFonts w:ascii="Arial" w:hAnsi="Arial" w:cs="Arial"/>
          <w:sz w:val="24"/>
          <w:szCs w:val="24"/>
        </w:rPr>
        <w:t>Najznačajnija nalazišta bentonita otkrivena su u primorskom dijelu Crne Gore, lokalnost Bijelo polje iznad Petrovca n/m, a u središnjem dijelu Crne Gore, u Donjoj Bukovici kod Šavnika. U ležištu “Bijelo Polje” dokazane su geološke rezerve od 1,7 miliona tona i procijenjene perspektivne rezerve od 1,4 miliona tona bentonita. U blizini pomenutog ležišta nalazi se i ležište „Bijela šuma“ u kome se perspektivne rezerve C2 kategorije procjenjuju na 1.430.000 t (Manojlović,1997.) U Donjoj Bukovici dokazano je 730.000 t ove mineralne sirovine. Perspektivne rezerve bentonita trebalo bi istražiti na potezu Timar-Bare, (kod Boana).</w:t>
      </w:r>
    </w:p>
    <w:p w:rsidR="003569DD" w:rsidRDefault="003569DD" w:rsidP="00722DF4">
      <w:pPr>
        <w:autoSpaceDE w:val="0"/>
        <w:autoSpaceDN w:val="0"/>
        <w:adjustRightInd w:val="0"/>
        <w:spacing w:after="0"/>
        <w:jc w:val="both"/>
        <w:rPr>
          <w:rFonts w:ascii="Arial" w:hAnsi="Arial" w:cs="Arial"/>
          <w:sz w:val="24"/>
          <w:szCs w:val="24"/>
        </w:rPr>
      </w:pPr>
    </w:p>
    <w:p w:rsidR="003569DD" w:rsidRDefault="003569DD" w:rsidP="00722DF4">
      <w:pPr>
        <w:autoSpaceDE w:val="0"/>
        <w:autoSpaceDN w:val="0"/>
        <w:adjustRightInd w:val="0"/>
        <w:spacing w:after="0"/>
        <w:jc w:val="both"/>
        <w:rPr>
          <w:rFonts w:ascii="Arial" w:hAnsi="Arial" w:cs="Arial"/>
          <w:sz w:val="24"/>
          <w:szCs w:val="24"/>
        </w:rPr>
      </w:pPr>
    </w:p>
    <w:p w:rsidR="003569DD" w:rsidRPr="00722DF4" w:rsidRDefault="003569DD" w:rsidP="00722DF4">
      <w:pPr>
        <w:autoSpaceDE w:val="0"/>
        <w:autoSpaceDN w:val="0"/>
        <w:adjustRightInd w:val="0"/>
        <w:spacing w:after="0"/>
        <w:jc w:val="both"/>
        <w:rPr>
          <w:rFonts w:ascii="Arial" w:hAnsi="Arial" w:cs="Arial"/>
          <w:sz w:val="24"/>
          <w:szCs w:val="24"/>
        </w:rPr>
      </w:pPr>
    </w:p>
    <w:p w:rsidR="001B3B6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lastRenderedPageBreak/>
        <w:t>Kvarcni pijesak</w:t>
      </w:r>
    </w:p>
    <w:p w:rsidR="00C75CAD" w:rsidRPr="00722DF4" w:rsidRDefault="00C75CAD" w:rsidP="00C75CAD">
      <w:pPr>
        <w:autoSpaceDE w:val="0"/>
        <w:autoSpaceDN w:val="0"/>
        <w:adjustRightInd w:val="0"/>
        <w:spacing w:after="0"/>
        <w:jc w:val="both"/>
        <w:rPr>
          <w:rFonts w:ascii="Arial" w:hAnsi="Arial" w:cs="Arial"/>
          <w:b/>
          <w:bCs/>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 prostoru Crne Gore ležišta kvarcnih pjeskova su jedino otkrivena u miocenskim sedimentima okoline Ulcinja (lokalnosti: Zoganje, Škaret i Zekova šuma).</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Pr="00722DF4"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Perspektivne rezerve ove mineralne sirovine su procijenjene na oko 7 miliona tona, sa relativno niskim sadržajem silicije – od 70 do 77%. Do sada nije eksploatisan kvarcni pijesak iz ovih ležišta. Poslednjih decenija prostor ovih ležišta u okolini Ulcinja je praktično urbanizovan (izgrađena su nova naselja), tako da je mogućnost valorizacije ove mineralne sirovine dovedena u pitanje.</w:t>
      </w:r>
    </w:p>
    <w:p w:rsidR="00CE297F" w:rsidRDefault="00CE297F" w:rsidP="00C75CAD">
      <w:pPr>
        <w:autoSpaceDE w:val="0"/>
        <w:autoSpaceDN w:val="0"/>
        <w:adjustRightInd w:val="0"/>
        <w:spacing w:after="0"/>
        <w:jc w:val="both"/>
        <w:rPr>
          <w:rFonts w:ascii="Arial" w:hAnsi="Arial" w:cs="Arial"/>
          <w:b/>
          <w:bCs/>
          <w:sz w:val="24"/>
          <w:szCs w:val="24"/>
        </w:rPr>
      </w:pPr>
    </w:p>
    <w:p w:rsidR="001B3B6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Rožnaci</w:t>
      </w:r>
    </w:p>
    <w:p w:rsidR="00C75CAD" w:rsidRPr="00722DF4" w:rsidRDefault="00C75CAD" w:rsidP="00C75CAD">
      <w:pPr>
        <w:autoSpaceDE w:val="0"/>
        <w:autoSpaceDN w:val="0"/>
        <w:adjustRightInd w:val="0"/>
        <w:spacing w:after="0"/>
        <w:jc w:val="both"/>
        <w:rPr>
          <w:rFonts w:ascii="Arial" w:hAnsi="Arial" w:cs="Arial"/>
          <w:b/>
          <w:bCs/>
          <w:sz w:val="24"/>
          <w:szCs w:val="24"/>
        </w:rPr>
      </w:pPr>
    </w:p>
    <w:p w:rsidR="001B3B6D" w:rsidRPr="00722DF4"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sz w:val="24"/>
          <w:szCs w:val="24"/>
        </w:rPr>
        <w:t xml:space="preserve">Na sjevernoj padini brda Vrmac, nalazi se ležište rožnaca, pod nazivom </w:t>
      </w:r>
      <w:r w:rsidRPr="00CE297F">
        <w:rPr>
          <w:rFonts w:ascii="Arial" w:hAnsi="Arial" w:cs="Arial"/>
          <w:bCs/>
          <w:sz w:val="24"/>
          <w:szCs w:val="24"/>
        </w:rPr>
        <w:t>Vrdola,</w:t>
      </w:r>
      <w:r w:rsidRPr="00722DF4">
        <w:rPr>
          <w:rFonts w:ascii="Arial" w:hAnsi="Arial" w:cs="Arial"/>
          <w:b/>
          <w:bCs/>
          <w:sz w:val="24"/>
          <w:szCs w:val="24"/>
        </w:rPr>
        <w:t xml:space="preserve"> </w:t>
      </w:r>
      <w:r w:rsidRPr="00722DF4">
        <w:rPr>
          <w:rFonts w:ascii="Arial" w:hAnsi="Arial" w:cs="Arial"/>
          <w:sz w:val="24"/>
          <w:szCs w:val="24"/>
        </w:rPr>
        <w:t>udaljeno oko 3 km prema sjeveroistoku od Tivta. Izgrađeno je od pločastih i</w:t>
      </w:r>
      <w:r w:rsidRPr="00722DF4">
        <w:rPr>
          <w:rFonts w:ascii="Arial" w:hAnsi="Arial" w:cs="Arial"/>
          <w:b/>
          <w:bCs/>
          <w:sz w:val="24"/>
          <w:szCs w:val="24"/>
        </w:rPr>
        <w:t xml:space="preserve"> </w:t>
      </w:r>
      <w:r w:rsidRPr="00722DF4">
        <w:rPr>
          <w:rFonts w:ascii="Arial" w:hAnsi="Arial" w:cs="Arial"/>
          <w:sz w:val="24"/>
          <w:szCs w:val="24"/>
        </w:rPr>
        <w:t>tankoslojevitih jursko-krednih rožnaca, silicioznih glinaca, silifikovanih krečnjaka,</w:t>
      </w:r>
      <w:r w:rsidRPr="00722DF4">
        <w:rPr>
          <w:rFonts w:ascii="Arial" w:hAnsi="Arial" w:cs="Arial"/>
          <w:b/>
          <w:bCs/>
          <w:sz w:val="24"/>
          <w:szCs w:val="24"/>
        </w:rPr>
        <w:t xml:space="preserve"> </w:t>
      </w:r>
      <w:r w:rsidRPr="00722DF4">
        <w:rPr>
          <w:rFonts w:ascii="Arial" w:hAnsi="Arial" w:cs="Arial"/>
          <w:sz w:val="24"/>
          <w:szCs w:val="24"/>
        </w:rPr>
        <w:t>kalkarenita i dr. Istraživanjima u toku 1992</w:t>
      </w:r>
      <w:r w:rsidR="00B305F9" w:rsidRPr="00722DF4">
        <w:rPr>
          <w:rFonts w:ascii="Arial" w:hAnsi="Arial" w:cs="Arial"/>
          <w:sz w:val="24"/>
          <w:szCs w:val="24"/>
        </w:rPr>
        <w:t>.</w:t>
      </w:r>
      <w:r w:rsidRPr="00722DF4">
        <w:rPr>
          <w:rFonts w:ascii="Arial" w:hAnsi="Arial" w:cs="Arial"/>
          <w:sz w:val="24"/>
          <w:szCs w:val="24"/>
        </w:rPr>
        <w:t xml:space="preserve"> godine proračunate su rezerve rožnaca,</w:t>
      </w:r>
      <w:r w:rsidRPr="00722DF4">
        <w:rPr>
          <w:rFonts w:ascii="Arial" w:hAnsi="Arial" w:cs="Arial"/>
          <w:b/>
          <w:bCs/>
          <w:sz w:val="24"/>
          <w:szCs w:val="24"/>
        </w:rPr>
        <w:t xml:space="preserve"> </w:t>
      </w:r>
      <w:r w:rsidRPr="00722DF4">
        <w:rPr>
          <w:rFonts w:ascii="Arial" w:hAnsi="Arial" w:cs="Arial"/>
          <w:sz w:val="24"/>
          <w:szCs w:val="24"/>
        </w:rPr>
        <w:t>C1 kategorije, u iznosu od 1.210.000 t</w:t>
      </w:r>
      <w:r w:rsidR="00B305F9" w:rsidRPr="00722DF4">
        <w:rPr>
          <w:rFonts w:ascii="Arial" w:hAnsi="Arial" w:cs="Arial"/>
          <w:sz w:val="24"/>
          <w:szCs w:val="24"/>
        </w:rPr>
        <w:t>ona</w:t>
      </w:r>
      <w:r w:rsidR="00CE297F">
        <w:rPr>
          <w:rFonts w:ascii="Arial" w:hAnsi="Arial" w:cs="Arial"/>
          <w:sz w:val="24"/>
          <w:szCs w:val="24"/>
        </w:rPr>
        <w:t>, sa srednjim sadržajem SiO</w:t>
      </w:r>
      <w:r w:rsidR="00CE297F">
        <w:rPr>
          <w:rFonts w:ascii="Arial" w:hAnsi="Arial" w:cs="Arial"/>
          <w:sz w:val="24"/>
          <w:szCs w:val="24"/>
          <w:vertAlign w:val="subscript"/>
        </w:rPr>
        <w:t>2</w:t>
      </w:r>
      <w:r w:rsidRPr="00722DF4">
        <w:rPr>
          <w:rFonts w:ascii="Arial" w:hAnsi="Arial" w:cs="Arial"/>
          <w:sz w:val="24"/>
          <w:szCs w:val="24"/>
        </w:rPr>
        <w:t xml:space="preserve"> od 88,96%.</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Nepovoljna okolnost za valorizaciju rožnaca je njegov položaj na Brdu Vrmac, koje je u zoni zaštite prirodnih resursa.</w:t>
      </w:r>
    </w:p>
    <w:p w:rsidR="00C75CAD" w:rsidRPr="00722DF4" w:rsidRDefault="00C75CAD" w:rsidP="00722DF4">
      <w:pPr>
        <w:autoSpaceDE w:val="0"/>
        <w:autoSpaceDN w:val="0"/>
        <w:adjustRightInd w:val="0"/>
        <w:spacing w:after="0"/>
        <w:jc w:val="both"/>
        <w:rPr>
          <w:rFonts w:ascii="Arial" w:hAnsi="Arial" w:cs="Arial"/>
          <w:sz w:val="24"/>
          <w:szCs w:val="24"/>
        </w:rPr>
      </w:pPr>
    </w:p>
    <w:p w:rsidR="001B3B6D" w:rsidRDefault="001B3B6D" w:rsidP="00C75CAD">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Morska so</w:t>
      </w:r>
    </w:p>
    <w:p w:rsidR="00C75CAD" w:rsidRPr="00722DF4" w:rsidRDefault="00C75CAD" w:rsidP="00C75CAD">
      <w:pPr>
        <w:autoSpaceDE w:val="0"/>
        <w:autoSpaceDN w:val="0"/>
        <w:adjustRightInd w:val="0"/>
        <w:spacing w:after="0"/>
        <w:jc w:val="both"/>
        <w:rPr>
          <w:rFonts w:ascii="Arial" w:hAnsi="Arial" w:cs="Arial"/>
          <w:b/>
          <w:bCs/>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Proizvodnja soli iz morske vode u Crnoj Gori vrši se u solani “Bajo Sekulić” u Ulcinju. Morska voda sadrži različita rastvorena jedinjenja od koje se dobija morska so, NaCl, jedinjenje sastavljeno od gasovitog hlorida (60%) i metala natrijuma (40%).</w:t>
      </w:r>
    </w:p>
    <w:p w:rsidR="003552AB" w:rsidRPr="00722DF4" w:rsidRDefault="003552AB"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Proizvodnja se odvija prirodnim (solarnim) i industrijskim (termokompresionim) uparavanjem. Prirodna so sadrži 92 do 95% NaCl, a industrijska oko 97% NaCl. Do kraja 2000. godine solana u Ulcinju je proizvela 1,355 miliona tona soli.</w:t>
      </w:r>
    </w:p>
    <w:p w:rsidR="00C75CAD" w:rsidRDefault="00C75CAD" w:rsidP="00722DF4">
      <w:pPr>
        <w:autoSpaceDE w:val="0"/>
        <w:autoSpaceDN w:val="0"/>
        <w:adjustRightInd w:val="0"/>
        <w:spacing w:after="0"/>
        <w:jc w:val="both"/>
        <w:rPr>
          <w:rFonts w:ascii="Arial" w:hAnsi="Arial" w:cs="Arial"/>
          <w:sz w:val="24"/>
          <w:szCs w:val="24"/>
        </w:rPr>
      </w:pPr>
    </w:p>
    <w:p w:rsidR="00A87709" w:rsidRPr="00DB12D9" w:rsidRDefault="00A87709" w:rsidP="00DB12D9">
      <w:pPr>
        <w:spacing w:after="0"/>
        <w:jc w:val="both"/>
        <w:rPr>
          <w:rFonts w:ascii="Arial" w:hAnsi="Arial" w:cs="Arial"/>
          <w:b/>
          <w:sz w:val="24"/>
          <w:szCs w:val="24"/>
          <w:lang w:val="sr-Latn-CS"/>
        </w:rPr>
      </w:pPr>
      <w:r w:rsidRPr="00DB12D9">
        <w:rPr>
          <w:rFonts w:ascii="Arial" w:hAnsi="Arial" w:cs="Arial"/>
          <w:b/>
          <w:sz w:val="24"/>
          <w:szCs w:val="24"/>
          <w:lang w:val="sr-Latn-CS"/>
        </w:rPr>
        <w:t>Ugalj</w:t>
      </w:r>
    </w:p>
    <w:p w:rsidR="00A87709" w:rsidRPr="00DB12D9" w:rsidRDefault="00A87709" w:rsidP="00DB12D9">
      <w:pPr>
        <w:spacing w:after="0"/>
        <w:jc w:val="both"/>
        <w:rPr>
          <w:rFonts w:ascii="Arial" w:hAnsi="Arial" w:cs="Arial"/>
          <w:sz w:val="24"/>
          <w:szCs w:val="24"/>
          <w:lang w:val="sr-Latn-CS"/>
        </w:rPr>
      </w:pPr>
    </w:p>
    <w:p w:rsidR="00A87709" w:rsidRPr="00DB12D9" w:rsidRDefault="00A87709" w:rsidP="00DB12D9">
      <w:pPr>
        <w:spacing w:after="0"/>
        <w:jc w:val="both"/>
        <w:rPr>
          <w:rFonts w:ascii="Arial" w:hAnsi="Arial" w:cs="Arial"/>
          <w:sz w:val="24"/>
          <w:szCs w:val="24"/>
          <w:lang w:val="sr-Latn-CS"/>
        </w:rPr>
      </w:pPr>
      <w:r w:rsidRPr="00DB12D9">
        <w:rPr>
          <w:rFonts w:ascii="Arial" w:hAnsi="Arial" w:cs="Arial"/>
          <w:sz w:val="24"/>
          <w:szCs w:val="24"/>
          <w:lang w:val="sr-Latn-CS"/>
        </w:rPr>
        <w:t>Ekonomski značajna ležišta uglja u Crnoj Gori nalaze se u jezerskim neogenim basenima na teritoriji pljevaljske i beranske opštine (slika 4). Ugalj iz pljevaljskih basena pripada mekim mrkim ugljevima, na prelazu ka tvrdim, tzv. mrkolignitski ugalj, dok je ugalj iz ležišta beranskih basena tvrdi mat mrki ugalj – ili mrki ugalj.</w:t>
      </w:r>
    </w:p>
    <w:p w:rsidR="00A87709" w:rsidRPr="00DB12D9" w:rsidRDefault="00A87709" w:rsidP="00DB12D9">
      <w:pPr>
        <w:spacing w:after="0"/>
        <w:jc w:val="both"/>
        <w:rPr>
          <w:rFonts w:ascii="Arial" w:hAnsi="Arial" w:cs="Arial"/>
          <w:b/>
          <w:sz w:val="24"/>
          <w:szCs w:val="24"/>
          <w:lang w:val="sr-Latn-CS"/>
        </w:rPr>
      </w:pPr>
    </w:p>
    <w:p w:rsidR="00A87709" w:rsidRPr="00DB12D9" w:rsidRDefault="00A87709" w:rsidP="00DB12D9">
      <w:pPr>
        <w:spacing w:after="0"/>
        <w:jc w:val="both"/>
        <w:rPr>
          <w:rFonts w:ascii="Arial" w:hAnsi="Arial" w:cs="Arial"/>
          <w:b/>
          <w:sz w:val="24"/>
          <w:szCs w:val="24"/>
          <w:lang w:val="sr-Latn-CS"/>
        </w:rPr>
      </w:pPr>
      <w:r w:rsidRPr="00DB12D9">
        <w:rPr>
          <w:rFonts w:ascii="Arial" w:hAnsi="Arial" w:cs="Arial"/>
          <w:b/>
          <w:sz w:val="24"/>
          <w:szCs w:val="24"/>
          <w:lang w:val="sr-Latn-CS"/>
        </w:rPr>
        <w:t>Ležišta uglja na teritoriji pljevaljske opštine</w:t>
      </w:r>
    </w:p>
    <w:p w:rsidR="00A87709" w:rsidRPr="00DB12D9" w:rsidRDefault="00A87709" w:rsidP="00DB12D9">
      <w:pPr>
        <w:tabs>
          <w:tab w:val="left" w:pos="720"/>
        </w:tabs>
        <w:spacing w:after="0"/>
        <w:ind w:right="41"/>
        <w:jc w:val="both"/>
        <w:rPr>
          <w:rFonts w:ascii="Arial" w:hAnsi="Arial" w:cs="Arial"/>
          <w:sz w:val="20"/>
          <w:szCs w:val="20"/>
          <w:lang w:val="it-IT"/>
        </w:rPr>
      </w:pPr>
    </w:p>
    <w:p w:rsidR="00A87709" w:rsidRDefault="00A87709" w:rsidP="00DB12D9">
      <w:pPr>
        <w:tabs>
          <w:tab w:val="left" w:pos="720"/>
        </w:tabs>
        <w:spacing w:after="0"/>
        <w:ind w:right="41"/>
        <w:jc w:val="both"/>
        <w:rPr>
          <w:rFonts w:ascii="Arial" w:hAnsi="Arial" w:cs="Arial"/>
          <w:sz w:val="24"/>
          <w:szCs w:val="24"/>
          <w:lang w:val="it-IT"/>
        </w:rPr>
      </w:pPr>
      <w:r w:rsidRPr="00DB12D9">
        <w:rPr>
          <w:rFonts w:ascii="Arial" w:hAnsi="Arial" w:cs="Arial"/>
          <w:sz w:val="24"/>
          <w:szCs w:val="24"/>
          <w:lang w:val="it-IT"/>
        </w:rPr>
        <w:t xml:space="preserve">U široj okolini Pljevalja, u slivu rijeke Ćehotine, nalaze se </w:t>
      </w:r>
      <w:r w:rsidRPr="00DB12D9">
        <w:rPr>
          <w:rFonts w:ascii="Arial" w:hAnsi="Arial" w:cs="Arial"/>
          <w:iCs/>
          <w:sz w:val="24"/>
          <w:szCs w:val="24"/>
          <w:lang w:val="it-IT"/>
        </w:rPr>
        <w:t>pljevaljski, ljuće-šumaski i maočki ugljonosni basen i le</w:t>
      </w:r>
      <w:r w:rsidRPr="00DB12D9">
        <w:rPr>
          <w:rFonts w:ascii="Arial" w:hAnsi="Arial" w:cs="Arial"/>
          <w:iCs/>
          <w:sz w:val="24"/>
          <w:szCs w:val="24"/>
        </w:rPr>
        <w:t>žišta uglja</w:t>
      </w:r>
      <w:r w:rsidRPr="00DB12D9">
        <w:rPr>
          <w:rFonts w:ascii="Arial" w:hAnsi="Arial" w:cs="Arial"/>
          <w:iCs/>
          <w:sz w:val="24"/>
          <w:szCs w:val="24"/>
          <w:lang w:val="it-IT"/>
        </w:rPr>
        <w:t xml:space="preserve"> “Otilovići”, “Bakrenjače”, “Mataruge” i </w:t>
      </w:r>
      <w:r w:rsidRPr="00DB12D9">
        <w:rPr>
          <w:rFonts w:ascii="Arial" w:hAnsi="Arial" w:cs="Arial"/>
          <w:iCs/>
          <w:sz w:val="24"/>
          <w:szCs w:val="24"/>
          <w:lang w:val="it-IT"/>
        </w:rPr>
        <w:lastRenderedPageBreak/>
        <w:t xml:space="preserve">“Glisnica”. </w:t>
      </w:r>
      <w:r w:rsidRPr="00DB12D9">
        <w:rPr>
          <w:rFonts w:ascii="Arial" w:hAnsi="Arial" w:cs="Arial"/>
          <w:sz w:val="24"/>
          <w:szCs w:val="24"/>
          <w:lang w:val="it-IT"/>
        </w:rPr>
        <w:t xml:space="preserve">U eksploataciji su pljevaljski i ljuće-šumanski ugljonosni basen, a neistraženo je ležište Mataruge. </w:t>
      </w:r>
    </w:p>
    <w:p w:rsidR="00D41E7B" w:rsidRPr="00DB12D9" w:rsidRDefault="00D41E7B" w:rsidP="00DB12D9">
      <w:pPr>
        <w:tabs>
          <w:tab w:val="left" w:pos="720"/>
        </w:tabs>
        <w:spacing w:after="0"/>
        <w:ind w:right="41"/>
        <w:jc w:val="both"/>
        <w:rPr>
          <w:rFonts w:ascii="Arial" w:hAnsi="Arial" w:cs="Arial"/>
          <w:sz w:val="24"/>
          <w:szCs w:val="24"/>
          <w:lang w:val="it-IT"/>
        </w:rPr>
      </w:pPr>
    </w:p>
    <w:p w:rsidR="00A87709" w:rsidRDefault="001210F4" w:rsidP="00A87709">
      <w:pPr>
        <w:spacing w:after="0" w:line="240" w:lineRule="auto"/>
        <w:jc w:val="center"/>
        <w:rPr>
          <w:rFonts w:ascii="Times New Roman" w:hAnsi="Times New Roman"/>
          <w:caps/>
          <w:noProof/>
          <w:sz w:val="24"/>
          <w:szCs w:val="24"/>
        </w:rPr>
      </w:pPr>
      <w:r>
        <w:rPr>
          <w:rFonts w:ascii="Times New Roman" w:hAnsi="Times New Roman"/>
          <w:caps/>
          <w:noProof/>
          <w:sz w:val="24"/>
          <w:szCs w:val="24"/>
        </w:rPr>
        <w:drawing>
          <wp:inline distT="0" distB="0" distL="0" distR="0">
            <wp:extent cx="5038090" cy="5486400"/>
            <wp:effectExtent l="19050" t="0" r="0" b="0"/>
            <wp:docPr id="3" name="Picture 12" descr="Description: C:\Users\mirsada.cirlija\Desktop\situaciona mapa lezista 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mirsada.cirlija\Desktop\situaciona mapa lezista 1 copy.jpg"/>
                    <pic:cNvPicPr>
                      <a:picLocks noChangeAspect="1" noChangeArrowheads="1"/>
                    </pic:cNvPicPr>
                  </pic:nvPicPr>
                  <pic:blipFill>
                    <a:blip r:embed="rId10" cstate="print"/>
                    <a:srcRect t="7196"/>
                    <a:stretch>
                      <a:fillRect/>
                    </a:stretch>
                  </pic:blipFill>
                  <pic:spPr bwMode="auto">
                    <a:xfrm>
                      <a:off x="0" y="0"/>
                      <a:ext cx="5038090" cy="5486400"/>
                    </a:xfrm>
                    <a:prstGeom prst="rect">
                      <a:avLst/>
                    </a:prstGeom>
                    <a:noFill/>
                    <a:ln w="9525">
                      <a:noFill/>
                      <a:miter lim="800000"/>
                      <a:headEnd/>
                      <a:tailEnd/>
                    </a:ln>
                  </pic:spPr>
                </pic:pic>
              </a:graphicData>
            </a:graphic>
          </wp:inline>
        </w:drawing>
      </w:r>
    </w:p>
    <w:p w:rsidR="000E0093" w:rsidRDefault="000E0093" w:rsidP="00A87709">
      <w:pPr>
        <w:spacing w:after="0" w:line="240" w:lineRule="auto"/>
        <w:jc w:val="center"/>
        <w:rPr>
          <w:rFonts w:ascii="Times New Roman" w:hAnsi="Times New Roman"/>
          <w:caps/>
          <w:noProof/>
          <w:sz w:val="24"/>
          <w:szCs w:val="24"/>
        </w:rPr>
      </w:pPr>
    </w:p>
    <w:p w:rsidR="000E0093" w:rsidRDefault="00231FAD" w:rsidP="00231FAD">
      <w:pPr>
        <w:autoSpaceDE w:val="0"/>
        <w:autoSpaceDN w:val="0"/>
        <w:adjustRightInd w:val="0"/>
        <w:spacing w:after="0"/>
        <w:jc w:val="center"/>
        <w:rPr>
          <w:rFonts w:ascii="Arial" w:hAnsi="Arial" w:cs="Arial"/>
          <w:i/>
          <w:iCs/>
          <w:color w:val="FF0000"/>
        </w:rPr>
      </w:pPr>
      <w:r w:rsidRPr="00231FAD">
        <w:rPr>
          <w:rFonts w:ascii="Arial" w:hAnsi="Arial" w:cs="Arial"/>
          <w:b/>
          <w:iCs/>
        </w:rPr>
        <w:t>Slika 1.</w:t>
      </w:r>
      <w:r>
        <w:rPr>
          <w:rFonts w:ascii="Arial" w:hAnsi="Arial" w:cs="Arial"/>
          <w:b/>
          <w:iCs/>
        </w:rPr>
        <w:t>3</w:t>
      </w:r>
      <w:r w:rsidRPr="00231FAD">
        <w:rPr>
          <w:rFonts w:ascii="Arial" w:hAnsi="Arial" w:cs="Arial"/>
          <w:b/>
          <w:iCs/>
        </w:rPr>
        <w:t>.</w:t>
      </w:r>
      <w:r w:rsidRPr="00231FAD">
        <w:rPr>
          <w:rFonts w:ascii="Arial" w:hAnsi="Arial" w:cs="Arial"/>
          <w:i/>
          <w:iCs/>
          <w:color w:val="FF0000"/>
        </w:rPr>
        <w:t xml:space="preserve"> </w:t>
      </w:r>
      <w:r w:rsidRPr="000E0093">
        <w:rPr>
          <w:rFonts w:ascii="Arial" w:hAnsi="Arial" w:cs="Arial"/>
          <w:iCs/>
        </w:rPr>
        <w:t>Pr</w:t>
      </w:r>
      <w:r w:rsidR="000E0093">
        <w:rPr>
          <w:rFonts w:ascii="Arial" w:hAnsi="Arial" w:cs="Arial"/>
          <w:iCs/>
        </w:rPr>
        <w:t>e</w:t>
      </w:r>
      <w:r w:rsidRPr="000E0093">
        <w:rPr>
          <w:rFonts w:ascii="Arial" w:hAnsi="Arial" w:cs="Arial"/>
          <w:iCs/>
        </w:rPr>
        <w:t xml:space="preserve">gledna karta ležišta ugla </w:t>
      </w:r>
      <w:r w:rsidR="000E0093" w:rsidRPr="000E0093">
        <w:rPr>
          <w:rFonts w:ascii="Arial" w:hAnsi="Arial" w:cs="Arial"/>
          <w:iCs/>
        </w:rPr>
        <w:t xml:space="preserve">Pljevaljskog područja sa objektima rudnika i </w:t>
      </w:r>
      <w:r w:rsidR="000E0093">
        <w:rPr>
          <w:rFonts w:ascii="Arial" w:hAnsi="Arial" w:cs="Arial"/>
          <w:iCs/>
        </w:rPr>
        <w:t>T.E.</w:t>
      </w:r>
      <w:r w:rsidR="000E0093" w:rsidRPr="000E0093">
        <w:rPr>
          <w:rFonts w:ascii="Arial" w:hAnsi="Arial" w:cs="Arial"/>
          <w:iCs/>
        </w:rPr>
        <w:t>Pljevlja, R=1:200.000</w:t>
      </w:r>
    </w:p>
    <w:p w:rsidR="00231FAD" w:rsidRDefault="00231FAD" w:rsidP="00A87709">
      <w:pPr>
        <w:spacing w:after="0" w:line="240" w:lineRule="auto"/>
        <w:jc w:val="center"/>
        <w:rPr>
          <w:rFonts w:ascii="Arial" w:hAnsi="Arial" w:cs="Arial"/>
          <w:iCs/>
        </w:rPr>
      </w:pPr>
    </w:p>
    <w:p w:rsidR="00231FAD" w:rsidRPr="00FA65D3" w:rsidRDefault="00231FAD" w:rsidP="000E0093">
      <w:pPr>
        <w:spacing w:after="0" w:line="240" w:lineRule="auto"/>
        <w:rPr>
          <w:rFonts w:ascii="Arial" w:hAnsi="Arial" w:cs="Arial"/>
          <w:sz w:val="24"/>
          <w:szCs w:val="24"/>
          <w:lang w:val="sr-Latn-CS"/>
        </w:rPr>
      </w:pPr>
    </w:p>
    <w:p w:rsidR="00A87709" w:rsidRPr="007F34C7" w:rsidRDefault="00A87709" w:rsidP="00DB12D9">
      <w:pPr>
        <w:spacing w:after="0"/>
        <w:jc w:val="both"/>
        <w:rPr>
          <w:rFonts w:ascii="Arial" w:hAnsi="Arial" w:cs="Arial"/>
          <w:sz w:val="24"/>
          <w:szCs w:val="24"/>
        </w:rPr>
      </w:pPr>
      <w:r w:rsidRPr="007F34C7">
        <w:rPr>
          <w:rFonts w:ascii="Arial" w:hAnsi="Arial" w:cs="Arial"/>
          <w:b/>
          <w:sz w:val="24"/>
          <w:szCs w:val="24"/>
        </w:rPr>
        <w:t>Pljevaljski ugljonosni basen</w:t>
      </w:r>
      <w:r w:rsidRPr="007F34C7">
        <w:rPr>
          <w:rFonts w:ascii="Arial" w:hAnsi="Arial" w:cs="Arial"/>
          <w:sz w:val="24"/>
          <w:szCs w:val="24"/>
        </w:rPr>
        <w:t xml:space="preserve"> - Pored ležišta uglja “Potrlica”, koje je u eksploataciji, basen čine i ležišta uglja “Kalušići”, “Grevo”, “Rabitlje” i “Komini” predstavljajući dijelove jedne geološke cjeline. Ležišta Potrlica, Kalušići, Grevo i Rabitlje se u kontinuitetu nadovezuju i međusobno nemaju prekid u ugljenom sloju, dok je ležište “Komini” vještački izdvojeno od ostalih ležišta pljevaljskog basena usled prekida vanbilansnim rezervama uglja u basenu ispod industrijskih objekata. </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rPr>
        <w:lastRenderedPageBreak/>
        <w:t>Centralni dio ležišta “Komini” su vanbilansne rezerve zbog arheološkog nalazišta “Municipium S” u tom dijelu ležišta, tako da bilansni blokovi ovog ležišta čine njegov južni i sjeverni dio. Sjeverni dio ovog ležišta sa bilansnim rezervama uglja u granicama je urbanističke razrade PUP-a Opštine Pljevlja i razrađen je kroz DUP „Radosavac“  a prostor je rezervisan za industrijsku namjenu.</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rPr>
        <w:t>Ležišta “Potrlica” i “Kalušići” pljevaljskog basena su detaljno istražena na nivou istraženosti rezervi A, B i C1 kategorije, dok su ležišta Grevo, Komini i Rabitlje na nivou istraženosti C1 kategorije. Detaljna geološka istraživanja za ležišta Komini i Rabitlje u okviru basena su sprovedena i u toku je izrada Elaborata o klasifikaciji, kategorizaciji i proračunu rezervi u kom će biti sadržani i rezultati ovih istraživanja.</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rPr>
        <w:t>Bilansne rezerve pljevaljskog basena</w:t>
      </w:r>
      <w:r w:rsidR="00C21B56">
        <w:rPr>
          <w:rFonts w:ascii="Arial" w:hAnsi="Arial" w:cs="Arial"/>
          <w:sz w:val="24"/>
          <w:szCs w:val="24"/>
        </w:rPr>
        <w:t xml:space="preserve"> na dan 31.12.</w:t>
      </w:r>
      <w:r w:rsidRPr="007F34C7">
        <w:rPr>
          <w:rFonts w:ascii="Arial" w:hAnsi="Arial" w:cs="Arial"/>
          <w:sz w:val="24"/>
          <w:szCs w:val="24"/>
        </w:rPr>
        <w:t>2017. god. iznose 58.514.163 t</w:t>
      </w:r>
      <w:r w:rsidR="00DB12D9" w:rsidRPr="007F34C7">
        <w:rPr>
          <w:rFonts w:ascii="Arial" w:hAnsi="Arial" w:cs="Arial"/>
          <w:sz w:val="24"/>
          <w:szCs w:val="24"/>
        </w:rPr>
        <w:t xml:space="preserve">one, </w:t>
      </w:r>
      <w:r w:rsidRPr="007F34C7">
        <w:rPr>
          <w:rFonts w:ascii="Arial" w:hAnsi="Arial" w:cs="Arial"/>
          <w:sz w:val="24"/>
          <w:szCs w:val="24"/>
        </w:rPr>
        <w:t>dok ukupne količine otkrivke u okviru bilansne konture ležišta iznose 239.908.760 m</w:t>
      </w:r>
      <w:r w:rsidRPr="007F34C7">
        <w:rPr>
          <w:rFonts w:ascii="Arial" w:hAnsi="Arial" w:cs="Arial"/>
          <w:sz w:val="24"/>
          <w:szCs w:val="24"/>
          <w:vertAlign w:val="superscript"/>
        </w:rPr>
        <w:t>3</w:t>
      </w:r>
      <w:r w:rsidRPr="007F34C7">
        <w:rPr>
          <w:rFonts w:ascii="Arial" w:hAnsi="Arial" w:cs="Arial"/>
          <w:sz w:val="24"/>
          <w:szCs w:val="24"/>
        </w:rPr>
        <w:t>čm, što daje prosječni koeficijent otkrivke basena od 4,1 m</w:t>
      </w:r>
      <w:r w:rsidRPr="007F34C7">
        <w:rPr>
          <w:rFonts w:ascii="Arial" w:hAnsi="Arial" w:cs="Arial"/>
          <w:sz w:val="24"/>
          <w:szCs w:val="24"/>
          <w:vertAlign w:val="superscript"/>
        </w:rPr>
        <w:t>3</w:t>
      </w:r>
      <w:r w:rsidRPr="007F34C7">
        <w:rPr>
          <w:rFonts w:ascii="Arial" w:hAnsi="Arial" w:cs="Arial"/>
          <w:sz w:val="24"/>
          <w:szCs w:val="24"/>
        </w:rPr>
        <w:t xml:space="preserve">čm/t. </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rPr>
        <w:t xml:space="preserve">Ugalj iz svih ležišta pljevaljskog basena po kvalitetu omogućuje plasman uglja za potrebe široke potrošnje. Izuzetak je ugalj iz ležišta “Kalušići” čiji je prosječni termički ekvivalent za ležište 7.957 KJ/kg. Homogenizacijom uglja iz ležišta “Kalušići” sa kvalitetnijim ugljem iz basena ili drugih ležišta uglja pljevaljske opštine može se omogućiti njegova valorizacija  za potrebe TE “Pljevlja”. </w:t>
      </w:r>
    </w:p>
    <w:p w:rsidR="00A87709" w:rsidRPr="007F34C7" w:rsidRDefault="00A87709" w:rsidP="00DB12D9">
      <w:pPr>
        <w:spacing w:after="0"/>
        <w:jc w:val="both"/>
        <w:rPr>
          <w:rFonts w:ascii="Arial" w:hAnsi="Arial" w:cs="Arial"/>
          <w:sz w:val="24"/>
          <w:szCs w:val="24"/>
          <w:lang w:val="sr-Latn-CS"/>
        </w:rPr>
      </w:pPr>
    </w:p>
    <w:p w:rsidR="00A87709" w:rsidRPr="007F34C7" w:rsidRDefault="00A87709" w:rsidP="00DB12D9">
      <w:pPr>
        <w:spacing w:after="0"/>
        <w:jc w:val="both"/>
        <w:rPr>
          <w:rFonts w:ascii="Arial" w:hAnsi="Arial" w:cs="Arial"/>
          <w:sz w:val="24"/>
          <w:szCs w:val="24"/>
        </w:rPr>
      </w:pPr>
      <w:r w:rsidRPr="007F34C7">
        <w:rPr>
          <w:rFonts w:ascii="Arial" w:hAnsi="Arial" w:cs="Arial"/>
          <w:b/>
          <w:sz w:val="24"/>
          <w:szCs w:val="24"/>
        </w:rPr>
        <w:t>Ljuće – Šumanski ugljonosni basen</w:t>
      </w:r>
      <w:r w:rsidRPr="007F34C7">
        <w:rPr>
          <w:rFonts w:ascii="Arial" w:hAnsi="Arial" w:cs="Arial"/>
          <w:sz w:val="24"/>
          <w:szCs w:val="24"/>
        </w:rPr>
        <w:t xml:space="preserve"> – Eksploatacija uglja ljuće-šumanskog basena odvijala se u periodu od 1980. do 2014. godine kada je iz ležišta “Ljuće I”, “Šumani II” i “Šumani I” ukupno otkopano 28.653.790 t</w:t>
      </w:r>
      <w:r w:rsidR="00DB12D9" w:rsidRPr="007F34C7">
        <w:rPr>
          <w:rFonts w:ascii="Arial" w:hAnsi="Arial" w:cs="Arial"/>
          <w:sz w:val="24"/>
          <w:szCs w:val="24"/>
        </w:rPr>
        <w:t>one</w:t>
      </w:r>
      <w:r w:rsidRPr="007F34C7">
        <w:rPr>
          <w:rFonts w:ascii="Arial" w:hAnsi="Arial" w:cs="Arial"/>
          <w:sz w:val="24"/>
          <w:szCs w:val="24"/>
        </w:rPr>
        <w:t xml:space="preserve"> uglja i 16.875.542 m</w:t>
      </w:r>
      <w:r w:rsidRPr="007F34C7">
        <w:rPr>
          <w:rFonts w:ascii="Arial" w:hAnsi="Arial" w:cs="Arial"/>
          <w:sz w:val="24"/>
          <w:szCs w:val="24"/>
          <w:vertAlign w:val="superscript"/>
        </w:rPr>
        <w:t>3</w:t>
      </w:r>
      <w:r w:rsidRPr="007F34C7">
        <w:rPr>
          <w:rFonts w:ascii="Arial" w:hAnsi="Arial" w:cs="Arial"/>
          <w:sz w:val="24"/>
          <w:szCs w:val="24"/>
        </w:rPr>
        <w:t>čm otkrivke (prosječni koeficijent otkrivke od 0,59 m</w:t>
      </w:r>
      <w:r w:rsidRPr="007F34C7">
        <w:rPr>
          <w:rFonts w:ascii="Arial" w:hAnsi="Arial" w:cs="Arial"/>
          <w:sz w:val="24"/>
          <w:szCs w:val="24"/>
          <w:vertAlign w:val="superscript"/>
        </w:rPr>
        <w:t>3</w:t>
      </w:r>
      <w:r w:rsidRPr="007F34C7">
        <w:rPr>
          <w:rFonts w:ascii="Arial" w:hAnsi="Arial" w:cs="Arial"/>
          <w:sz w:val="24"/>
          <w:szCs w:val="24"/>
        </w:rPr>
        <w:t>čm/t). Kompletne količine uglja otkopane iz ovog basena isporučene su za potrebe TE “Pljevlja”.</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rPr>
        <w:t>Ovjerene bilansne rezerve uglja ljuće-šumanskog basena iznose 1.526.042 t</w:t>
      </w:r>
      <w:r w:rsidR="00DB12D9" w:rsidRPr="007F34C7">
        <w:rPr>
          <w:rFonts w:ascii="Arial" w:hAnsi="Arial" w:cs="Arial"/>
          <w:sz w:val="24"/>
          <w:szCs w:val="24"/>
        </w:rPr>
        <w:t>one</w:t>
      </w:r>
      <w:r w:rsidRPr="007F34C7">
        <w:rPr>
          <w:rFonts w:ascii="Arial" w:hAnsi="Arial" w:cs="Arial"/>
          <w:sz w:val="24"/>
          <w:szCs w:val="24"/>
        </w:rPr>
        <w:t xml:space="preserve"> od  čega su: 1.056.085 t</w:t>
      </w:r>
      <w:r w:rsidR="00DB12D9" w:rsidRPr="007F34C7">
        <w:rPr>
          <w:rFonts w:ascii="Arial" w:hAnsi="Arial" w:cs="Arial"/>
          <w:sz w:val="24"/>
          <w:szCs w:val="24"/>
        </w:rPr>
        <w:t>one</w:t>
      </w:r>
      <w:r w:rsidRPr="007F34C7">
        <w:rPr>
          <w:rFonts w:ascii="Arial" w:hAnsi="Arial" w:cs="Arial"/>
          <w:sz w:val="24"/>
          <w:szCs w:val="24"/>
        </w:rPr>
        <w:t xml:space="preserve"> rezerve ležišta “Luće II”, 269.957 t</w:t>
      </w:r>
      <w:r w:rsidR="00DB12D9" w:rsidRPr="007F34C7">
        <w:rPr>
          <w:rFonts w:ascii="Arial" w:hAnsi="Arial" w:cs="Arial"/>
          <w:sz w:val="24"/>
          <w:szCs w:val="24"/>
        </w:rPr>
        <w:t>one</w:t>
      </w:r>
      <w:r w:rsidRPr="007F34C7">
        <w:rPr>
          <w:rFonts w:ascii="Arial" w:hAnsi="Arial" w:cs="Arial"/>
          <w:sz w:val="24"/>
          <w:szCs w:val="24"/>
        </w:rPr>
        <w:t xml:space="preserve"> rezerve doistraženog dijela ležišta “Ljuće I” i 200.000 t</w:t>
      </w:r>
      <w:r w:rsidR="00DB12D9" w:rsidRPr="007F34C7">
        <w:rPr>
          <w:rFonts w:ascii="Arial" w:hAnsi="Arial" w:cs="Arial"/>
          <w:sz w:val="24"/>
          <w:szCs w:val="24"/>
        </w:rPr>
        <w:t>one</w:t>
      </w:r>
      <w:r w:rsidRPr="007F34C7">
        <w:rPr>
          <w:rFonts w:ascii="Arial" w:hAnsi="Arial" w:cs="Arial"/>
          <w:sz w:val="24"/>
          <w:szCs w:val="24"/>
        </w:rPr>
        <w:t xml:space="preserve"> rezerve uglja u obodnom dijelu ležišta “Šumani I”. </w:t>
      </w:r>
    </w:p>
    <w:p w:rsidR="00A87709" w:rsidRPr="007F34C7" w:rsidRDefault="00A87709" w:rsidP="00DB12D9">
      <w:pPr>
        <w:spacing w:after="0"/>
        <w:ind w:left="3"/>
        <w:jc w:val="both"/>
        <w:rPr>
          <w:rFonts w:ascii="Arial" w:eastAsia="Times New Roman" w:hAnsi="Arial" w:cs="Arial"/>
          <w:sz w:val="20"/>
          <w:szCs w:val="20"/>
          <w:lang w:eastAsia="en-GB"/>
        </w:rPr>
      </w:pPr>
    </w:p>
    <w:p w:rsidR="00A87709" w:rsidRPr="007F34C7" w:rsidRDefault="00A87709" w:rsidP="00DB12D9">
      <w:pPr>
        <w:spacing w:after="0"/>
        <w:ind w:left="3"/>
        <w:jc w:val="both"/>
        <w:rPr>
          <w:rFonts w:ascii="Arial" w:eastAsia="Times New Roman" w:hAnsi="Arial" w:cs="Arial"/>
          <w:b/>
          <w:sz w:val="24"/>
          <w:szCs w:val="24"/>
          <w:lang w:eastAsia="en-GB"/>
        </w:rPr>
      </w:pPr>
      <w:r w:rsidRPr="007F34C7">
        <w:rPr>
          <w:rFonts w:ascii="Arial" w:eastAsia="Times New Roman" w:hAnsi="Arial" w:cs="Arial"/>
          <w:sz w:val="24"/>
          <w:szCs w:val="24"/>
          <w:lang w:eastAsia="en-GB"/>
        </w:rPr>
        <w:t>Na prostoru ljuće – šumanskog basena koji nije bio zahvaćen rudarskom aktivnošću neophodno bi bilo sprovesti kontrolna istražna bušenja u smislu potvrđivanja ugljenog sloja. Ukoliko bi se potvrdile dodatne rezerve uglja u okviru basena detaljnim geološkim istraživanjem, koje bi se sprovelo, sagledao bi se njihov ekonomski značaj i mogućnost njihove eksploatacije u okviru ukupnih preostalih rezervi basena</w:t>
      </w:r>
      <w:r w:rsidRPr="007F34C7">
        <w:rPr>
          <w:rFonts w:ascii="Arial" w:eastAsia="Times New Roman" w:hAnsi="Arial" w:cs="Arial"/>
          <w:b/>
          <w:sz w:val="24"/>
          <w:szCs w:val="24"/>
          <w:lang w:eastAsia="en-GB"/>
        </w:rPr>
        <w:t>.</w:t>
      </w:r>
    </w:p>
    <w:p w:rsidR="00A87709" w:rsidRPr="007F34C7" w:rsidRDefault="00A87709" w:rsidP="00DB12D9">
      <w:pPr>
        <w:spacing w:after="0"/>
        <w:jc w:val="both"/>
        <w:rPr>
          <w:rFonts w:ascii="Arial" w:hAnsi="Arial" w:cs="Arial"/>
          <w:b/>
          <w:sz w:val="20"/>
          <w:szCs w:val="20"/>
        </w:rPr>
      </w:pPr>
    </w:p>
    <w:p w:rsidR="00A87709" w:rsidRPr="007F34C7" w:rsidRDefault="00A87709" w:rsidP="00DB12D9">
      <w:pPr>
        <w:spacing w:after="0"/>
        <w:jc w:val="both"/>
        <w:rPr>
          <w:rFonts w:ascii="Arial" w:hAnsi="Arial" w:cs="Arial"/>
          <w:sz w:val="24"/>
          <w:szCs w:val="24"/>
        </w:rPr>
      </w:pPr>
      <w:r w:rsidRPr="007F34C7">
        <w:rPr>
          <w:rFonts w:ascii="Arial" w:hAnsi="Arial" w:cs="Arial"/>
          <w:b/>
          <w:sz w:val="24"/>
          <w:szCs w:val="24"/>
        </w:rPr>
        <w:t>Ležište uglja “Glisnica”</w:t>
      </w:r>
      <w:r w:rsidRPr="007F34C7">
        <w:rPr>
          <w:rFonts w:ascii="Arial" w:hAnsi="Arial" w:cs="Arial"/>
          <w:sz w:val="24"/>
          <w:szCs w:val="24"/>
        </w:rPr>
        <w:t xml:space="preserve"> - Ovjerene bilansne rezerve uglja iznose 1.701.343 t</w:t>
      </w:r>
      <w:r w:rsidR="00DB12D9" w:rsidRPr="007F34C7">
        <w:rPr>
          <w:rFonts w:ascii="Arial" w:hAnsi="Arial" w:cs="Arial"/>
          <w:sz w:val="24"/>
          <w:szCs w:val="24"/>
        </w:rPr>
        <w:t>one</w:t>
      </w:r>
      <w:r w:rsidRPr="007F34C7">
        <w:rPr>
          <w:rFonts w:ascii="Arial" w:hAnsi="Arial" w:cs="Arial"/>
          <w:sz w:val="24"/>
          <w:szCs w:val="24"/>
        </w:rPr>
        <w:t>, prosječnog kvaliteta 9.384 KJ/kg. Stepen istraženosti ležišta je na nivou B kategorije rezervi. Eksploatacione rezerve uglja ležišta iznose 1.531.208 t</w:t>
      </w:r>
      <w:r w:rsidR="00DB12D9" w:rsidRPr="007F34C7">
        <w:rPr>
          <w:rFonts w:ascii="Arial" w:hAnsi="Arial" w:cs="Arial"/>
          <w:sz w:val="24"/>
          <w:szCs w:val="24"/>
        </w:rPr>
        <w:t>one</w:t>
      </w:r>
      <w:r w:rsidRPr="007F34C7">
        <w:rPr>
          <w:rFonts w:ascii="Arial" w:hAnsi="Arial" w:cs="Arial"/>
          <w:sz w:val="24"/>
          <w:szCs w:val="24"/>
        </w:rPr>
        <w:t xml:space="preserve">, sa pretpostavkom </w:t>
      </w:r>
      <w:r w:rsidRPr="007F34C7">
        <w:rPr>
          <w:rFonts w:ascii="Arial" w:hAnsi="Arial" w:cs="Arial"/>
          <w:sz w:val="24"/>
          <w:szCs w:val="24"/>
        </w:rPr>
        <w:lastRenderedPageBreak/>
        <w:t>gub</w:t>
      </w:r>
      <w:r w:rsidR="00D41E7B">
        <w:rPr>
          <w:rFonts w:ascii="Arial" w:hAnsi="Arial" w:cs="Arial"/>
          <w:sz w:val="24"/>
          <w:szCs w:val="24"/>
        </w:rPr>
        <w:t xml:space="preserve">itaka u uglju u iznosu od 10%. </w:t>
      </w:r>
      <w:r w:rsidRPr="007F34C7">
        <w:rPr>
          <w:rFonts w:ascii="Arial" w:hAnsi="Arial" w:cs="Arial"/>
          <w:sz w:val="24"/>
          <w:szCs w:val="24"/>
        </w:rPr>
        <w:t>Za eksploataciju uglja u okviru bilansne konture ležišta potrebno je otkopati i odložiti u otkopani prostor  4.232.019 m</w:t>
      </w:r>
      <w:r w:rsidRPr="007F34C7">
        <w:rPr>
          <w:rFonts w:ascii="Arial" w:hAnsi="Arial" w:cs="Arial"/>
          <w:sz w:val="24"/>
          <w:szCs w:val="24"/>
          <w:vertAlign w:val="superscript"/>
        </w:rPr>
        <w:t>3</w:t>
      </w:r>
      <w:r w:rsidRPr="007F34C7">
        <w:rPr>
          <w:rFonts w:ascii="Arial" w:hAnsi="Arial" w:cs="Arial"/>
          <w:sz w:val="24"/>
          <w:szCs w:val="24"/>
        </w:rPr>
        <w:t>čm otkrivke, ostvarujući prosječni koeficijent otkrivke od 2,49 m</w:t>
      </w:r>
      <w:r w:rsidRPr="007F34C7">
        <w:rPr>
          <w:rFonts w:ascii="Arial" w:hAnsi="Arial" w:cs="Arial"/>
          <w:sz w:val="24"/>
          <w:szCs w:val="24"/>
          <w:vertAlign w:val="superscript"/>
        </w:rPr>
        <w:t>3</w:t>
      </w:r>
      <w:r w:rsidRPr="007F34C7">
        <w:rPr>
          <w:rFonts w:ascii="Arial" w:hAnsi="Arial" w:cs="Arial"/>
          <w:sz w:val="24"/>
          <w:szCs w:val="24"/>
        </w:rPr>
        <w:t>čm/t na površinskom kopu.</w:t>
      </w:r>
    </w:p>
    <w:p w:rsidR="00A87709" w:rsidRPr="007F34C7" w:rsidRDefault="00A87709" w:rsidP="00DB12D9">
      <w:pPr>
        <w:spacing w:after="0"/>
        <w:jc w:val="both"/>
        <w:rPr>
          <w:rFonts w:ascii="Arial" w:hAnsi="Arial" w:cs="Arial"/>
          <w:sz w:val="24"/>
          <w:szCs w:val="24"/>
          <w:lang w:val="sr-Latn-CS"/>
        </w:rPr>
      </w:pPr>
    </w:p>
    <w:p w:rsidR="00A87709" w:rsidRPr="007F34C7" w:rsidRDefault="00A87709" w:rsidP="00DB12D9">
      <w:pPr>
        <w:spacing w:after="0"/>
        <w:jc w:val="both"/>
        <w:rPr>
          <w:rFonts w:ascii="Arial" w:hAnsi="Arial" w:cs="Arial"/>
          <w:sz w:val="24"/>
          <w:szCs w:val="24"/>
        </w:rPr>
      </w:pPr>
      <w:r w:rsidRPr="007F34C7">
        <w:rPr>
          <w:rFonts w:ascii="Arial" w:hAnsi="Arial" w:cs="Arial"/>
          <w:b/>
          <w:sz w:val="24"/>
          <w:szCs w:val="24"/>
        </w:rPr>
        <w:t xml:space="preserve">Ležište uglja “Otilovići” </w:t>
      </w:r>
      <w:r w:rsidRPr="007F34C7">
        <w:rPr>
          <w:rFonts w:ascii="Arial" w:hAnsi="Arial" w:cs="Arial"/>
          <w:sz w:val="24"/>
          <w:szCs w:val="24"/>
        </w:rPr>
        <w:t>- Ovjerene bilansne rezerve uglja iznose 3.421.000 t</w:t>
      </w:r>
      <w:r w:rsidR="00DB12D9" w:rsidRPr="007F34C7">
        <w:rPr>
          <w:rFonts w:ascii="Arial" w:hAnsi="Arial" w:cs="Arial"/>
          <w:sz w:val="24"/>
          <w:szCs w:val="24"/>
        </w:rPr>
        <w:t>one</w:t>
      </w:r>
      <w:r w:rsidRPr="007F34C7">
        <w:rPr>
          <w:rFonts w:ascii="Arial" w:hAnsi="Arial" w:cs="Arial"/>
          <w:sz w:val="24"/>
          <w:szCs w:val="24"/>
        </w:rPr>
        <w:t>, prosječnog kvaliteta 10.510 KJ/kg. Stepen istraženosti ležišta je na nivou B + C1 kategorije rezervi. Eksploatacione rezerve uglja ležišta iznose 3.078.900 t</w:t>
      </w:r>
      <w:r w:rsidR="00DB12D9" w:rsidRPr="007F34C7">
        <w:rPr>
          <w:rFonts w:ascii="Arial" w:hAnsi="Arial" w:cs="Arial"/>
          <w:sz w:val="24"/>
          <w:szCs w:val="24"/>
        </w:rPr>
        <w:t>one</w:t>
      </w:r>
      <w:r w:rsidRPr="007F34C7">
        <w:rPr>
          <w:rFonts w:ascii="Arial" w:hAnsi="Arial" w:cs="Arial"/>
          <w:sz w:val="24"/>
          <w:szCs w:val="24"/>
        </w:rPr>
        <w:t>, sa pretpostavkom gubitaka u uglju u iznosu od 10%. Za eksploataciju uglja u okviru bilansne konture ležišta potrebno je otkopati i odložiti u otkopani prostor  11.887.300 m</w:t>
      </w:r>
      <w:r w:rsidRPr="007F34C7">
        <w:rPr>
          <w:rFonts w:ascii="Arial" w:hAnsi="Arial" w:cs="Arial"/>
          <w:sz w:val="24"/>
          <w:szCs w:val="24"/>
          <w:vertAlign w:val="superscript"/>
        </w:rPr>
        <w:t>3</w:t>
      </w:r>
      <w:r w:rsidRPr="007F34C7">
        <w:rPr>
          <w:rFonts w:ascii="Arial" w:hAnsi="Arial" w:cs="Arial"/>
          <w:sz w:val="24"/>
          <w:szCs w:val="24"/>
        </w:rPr>
        <w:t>čm otkrivke ostvarujući prosječni  koeficijent otkrivke od 3,47 m</w:t>
      </w:r>
      <w:r w:rsidRPr="007F34C7">
        <w:rPr>
          <w:rFonts w:ascii="Arial" w:hAnsi="Arial" w:cs="Arial"/>
          <w:sz w:val="24"/>
          <w:szCs w:val="24"/>
          <w:vertAlign w:val="superscript"/>
        </w:rPr>
        <w:t>3</w:t>
      </w:r>
      <w:r w:rsidRPr="007F34C7">
        <w:rPr>
          <w:rFonts w:ascii="Arial" w:hAnsi="Arial" w:cs="Arial"/>
          <w:sz w:val="24"/>
          <w:szCs w:val="24"/>
        </w:rPr>
        <w:t>čm/t na površinskom kopu.</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rPr>
        <w:t>PUP Opštine Pljevlja, 2011. god., u namjeni površina rezervisao je istražno - eksploatacioni prostor ležišta uglja “Otilovići” kao zonu ležišta uglja, ali isto tako i kao potencijalnu lokaciju radnih zona za koju daje Granice područja za razradu kroz PPPPN – Predlog. U okviru Predloga granica PPPPN je centralni i sjeverni dio ležišta “Otilovići”. Kasnije je ovaj prostor detaljno razrađen kroz Lokalnu studiju lokacije “Otilovići” sa smjernicama za izgradnju fabrike cementa.</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rPr>
        <w:t xml:space="preserve">Lokacija fabrike cementa u Otilovićima izabrana je kao najpovoljnija od tri lokacije u prethodno izrađenoj Studiji za izbor lokacije za izgradnju fabrike cementa, dok je njena izgradnja trebalo da bude planirana u funkciji eksploatacije laporca iz tehnogenog ležišta ove mineralne sirovine “Jagnjilo”. Ova činjenica ne treba da predstavlja barijeru u mogućnosti eksploatacije ležišta uglja “Otilovići” ukoliko se odgovorno dinamički usklade i planiraju eksploatacija uglja i proizvodnja cementa na ovom lokalitetu. </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b/>
          <w:sz w:val="24"/>
          <w:szCs w:val="24"/>
        </w:rPr>
        <w:t>Ležište uglja “Bakrenjače”</w:t>
      </w:r>
      <w:r w:rsidRPr="007F34C7">
        <w:rPr>
          <w:rFonts w:ascii="Arial" w:hAnsi="Arial" w:cs="Arial"/>
          <w:sz w:val="24"/>
          <w:szCs w:val="24"/>
        </w:rPr>
        <w:t xml:space="preserve"> - Ovjerene bilansne rezerve uglja iznose 1.332.313 t</w:t>
      </w:r>
      <w:r w:rsidR="007F34C7" w:rsidRPr="007F34C7">
        <w:rPr>
          <w:rFonts w:ascii="Arial" w:hAnsi="Arial" w:cs="Arial"/>
          <w:sz w:val="24"/>
          <w:szCs w:val="24"/>
        </w:rPr>
        <w:t>one</w:t>
      </w:r>
      <w:r w:rsidRPr="007F34C7">
        <w:rPr>
          <w:rFonts w:ascii="Arial" w:hAnsi="Arial" w:cs="Arial"/>
          <w:sz w:val="24"/>
          <w:szCs w:val="24"/>
        </w:rPr>
        <w:t>, prosječnog kvaliteta 10.296 KJ/kg. Stepen istraženosti ležišta je na nivou B+C1 kategorije rezervi. Eksploatacione rezerve uglja ležišta iznose 1.199.081 t</w:t>
      </w:r>
      <w:r w:rsidR="007F34C7" w:rsidRPr="007F34C7">
        <w:rPr>
          <w:rFonts w:ascii="Arial" w:hAnsi="Arial" w:cs="Arial"/>
          <w:sz w:val="24"/>
          <w:szCs w:val="24"/>
        </w:rPr>
        <w:t>one</w:t>
      </w:r>
      <w:r w:rsidRPr="007F34C7">
        <w:rPr>
          <w:rFonts w:ascii="Arial" w:hAnsi="Arial" w:cs="Arial"/>
          <w:sz w:val="24"/>
          <w:szCs w:val="24"/>
        </w:rPr>
        <w:t>, sa pretpostavkom gubitaka u uglju u iznosu od 10%.  Za eksploataciju uglja u okviru konture bilansnih rezervi potrebno je otkopati i odložiti u otkopani prostor  1.151.000 m</w:t>
      </w:r>
      <w:r w:rsidRPr="007F34C7">
        <w:rPr>
          <w:rFonts w:ascii="Arial" w:hAnsi="Arial" w:cs="Arial"/>
          <w:sz w:val="24"/>
          <w:szCs w:val="24"/>
          <w:vertAlign w:val="superscript"/>
        </w:rPr>
        <w:t>3</w:t>
      </w:r>
      <w:r w:rsidRPr="007F34C7">
        <w:rPr>
          <w:rFonts w:ascii="Arial" w:hAnsi="Arial" w:cs="Arial"/>
          <w:sz w:val="24"/>
          <w:szCs w:val="24"/>
        </w:rPr>
        <w:t>čm otkrivke ostvarujući prosječni koeficijent otkrivke od 0,86 m</w:t>
      </w:r>
      <w:r w:rsidRPr="007F34C7">
        <w:rPr>
          <w:rFonts w:ascii="Arial" w:hAnsi="Arial" w:cs="Arial"/>
          <w:sz w:val="24"/>
          <w:szCs w:val="24"/>
          <w:vertAlign w:val="superscript"/>
        </w:rPr>
        <w:t>3</w:t>
      </w:r>
      <w:r w:rsidRPr="007F34C7">
        <w:rPr>
          <w:rFonts w:ascii="Arial" w:hAnsi="Arial" w:cs="Arial"/>
          <w:sz w:val="24"/>
          <w:szCs w:val="24"/>
        </w:rPr>
        <w:t>čm/t na površinskom kopu.</w:t>
      </w:r>
    </w:p>
    <w:p w:rsidR="00A87709" w:rsidRPr="007F34C7" w:rsidRDefault="00A87709" w:rsidP="00DB12D9">
      <w:pPr>
        <w:spacing w:after="0"/>
        <w:jc w:val="both"/>
        <w:rPr>
          <w:rFonts w:ascii="Arial" w:hAnsi="Arial" w:cs="Arial"/>
          <w:sz w:val="24"/>
          <w:szCs w:val="24"/>
        </w:rPr>
      </w:pPr>
    </w:p>
    <w:p w:rsidR="00A87709" w:rsidRPr="007F34C7" w:rsidRDefault="00A87709" w:rsidP="00DB12D9">
      <w:pPr>
        <w:pStyle w:val="ListParagraph"/>
        <w:tabs>
          <w:tab w:val="left" w:pos="1080"/>
        </w:tabs>
        <w:spacing w:after="0"/>
        <w:ind w:left="0"/>
        <w:jc w:val="both"/>
        <w:rPr>
          <w:rFonts w:ascii="Arial" w:hAnsi="Arial" w:cs="Arial"/>
          <w:sz w:val="24"/>
          <w:szCs w:val="24"/>
        </w:rPr>
      </w:pPr>
      <w:r w:rsidRPr="007F34C7">
        <w:rPr>
          <w:rFonts w:ascii="Arial" w:hAnsi="Arial" w:cs="Arial"/>
          <w:sz w:val="24"/>
          <w:szCs w:val="24"/>
        </w:rPr>
        <w:t>Izgrađenost istražno - eksploatacionog prostora ležišta uglja „Bakrenjače“, kao postojeće stanje, mogao bi biti nepovoljan i presudan faktor pri preispitivanju ekonomskog značaja ovog ležišta.</w:t>
      </w:r>
    </w:p>
    <w:p w:rsidR="00A87709" w:rsidRPr="007F34C7" w:rsidRDefault="00A87709" w:rsidP="00DB12D9">
      <w:pPr>
        <w:spacing w:after="0"/>
        <w:jc w:val="both"/>
        <w:rPr>
          <w:rFonts w:ascii="Arial" w:hAnsi="Arial" w:cs="Arial"/>
          <w:i/>
          <w:sz w:val="24"/>
          <w:szCs w:val="24"/>
          <w:lang w:val="sr-Latn-CS"/>
        </w:rPr>
      </w:pPr>
    </w:p>
    <w:p w:rsidR="00F15A1E" w:rsidRPr="00F15A1E" w:rsidRDefault="00F15A1E" w:rsidP="00F15A1E">
      <w:pPr>
        <w:spacing w:after="0"/>
        <w:jc w:val="both"/>
        <w:rPr>
          <w:rFonts w:ascii="Arial" w:hAnsi="Arial" w:cs="Arial"/>
          <w:sz w:val="24"/>
          <w:szCs w:val="24"/>
        </w:rPr>
      </w:pPr>
      <w:r w:rsidRPr="00F15A1E">
        <w:rPr>
          <w:rFonts w:ascii="Arial" w:hAnsi="Arial" w:cs="Arial"/>
          <w:b/>
          <w:sz w:val="24"/>
          <w:szCs w:val="24"/>
        </w:rPr>
        <w:t xml:space="preserve">Ležište uglja “Mataruge” - </w:t>
      </w:r>
      <w:r w:rsidRPr="00F15A1E">
        <w:rPr>
          <w:rFonts w:ascii="Arial" w:hAnsi="Arial" w:cs="Arial"/>
          <w:sz w:val="24"/>
          <w:szCs w:val="24"/>
        </w:rPr>
        <w:t xml:space="preserve">Ležište je nedovoljno istraženo i rezerve uglja na nivou C1 i C2 kategorije procijenjuju se na 8.300.000 t uglja. Podaci o kvalitetu iz 8 bušotina ukazuju na prosječnu - procjenjenu vrijednost DTE uglja od 8.350 KJ/kg, sa </w:t>
      </w:r>
      <w:r w:rsidRPr="00F15A1E">
        <w:rPr>
          <w:rFonts w:ascii="Arial" w:hAnsi="Arial" w:cs="Arial"/>
          <w:sz w:val="24"/>
          <w:szCs w:val="24"/>
        </w:rPr>
        <w:lastRenderedPageBreak/>
        <w:t>koeficijentom otkrivke 1,87 m3 čm/t . Procijenjene količine otkrivke u ležištu su na nivou od 15.500.000 m3čm.</w:t>
      </w:r>
    </w:p>
    <w:p w:rsidR="00F15A1E" w:rsidRDefault="00F15A1E" w:rsidP="00F15A1E">
      <w:pPr>
        <w:spacing w:after="0"/>
        <w:jc w:val="both"/>
        <w:rPr>
          <w:rFonts w:ascii="Arial" w:hAnsi="Arial" w:cs="Arial"/>
          <w:sz w:val="24"/>
          <w:szCs w:val="24"/>
        </w:rPr>
      </w:pPr>
    </w:p>
    <w:p w:rsidR="00A87709" w:rsidRPr="00F15A1E" w:rsidRDefault="00F15A1E" w:rsidP="00F15A1E">
      <w:pPr>
        <w:spacing w:after="0"/>
        <w:jc w:val="both"/>
        <w:rPr>
          <w:rFonts w:ascii="Arial" w:hAnsi="Arial" w:cs="Arial"/>
          <w:sz w:val="24"/>
          <w:szCs w:val="24"/>
        </w:rPr>
      </w:pPr>
      <w:r w:rsidRPr="00F15A1E">
        <w:rPr>
          <w:rFonts w:ascii="Arial" w:hAnsi="Arial" w:cs="Arial"/>
          <w:sz w:val="24"/>
          <w:szCs w:val="24"/>
        </w:rPr>
        <w:t>Po procijenjenim rezervama ležište Mataruge spada u ležišta uglja srednje veličine i zaslužuje da se na njemu sprovedu detaljna geološka istraživanja, kako bi se proračunom potvrdile rezerve, dobili podaci o kvalitetu uglja i sagledao ekonomski značaj ležišta.</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b/>
          <w:sz w:val="24"/>
          <w:szCs w:val="24"/>
        </w:rPr>
        <w:t>Basen “Maoče”</w:t>
      </w:r>
      <w:r w:rsidRPr="007F34C7">
        <w:rPr>
          <w:rFonts w:ascii="Arial" w:hAnsi="Arial" w:cs="Arial"/>
          <w:sz w:val="24"/>
          <w:szCs w:val="24"/>
        </w:rPr>
        <w:t xml:space="preserve"> - Bilansne rezerve uglja basena “Maoče” iznose 109.900.000 t</w:t>
      </w:r>
      <w:r w:rsidR="007F34C7" w:rsidRPr="007F34C7">
        <w:rPr>
          <w:rFonts w:ascii="Arial" w:hAnsi="Arial" w:cs="Arial"/>
          <w:sz w:val="24"/>
          <w:szCs w:val="24"/>
        </w:rPr>
        <w:t>one</w:t>
      </w:r>
      <w:r w:rsidRPr="007F34C7">
        <w:rPr>
          <w:rFonts w:ascii="Arial" w:hAnsi="Arial" w:cs="Arial"/>
          <w:sz w:val="24"/>
          <w:szCs w:val="24"/>
        </w:rPr>
        <w:t xml:space="preserve"> uglja, od čega je 90.100.000 t</w:t>
      </w:r>
      <w:r w:rsidR="007F34C7" w:rsidRPr="007F34C7">
        <w:rPr>
          <w:rFonts w:ascii="Arial" w:hAnsi="Arial" w:cs="Arial"/>
          <w:sz w:val="24"/>
          <w:szCs w:val="24"/>
        </w:rPr>
        <w:t>one</w:t>
      </w:r>
      <w:r w:rsidRPr="007F34C7">
        <w:rPr>
          <w:rFonts w:ascii="Arial" w:hAnsi="Arial" w:cs="Arial"/>
          <w:sz w:val="24"/>
          <w:szCs w:val="24"/>
        </w:rPr>
        <w:t xml:space="preserve"> rezervi uglja na nivou istraženosti B kategorije, a 19.800.000 t rezervi uglja na nivou istraženosti C1 kategorije. Prosječan DTE bilansnih rezervi uglja iznosi 12.504 KJ/kg. Za eksploataciju uglja u okviru konture bilansnih rezervi potrebno je otkopati</w:t>
      </w:r>
      <w:r w:rsidR="00F15A1E">
        <w:rPr>
          <w:rFonts w:ascii="Arial" w:hAnsi="Arial" w:cs="Arial"/>
          <w:sz w:val="24"/>
          <w:szCs w:val="24"/>
        </w:rPr>
        <w:t xml:space="preserve"> i odložiti u otkopani prostor </w:t>
      </w:r>
      <w:r w:rsidRPr="007F34C7">
        <w:rPr>
          <w:rFonts w:ascii="Arial" w:hAnsi="Arial" w:cs="Arial"/>
          <w:sz w:val="24"/>
          <w:szCs w:val="24"/>
        </w:rPr>
        <w:t>497.500.000 m</w:t>
      </w:r>
      <w:r w:rsidRPr="007F34C7">
        <w:rPr>
          <w:rFonts w:ascii="Arial" w:hAnsi="Arial" w:cs="Arial"/>
          <w:sz w:val="24"/>
          <w:szCs w:val="24"/>
          <w:vertAlign w:val="superscript"/>
        </w:rPr>
        <w:t>3</w:t>
      </w:r>
      <w:r w:rsidRPr="007F34C7">
        <w:rPr>
          <w:rFonts w:ascii="Arial" w:hAnsi="Arial" w:cs="Arial"/>
          <w:sz w:val="24"/>
          <w:szCs w:val="24"/>
        </w:rPr>
        <w:t>čm otkrivke sa prosječnim koeficijentom otkrivke od 4,53 m3čm/t na budućem površinskom kopu.</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lang w:val="sr-Latn-CS"/>
        </w:rPr>
      </w:pPr>
      <w:r w:rsidRPr="007F34C7">
        <w:rPr>
          <w:rFonts w:ascii="Arial" w:hAnsi="Arial" w:cs="Arial"/>
          <w:sz w:val="24"/>
          <w:szCs w:val="24"/>
          <w:lang w:val="sr-Latn-CS"/>
        </w:rPr>
        <w:t xml:space="preserve">Bilansne rezerve uglja pljevaljske opštine, sa stanjem na dan 31.12.2017. godine, iznose </w:t>
      </w:r>
      <w:r w:rsidRPr="007F34C7">
        <w:rPr>
          <w:rFonts w:ascii="Arial" w:hAnsi="Arial" w:cs="Arial"/>
          <w:sz w:val="24"/>
          <w:szCs w:val="24"/>
        </w:rPr>
        <w:t>176.395.109</w:t>
      </w:r>
      <w:r w:rsidRPr="007F34C7">
        <w:rPr>
          <w:rFonts w:ascii="Arial" w:hAnsi="Arial" w:cs="Arial"/>
          <w:b/>
          <w:sz w:val="24"/>
          <w:szCs w:val="24"/>
        </w:rPr>
        <w:t xml:space="preserve"> </w:t>
      </w:r>
      <w:r w:rsidR="007D14F5" w:rsidRPr="007F34C7">
        <w:rPr>
          <w:rFonts w:ascii="Arial" w:hAnsi="Arial" w:cs="Arial"/>
          <w:sz w:val="24"/>
          <w:szCs w:val="24"/>
          <w:lang w:val="sr-Latn-CS"/>
        </w:rPr>
        <w:t>t</w:t>
      </w:r>
      <w:r w:rsidR="007F34C7" w:rsidRPr="007F34C7">
        <w:rPr>
          <w:rFonts w:ascii="Arial" w:hAnsi="Arial" w:cs="Arial"/>
          <w:sz w:val="24"/>
          <w:szCs w:val="24"/>
          <w:lang w:val="sr-Latn-CS"/>
        </w:rPr>
        <w:t>one</w:t>
      </w:r>
      <w:r w:rsidR="007D14F5" w:rsidRPr="007F34C7">
        <w:rPr>
          <w:rFonts w:ascii="Arial" w:hAnsi="Arial" w:cs="Arial"/>
          <w:sz w:val="24"/>
          <w:szCs w:val="24"/>
          <w:lang w:val="sr-Latn-CS"/>
        </w:rPr>
        <w:t>.</w:t>
      </w:r>
    </w:p>
    <w:p w:rsidR="00A87709" w:rsidRPr="007F34C7" w:rsidRDefault="00A87709" w:rsidP="00DB12D9">
      <w:pPr>
        <w:spacing w:after="0"/>
        <w:jc w:val="both"/>
        <w:rPr>
          <w:rFonts w:ascii="Arial" w:eastAsia="Times New Roman" w:hAnsi="Arial" w:cs="Arial"/>
          <w:sz w:val="24"/>
          <w:szCs w:val="24"/>
        </w:rPr>
      </w:pPr>
    </w:p>
    <w:p w:rsidR="00A87709" w:rsidRPr="007F34C7" w:rsidRDefault="00A87709" w:rsidP="00DB12D9">
      <w:pPr>
        <w:spacing w:after="0"/>
        <w:jc w:val="both"/>
        <w:rPr>
          <w:rFonts w:ascii="Arial" w:hAnsi="Arial" w:cs="Arial"/>
          <w:b/>
          <w:sz w:val="24"/>
          <w:szCs w:val="24"/>
          <w:lang w:val="sr-Latn-CS"/>
        </w:rPr>
      </w:pPr>
      <w:r w:rsidRPr="007F34C7">
        <w:rPr>
          <w:rFonts w:ascii="Arial" w:hAnsi="Arial" w:cs="Arial"/>
          <w:b/>
          <w:sz w:val="24"/>
          <w:szCs w:val="24"/>
          <w:lang w:val="sr-Latn-CS"/>
        </w:rPr>
        <w:t>Stepen istraženosti ležišta uglja pljevaljske opštine i potrebe doistraživanja</w:t>
      </w:r>
    </w:p>
    <w:p w:rsidR="00A87709" w:rsidRPr="007F34C7" w:rsidRDefault="00A87709" w:rsidP="00DB12D9">
      <w:pPr>
        <w:spacing w:after="0"/>
        <w:jc w:val="both"/>
        <w:rPr>
          <w:rFonts w:ascii="Arial" w:hAnsi="Arial" w:cs="Arial"/>
          <w:b/>
          <w:sz w:val="24"/>
          <w:szCs w:val="24"/>
          <w:lang w:val="sr-Latn-CS"/>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lang w:val="sr-Latn-CS"/>
        </w:rPr>
        <w:t>Ležišta pljevaljskog basena „Potrlica“ i „Kalušići“ su detaljno istražena A+B+C1 kategorije istraženosti, dok su ležišta uglja „Grevo“, „Komini“ i „Rabitlje“ na nivou istraženosti C1 kategorije.</w:t>
      </w:r>
      <w:r w:rsidRPr="007F34C7">
        <w:rPr>
          <w:rFonts w:ascii="Arial" w:hAnsi="Arial" w:cs="Arial"/>
          <w:sz w:val="24"/>
          <w:szCs w:val="24"/>
        </w:rPr>
        <w:t xml:space="preserve"> Sjeverni dio ležišta „Komini“ i ležište „Rabitlje“ su prethodnih godina doistraženi i rezultati istraživanja se obrađuju u Elaboratu o rezervama čija je izrada u toku. U narednom periodu biće doistrađeno i ležište „Grevo“.</w:t>
      </w:r>
    </w:p>
    <w:p w:rsidR="00A87709" w:rsidRPr="007F34C7" w:rsidRDefault="00A87709" w:rsidP="00DB12D9">
      <w:pPr>
        <w:pStyle w:val="ListParagraph"/>
        <w:spacing w:after="0"/>
        <w:ind w:left="0"/>
        <w:jc w:val="both"/>
        <w:rPr>
          <w:rFonts w:ascii="Arial" w:hAnsi="Arial" w:cs="Arial"/>
          <w:sz w:val="24"/>
          <w:szCs w:val="24"/>
          <w:lang w:val="sr-Latn-CS"/>
        </w:rPr>
      </w:pPr>
    </w:p>
    <w:p w:rsidR="00A87709" w:rsidRPr="007F34C7" w:rsidRDefault="00A87709" w:rsidP="00DB12D9">
      <w:pPr>
        <w:spacing w:after="0"/>
        <w:jc w:val="both"/>
        <w:rPr>
          <w:rFonts w:ascii="Arial" w:hAnsi="Arial" w:cs="Arial"/>
          <w:sz w:val="24"/>
          <w:szCs w:val="24"/>
          <w:lang w:val="sr-Latn-CS"/>
        </w:rPr>
      </w:pPr>
      <w:r w:rsidRPr="007F34C7">
        <w:rPr>
          <w:rFonts w:ascii="Arial" w:hAnsi="Arial" w:cs="Arial"/>
          <w:sz w:val="24"/>
          <w:szCs w:val="24"/>
          <w:lang w:val="sr-Latn-CS"/>
        </w:rPr>
        <w:t>Takođe, detaljno su istražene rezerve obodnih dijelova ležišta „Šumani I“ i „Ljuće I“ i ležište „Ljuće II“ kao preostale rezerve ljuće – šumanskog basena, kao i ležišta uglja „Glisnica“, „Otilovići“ i „Bakrenjače“ i Basen Maoče.</w:t>
      </w:r>
    </w:p>
    <w:p w:rsidR="00A87709" w:rsidRPr="007F34C7" w:rsidRDefault="00A87709" w:rsidP="00DB12D9">
      <w:pPr>
        <w:spacing w:after="0"/>
        <w:jc w:val="both"/>
        <w:rPr>
          <w:rFonts w:ascii="Arial" w:hAnsi="Arial" w:cs="Arial"/>
          <w:sz w:val="24"/>
          <w:szCs w:val="24"/>
          <w:lang w:val="sr-Latn-CS"/>
        </w:rPr>
      </w:pPr>
    </w:p>
    <w:p w:rsidR="00A87709" w:rsidRPr="007F34C7" w:rsidRDefault="00A87709" w:rsidP="00DB12D9">
      <w:pPr>
        <w:spacing w:after="0"/>
        <w:jc w:val="both"/>
        <w:rPr>
          <w:rFonts w:ascii="Arial" w:hAnsi="Arial" w:cs="Arial"/>
          <w:sz w:val="24"/>
          <w:szCs w:val="24"/>
          <w:lang w:val="sr-Latn-CS"/>
        </w:rPr>
      </w:pPr>
      <w:r w:rsidRPr="007F34C7">
        <w:rPr>
          <w:rFonts w:ascii="Arial" w:hAnsi="Arial" w:cs="Arial"/>
          <w:sz w:val="24"/>
          <w:szCs w:val="24"/>
          <w:lang w:val="sr-Latn-CS"/>
        </w:rPr>
        <w:t>U narednom periodu predstoji detaljno geološko istraživanje ležišta uglja „Mataruge“ čije reze</w:t>
      </w:r>
      <w:r w:rsidR="00F15A1E">
        <w:rPr>
          <w:rFonts w:ascii="Arial" w:hAnsi="Arial" w:cs="Arial"/>
          <w:sz w:val="24"/>
          <w:szCs w:val="24"/>
          <w:lang w:val="sr-Latn-CS"/>
        </w:rPr>
        <w:t>rve su procijenjene na 8.300.000</w:t>
      </w:r>
      <w:r w:rsidRPr="007F34C7">
        <w:rPr>
          <w:rFonts w:ascii="Arial" w:hAnsi="Arial" w:cs="Arial"/>
          <w:sz w:val="24"/>
          <w:szCs w:val="24"/>
          <w:lang w:val="sr-Latn-CS"/>
        </w:rPr>
        <w:t xml:space="preserve"> t</w:t>
      </w:r>
      <w:r w:rsidR="007F34C7" w:rsidRPr="007F34C7">
        <w:rPr>
          <w:rFonts w:ascii="Arial" w:hAnsi="Arial" w:cs="Arial"/>
          <w:sz w:val="24"/>
          <w:szCs w:val="24"/>
          <w:lang w:val="sr-Latn-CS"/>
        </w:rPr>
        <w:t>one</w:t>
      </w:r>
      <w:r w:rsidRPr="007F34C7">
        <w:rPr>
          <w:rFonts w:ascii="Arial" w:hAnsi="Arial" w:cs="Arial"/>
          <w:sz w:val="24"/>
          <w:szCs w:val="24"/>
          <w:lang w:val="sr-Latn-CS"/>
        </w:rPr>
        <w:t>. Takođe, racionalno bi bilo i do</w:t>
      </w:r>
      <w:r w:rsidR="00F15A1E">
        <w:rPr>
          <w:rFonts w:ascii="Arial" w:hAnsi="Arial" w:cs="Arial"/>
          <w:sz w:val="24"/>
          <w:szCs w:val="24"/>
          <w:lang w:val="sr-Latn-CS"/>
        </w:rPr>
        <w:t>i</w:t>
      </w:r>
      <w:r w:rsidRPr="007F34C7">
        <w:rPr>
          <w:rFonts w:ascii="Arial" w:hAnsi="Arial" w:cs="Arial"/>
          <w:sz w:val="24"/>
          <w:szCs w:val="24"/>
          <w:lang w:val="sr-Latn-CS"/>
        </w:rPr>
        <w:t xml:space="preserve">straživanje prostora ljuće-šumanskog basena koji nije bio obuhvaćen rudarskom aktivnošću  u prethodnom periodu u smislu potvrđivanja ugljenog sloja i sagledavanja ekonomskog značaja preostalih rezervi uglja ovog basena. </w:t>
      </w:r>
    </w:p>
    <w:p w:rsidR="00A87709" w:rsidRPr="007F34C7" w:rsidRDefault="00A87709" w:rsidP="00DB12D9">
      <w:pPr>
        <w:spacing w:after="0"/>
        <w:jc w:val="both"/>
        <w:rPr>
          <w:rFonts w:ascii="Arial" w:hAnsi="Arial" w:cs="Arial"/>
          <w:sz w:val="24"/>
          <w:szCs w:val="24"/>
          <w:lang w:val="sr-Latn-CS"/>
        </w:rPr>
      </w:pPr>
    </w:p>
    <w:p w:rsidR="00A87709" w:rsidRPr="007F34C7" w:rsidRDefault="00A87709" w:rsidP="00DB12D9">
      <w:pPr>
        <w:spacing w:after="0"/>
        <w:jc w:val="both"/>
        <w:rPr>
          <w:rFonts w:ascii="Arial" w:hAnsi="Arial" w:cs="Arial"/>
          <w:sz w:val="24"/>
          <w:szCs w:val="24"/>
          <w:lang w:val="sr-Latn-CS"/>
        </w:rPr>
      </w:pPr>
      <w:r w:rsidRPr="007F34C7">
        <w:rPr>
          <w:rFonts w:ascii="Arial" w:hAnsi="Arial" w:cs="Arial"/>
          <w:sz w:val="24"/>
          <w:szCs w:val="24"/>
          <w:lang w:val="sr-Latn-CS"/>
        </w:rPr>
        <w:t xml:space="preserve">Sva ležišta koja su detaljno istražena zadovoljavaju kriterijum procentualne zastupljenosti rezervi A i B kategorije istraženosti za izradu projektne dokumentacije, a uz druge potrebne uslove i za otvaranje ležišta. </w:t>
      </w:r>
    </w:p>
    <w:p w:rsidR="00A87709" w:rsidRPr="007F34C7" w:rsidRDefault="00A87709"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rPr>
      </w:pPr>
      <w:r w:rsidRPr="007F34C7">
        <w:rPr>
          <w:rFonts w:ascii="Arial" w:hAnsi="Arial" w:cs="Arial"/>
          <w:sz w:val="24"/>
          <w:szCs w:val="24"/>
        </w:rPr>
        <w:t>Ispred fronta rudarskih radova na ležištima uglja koja su u eksploataciji prema Zakonu o geološkim istraživanjima izvodiće se i detaljn</w:t>
      </w:r>
      <w:r w:rsidR="000E0093" w:rsidRPr="007F34C7">
        <w:rPr>
          <w:rFonts w:ascii="Arial" w:hAnsi="Arial" w:cs="Arial"/>
          <w:sz w:val="24"/>
          <w:szCs w:val="24"/>
        </w:rPr>
        <w:t>a geološka istraživanja terena.</w:t>
      </w:r>
    </w:p>
    <w:p w:rsidR="000E0093" w:rsidRPr="007F34C7" w:rsidRDefault="000E0093" w:rsidP="00DB12D9">
      <w:pPr>
        <w:spacing w:after="0"/>
        <w:jc w:val="both"/>
        <w:rPr>
          <w:rFonts w:ascii="Arial" w:hAnsi="Arial" w:cs="Arial"/>
          <w:sz w:val="24"/>
          <w:szCs w:val="24"/>
        </w:rPr>
      </w:pPr>
    </w:p>
    <w:p w:rsidR="00A87709" w:rsidRPr="007F34C7" w:rsidRDefault="00A87709" w:rsidP="00DB12D9">
      <w:pPr>
        <w:spacing w:after="0"/>
        <w:jc w:val="both"/>
        <w:rPr>
          <w:rFonts w:ascii="Arial" w:hAnsi="Arial" w:cs="Arial"/>
          <w:sz w:val="24"/>
          <w:szCs w:val="24"/>
          <w:lang w:val="pl-PL"/>
        </w:rPr>
      </w:pPr>
      <w:r w:rsidRPr="007F34C7">
        <w:rPr>
          <w:rFonts w:ascii="Arial" w:hAnsi="Arial" w:cs="Arial"/>
          <w:sz w:val="24"/>
          <w:szCs w:val="24"/>
          <w:lang w:val="pl-PL"/>
        </w:rPr>
        <w:t>Postoji i manji broj lokaliteta na kojima se prema osnovnim geološkim istraživanjima nalazi ugalj ali su oni do sada ostali neistraženi (Bušnje, Brvenica, Rađevići, Potpeće, Tješanj i dr).</w:t>
      </w:r>
    </w:p>
    <w:p w:rsidR="0027075D" w:rsidRPr="007F34C7" w:rsidRDefault="0027075D" w:rsidP="00DB12D9">
      <w:pPr>
        <w:spacing w:after="0"/>
        <w:jc w:val="both"/>
        <w:rPr>
          <w:rFonts w:ascii="Arial" w:hAnsi="Arial" w:cs="Arial"/>
          <w:b/>
          <w:sz w:val="24"/>
          <w:szCs w:val="24"/>
          <w:lang w:val="sr-Latn-CS"/>
        </w:rPr>
      </w:pPr>
    </w:p>
    <w:p w:rsidR="00A87709" w:rsidRPr="007F34C7" w:rsidRDefault="00A87709" w:rsidP="00DB12D9">
      <w:pPr>
        <w:spacing w:after="0"/>
        <w:jc w:val="both"/>
        <w:rPr>
          <w:rFonts w:ascii="Arial" w:hAnsi="Arial" w:cs="Arial"/>
          <w:sz w:val="24"/>
          <w:szCs w:val="24"/>
          <w:lang w:val="sr-Latn-CS"/>
        </w:rPr>
      </w:pPr>
      <w:r w:rsidRPr="007F34C7">
        <w:rPr>
          <w:rFonts w:ascii="Arial" w:hAnsi="Arial" w:cs="Arial"/>
          <w:b/>
          <w:sz w:val="24"/>
          <w:szCs w:val="24"/>
          <w:lang w:val="sr-Latn-CS"/>
        </w:rPr>
        <w:t>Prostorno – planska dokumentacija</w:t>
      </w:r>
      <w:r w:rsidR="0027075D" w:rsidRPr="007F34C7">
        <w:rPr>
          <w:rFonts w:ascii="Arial" w:hAnsi="Arial" w:cs="Arial"/>
          <w:b/>
          <w:sz w:val="24"/>
          <w:szCs w:val="24"/>
          <w:lang w:val="sr-Latn-CS"/>
        </w:rPr>
        <w:t>:</w:t>
      </w:r>
      <w:r w:rsidR="0027075D" w:rsidRPr="007F34C7">
        <w:rPr>
          <w:rFonts w:ascii="Arial" w:hAnsi="Arial" w:cs="Arial"/>
          <w:sz w:val="24"/>
          <w:szCs w:val="24"/>
          <w:lang w:val="sr-Latn-CS"/>
        </w:rPr>
        <w:t xml:space="preserve">  </w:t>
      </w:r>
      <w:r w:rsidRPr="007F34C7">
        <w:rPr>
          <w:rFonts w:ascii="Arial" w:hAnsi="Arial" w:cs="Arial"/>
          <w:sz w:val="24"/>
          <w:szCs w:val="24"/>
          <w:lang w:val="sr-Latn-CS"/>
        </w:rPr>
        <w:t xml:space="preserve">Prostornim planom Crne Gore prostor ležišta uglja pljevaljske opštine rezervisan je kao prostor posebne namjene za istraživanje i eksploataciju mineralnih sirovina, a PUP-om Opštine Pljevlja, Izmjenama i dopunama PUP-a Opštine Pljevlja i Izmjenama i dopunama DPP </w:t>
      </w:r>
      <w:r w:rsidRPr="007F34C7">
        <w:rPr>
          <w:rFonts w:ascii="Arial" w:hAnsi="Arial" w:cs="Arial"/>
          <w:sz w:val="24"/>
          <w:szCs w:val="24"/>
        </w:rPr>
        <w:t>„</w:t>
      </w:r>
      <w:r w:rsidRPr="007F34C7">
        <w:rPr>
          <w:rFonts w:ascii="Arial" w:hAnsi="Arial" w:cs="Arial"/>
          <w:sz w:val="24"/>
          <w:szCs w:val="24"/>
          <w:lang w:val="sr-Latn-CS"/>
        </w:rPr>
        <w:t>TE Pljevlja</w:t>
      </w:r>
      <w:r w:rsidRPr="007F34C7">
        <w:rPr>
          <w:rFonts w:ascii="Arial" w:hAnsi="Arial" w:cs="Arial"/>
          <w:sz w:val="24"/>
          <w:szCs w:val="24"/>
        </w:rPr>
        <w:t>“</w:t>
      </w:r>
      <w:r w:rsidRPr="007F34C7">
        <w:rPr>
          <w:rFonts w:ascii="Arial" w:hAnsi="Arial" w:cs="Arial"/>
          <w:sz w:val="24"/>
          <w:szCs w:val="24"/>
          <w:lang w:val="sr-Latn-CS"/>
        </w:rPr>
        <w:t xml:space="preserve"> preuzeta je namjena prostora i definisane su prostorno-planske smjernice za korišćenje prostora ovih ležišta za detaljna geološka istraživanja i eksploataciju uglja.</w:t>
      </w:r>
    </w:p>
    <w:p w:rsidR="000E0093" w:rsidRPr="007F34C7" w:rsidRDefault="000E0093" w:rsidP="00DB12D9">
      <w:pPr>
        <w:autoSpaceDE w:val="0"/>
        <w:autoSpaceDN w:val="0"/>
        <w:adjustRightInd w:val="0"/>
        <w:spacing w:after="0"/>
        <w:ind w:left="720"/>
        <w:jc w:val="both"/>
        <w:rPr>
          <w:rFonts w:ascii="Arial" w:hAnsi="Arial" w:cs="Arial"/>
          <w:b/>
          <w:bCs/>
          <w:sz w:val="24"/>
          <w:szCs w:val="24"/>
        </w:rPr>
      </w:pPr>
    </w:p>
    <w:p w:rsidR="007D14F5" w:rsidRPr="007F34C7" w:rsidRDefault="007D14F5" w:rsidP="00DB12D9">
      <w:pPr>
        <w:spacing w:after="0"/>
        <w:jc w:val="both"/>
        <w:rPr>
          <w:rFonts w:ascii="Arial" w:hAnsi="Arial" w:cs="Arial"/>
          <w:b/>
          <w:sz w:val="24"/>
          <w:szCs w:val="24"/>
          <w:lang w:val="sr-Latn-CS"/>
        </w:rPr>
      </w:pPr>
      <w:r w:rsidRPr="007F34C7">
        <w:rPr>
          <w:rFonts w:ascii="Arial" w:hAnsi="Arial" w:cs="Arial"/>
          <w:b/>
          <w:sz w:val="24"/>
          <w:szCs w:val="24"/>
          <w:lang w:val="sr-Latn-CS"/>
        </w:rPr>
        <w:t>Ležišta uglja na teritoriji beranske opštine</w:t>
      </w:r>
    </w:p>
    <w:p w:rsidR="007D14F5" w:rsidRPr="007F34C7" w:rsidRDefault="007D14F5" w:rsidP="00DB12D9">
      <w:pPr>
        <w:spacing w:after="0"/>
        <w:jc w:val="both"/>
        <w:rPr>
          <w:rFonts w:ascii="Arial" w:hAnsi="Arial" w:cs="Arial"/>
          <w:sz w:val="24"/>
          <w:szCs w:val="24"/>
          <w:lang w:val="sr-Latn-CS"/>
        </w:rPr>
      </w:pPr>
    </w:p>
    <w:p w:rsidR="007D14F5" w:rsidRPr="007F34C7" w:rsidRDefault="007D14F5" w:rsidP="00DB12D9">
      <w:pPr>
        <w:pStyle w:val="ListParagraph"/>
        <w:shd w:val="clear" w:color="auto" w:fill="FFFFFF"/>
        <w:spacing w:after="0"/>
        <w:ind w:left="11"/>
        <w:jc w:val="both"/>
        <w:rPr>
          <w:rFonts w:ascii="Arial" w:hAnsi="Arial" w:cs="Arial"/>
          <w:sz w:val="24"/>
          <w:szCs w:val="24"/>
        </w:rPr>
      </w:pPr>
      <w:r w:rsidRPr="007F34C7">
        <w:rPr>
          <w:rFonts w:ascii="Arial" w:hAnsi="Arial" w:cs="Arial"/>
          <w:sz w:val="24"/>
          <w:szCs w:val="24"/>
        </w:rPr>
        <w:t xml:space="preserve">Na teritoriji Opštine Berane mogu se izdvojiti dva basena mrkog uglja i to beranski i polički ugljeni basen. U okviru beranskog basena izdvojena su četiri revira, odnosno ležišta uglja: Budimlja, Petnjik, Zagorje i Berane. </w:t>
      </w:r>
    </w:p>
    <w:p w:rsidR="007D14F5" w:rsidRPr="002C7FF6" w:rsidRDefault="007D14F5" w:rsidP="007D14F5">
      <w:pPr>
        <w:pStyle w:val="ListParagraph"/>
        <w:shd w:val="clear" w:color="auto" w:fill="FFFFFF"/>
        <w:spacing w:after="0" w:line="240" w:lineRule="auto"/>
        <w:ind w:left="11"/>
        <w:jc w:val="both"/>
        <w:rPr>
          <w:rFonts w:ascii="Arial" w:hAnsi="Arial" w:cs="Arial"/>
          <w:color w:val="FF0000"/>
          <w:sz w:val="24"/>
          <w:szCs w:val="24"/>
        </w:rPr>
      </w:pPr>
    </w:p>
    <w:p w:rsidR="007D14F5" w:rsidRDefault="001210F4" w:rsidP="007D14F5">
      <w:pPr>
        <w:spacing w:after="0" w:line="240" w:lineRule="auto"/>
        <w:jc w:val="both"/>
        <w:rPr>
          <w:rFonts w:ascii="Times New Roman" w:hAnsi="Times New Roman"/>
          <w:noProof/>
        </w:rPr>
      </w:pPr>
      <w:r>
        <w:rPr>
          <w:rFonts w:ascii="Times New Roman" w:hAnsi="Times New Roman"/>
          <w:noProof/>
        </w:rPr>
        <w:drawing>
          <wp:inline distT="0" distB="0" distL="0" distR="0">
            <wp:extent cx="5736590" cy="4157980"/>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5736590" cy="4157980"/>
                    </a:xfrm>
                    <a:prstGeom prst="rect">
                      <a:avLst/>
                    </a:prstGeom>
                    <a:noFill/>
                    <a:ln w="9525">
                      <a:noFill/>
                      <a:miter lim="800000"/>
                      <a:headEnd/>
                      <a:tailEnd/>
                    </a:ln>
                  </pic:spPr>
                </pic:pic>
              </a:graphicData>
            </a:graphic>
          </wp:inline>
        </w:drawing>
      </w:r>
    </w:p>
    <w:p w:rsidR="000E0093" w:rsidRDefault="000E0093" w:rsidP="007F34C7">
      <w:pPr>
        <w:autoSpaceDE w:val="0"/>
        <w:autoSpaceDN w:val="0"/>
        <w:adjustRightInd w:val="0"/>
        <w:spacing w:after="0"/>
        <w:rPr>
          <w:rFonts w:ascii="Arial" w:hAnsi="Arial" w:cs="Arial"/>
          <w:i/>
          <w:iCs/>
          <w:color w:val="FF0000"/>
        </w:rPr>
      </w:pPr>
      <w:r w:rsidRPr="00231FAD">
        <w:rPr>
          <w:rFonts w:ascii="Arial" w:hAnsi="Arial" w:cs="Arial"/>
          <w:b/>
          <w:iCs/>
        </w:rPr>
        <w:t>Slika 1.</w:t>
      </w:r>
      <w:r>
        <w:rPr>
          <w:rFonts w:ascii="Arial" w:hAnsi="Arial" w:cs="Arial"/>
          <w:b/>
          <w:iCs/>
        </w:rPr>
        <w:t>4</w:t>
      </w:r>
      <w:r w:rsidRPr="00231FAD">
        <w:rPr>
          <w:rFonts w:ascii="Arial" w:hAnsi="Arial" w:cs="Arial"/>
          <w:b/>
          <w:iCs/>
        </w:rPr>
        <w:t>.</w:t>
      </w:r>
      <w:r w:rsidRPr="00231FAD">
        <w:rPr>
          <w:rFonts w:ascii="Arial" w:hAnsi="Arial" w:cs="Arial"/>
          <w:i/>
          <w:iCs/>
          <w:color w:val="FF0000"/>
        </w:rPr>
        <w:t xml:space="preserve"> </w:t>
      </w:r>
      <w:r>
        <w:rPr>
          <w:rFonts w:ascii="Arial" w:hAnsi="Arial" w:cs="Arial"/>
          <w:iCs/>
        </w:rPr>
        <w:t xml:space="preserve">Ležišta na teritoriji opštine Berane </w:t>
      </w:r>
    </w:p>
    <w:p w:rsidR="000E0093" w:rsidRDefault="000E0093" w:rsidP="007D14F5">
      <w:pPr>
        <w:spacing w:after="0" w:line="240" w:lineRule="auto"/>
        <w:jc w:val="both"/>
        <w:rPr>
          <w:rFonts w:ascii="Arial" w:hAnsi="Arial" w:cs="Arial"/>
          <w:sz w:val="20"/>
          <w:szCs w:val="20"/>
          <w:shd w:val="clear" w:color="auto" w:fill="FFFFFF"/>
        </w:rPr>
      </w:pPr>
    </w:p>
    <w:p w:rsidR="007D14F5" w:rsidRPr="007F34C7" w:rsidRDefault="007D14F5" w:rsidP="007D14F5">
      <w:pPr>
        <w:pStyle w:val="ListParagraph"/>
        <w:shd w:val="clear" w:color="auto" w:fill="FFFFFF"/>
        <w:spacing w:after="0" w:line="240" w:lineRule="auto"/>
        <w:ind w:left="11"/>
        <w:jc w:val="both"/>
        <w:rPr>
          <w:rFonts w:ascii="Arial" w:hAnsi="Arial" w:cs="Arial"/>
          <w:sz w:val="20"/>
          <w:szCs w:val="20"/>
        </w:rPr>
      </w:pPr>
    </w:p>
    <w:p w:rsidR="007D14F5" w:rsidRPr="007F34C7" w:rsidRDefault="007D14F5" w:rsidP="007F34C7">
      <w:pPr>
        <w:spacing w:after="0"/>
        <w:jc w:val="both"/>
        <w:rPr>
          <w:rFonts w:ascii="Arial" w:hAnsi="Arial" w:cs="Arial"/>
          <w:sz w:val="24"/>
          <w:szCs w:val="24"/>
          <w:lang w:val="sr-Latn-CS"/>
        </w:rPr>
      </w:pPr>
      <w:r w:rsidRPr="007F34C7">
        <w:rPr>
          <w:rFonts w:ascii="Arial" w:hAnsi="Arial" w:cs="Arial"/>
          <w:sz w:val="24"/>
          <w:szCs w:val="24"/>
          <w:lang w:val="sr-Latn-CS"/>
        </w:rPr>
        <w:lastRenderedPageBreak/>
        <w:t>Ugljene basene beranske opštine izgrađuju oligomiocenski sedimenti sa ugljem u dolini Lima na kojima se najvećim dijelom nalazi i grad Berane. Površine su od oko 28 km</w:t>
      </w:r>
      <w:r w:rsidRPr="007F34C7">
        <w:rPr>
          <w:rFonts w:ascii="Arial" w:hAnsi="Arial" w:cs="Arial"/>
          <w:sz w:val="24"/>
          <w:szCs w:val="24"/>
          <w:vertAlign w:val="superscript"/>
          <w:lang w:val="sr-Latn-CS"/>
        </w:rPr>
        <w:t>2</w:t>
      </w:r>
      <w:r w:rsidRPr="007F34C7">
        <w:rPr>
          <w:rFonts w:ascii="Arial" w:hAnsi="Arial" w:cs="Arial"/>
          <w:sz w:val="24"/>
          <w:szCs w:val="24"/>
          <w:lang w:val="sr-Latn-CS"/>
        </w:rPr>
        <w:t>. U starijim djelovima tercijarnih naslaga deponovane su različite gline u kojima je nabušeno oko 20 slojeva uglja. Sa desne strane Lima, tercijarne sedimente izgrađuju laporci u čijem se podinskom dijelu nalaze slojevi uglja od ekonomskog značaja. U mlađim djelovima stuba laporaca, međutim, nalaze se slojevi uglja ograničenog rasprostranjenja i značaja.</w:t>
      </w:r>
    </w:p>
    <w:p w:rsidR="007D14F5" w:rsidRPr="007F34C7" w:rsidRDefault="007D14F5" w:rsidP="007F34C7">
      <w:pPr>
        <w:spacing w:after="0"/>
        <w:jc w:val="both"/>
        <w:rPr>
          <w:rFonts w:ascii="Arial" w:hAnsi="Arial" w:cs="Arial"/>
          <w:sz w:val="24"/>
          <w:szCs w:val="24"/>
          <w:lang w:val="sr-Latn-CS"/>
        </w:rPr>
      </w:pPr>
    </w:p>
    <w:p w:rsidR="007D14F5" w:rsidRPr="007F34C7" w:rsidRDefault="007D14F5" w:rsidP="007F34C7">
      <w:pPr>
        <w:spacing w:after="0"/>
        <w:jc w:val="both"/>
        <w:rPr>
          <w:rFonts w:ascii="Arial" w:hAnsi="Arial" w:cs="Arial"/>
          <w:sz w:val="24"/>
          <w:szCs w:val="24"/>
          <w:lang w:val="sr-Latn-CS"/>
        </w:rPr>
      </w:pPr>
      <w:r w:rsidRPr="007F34C7">
        <w:rPr>
          <w:rFonts w:ascii="Arial" w:hAnsi="Arial" w:cs="Arial"/>
          <w:b/>
          <w:sz w:val="24"/>
          <w:szCs w:val="24"/>
          <w:lang w:val="sr-Latn-CS"/>
        </w:rPr>
        <w:t>Ležište Budimlja</w:t>
      </w:r>
      <w:r w:rsidRPr="007F34C7">
        <w:rPr>
          <w:rFonts w:ascii="Arial" w:hAnsi="Arial" w:cs="Arial"/>
          <w:sz w:val="24"/>
          <w:szCs w:val="24"/>
          <w:lang w:val="sr-Latn-CS"/>
        </w:rPr>
        <w:t xml:space="preserve"> - Eksploatacija uglja na ovom ležištu počinje 1959. godine i traje do 1980. Godine do kada ukupno otkopano jamskim putem oko 1.626.000 t</w:t>
      </w:r>
      <w:r w:rsidR="007F34C7" w:rsidRPr="007F34C7">
        <w:rPr>
          <w:rFonts w:ascii="Arial" w:hAnsi="Arial" w:cs="Arial"/>
          <w:sz w:val="24"/>
          <w:szCs w:val="24"/>
          <w:lang w:val="sr-Latn-CS"/>
        </w:rPr>
        <w:t>ona</w:t>
      </w:r>
      <w:r w:rsidRPr="007F34C7">
        <w:rPr>
          <w:rFonts w:ascii="Arial" w:hAnsi="Arial" w:cs="Arial"/>
          <w:sz w:val="24"/>
          <w:szCs w:val="24"/>
          <w:lang w:val="sr-Latn-CS"/>
        </w:rPr>
        <w:t xml:space="preserve"> uglja.</w:t>
      </w:r>
    </w:p>
    <w:p w:rsidR="007D14F5" w:rsidRPr="007F34C7" w:rsidRDefault="007D14F5" w:rsidP="007F34C7">
      <w:pPr>
        <w:spacing w:after="0"/>
        <w:jc w:val="both"/>
        <w:rPr>
          <w:rFonts w:ascii="Arial" w:hAnsi="Arial" w:cs="Arial"/>
          <w:sz w:val="24"/>
          <w:szCs w:val="24"/>
          <w:lang w:val="sr-Latn-CS"/>
        </w:rPr>
      </w:pPr>
    </w:p>
    <w:p w:rsidR="007D14F5" w:rsidRPr="007F34C7" w:rsidRDefault="007D14F5" w:rsidP="007F34C7">
      <w:pPr>
        <w:spacing w:after="0"/>
        <w:jc w:val="both"/>
        <w:rPr>
          <w:rFonts w:ascii="Arial" w:hAnsi="Arial" w:cs="Arial"/>
          <w:sz w:val="24"/>
          <w:szCs w:val="24"/>
          <w:lang w:val="sr-Latn-CS"/>
        </w:rPr>
      </w:pPr>
      <w:r w:rsidRPr="007F34C7">
        <w:rPr>
          <w:rFonts w:ascii="Arial" w:hAnsi="Arial" w:cs="Arial"/>
          <w:b/>
          <w:sz w:val="24"/>
          <w:szCs w:val="24"/>
          <w:lang w:val="sr-Latn-CS"/>
        </w:rPr>
        <w:t>Ležište Petnjik</w:t>
      </w:r>
      <w:r w:rsidRPr="007F34C7">
        <w:rPr>
          <w:rFonts w:ascii="Arial" w:hAnsi="Arial" w:cs="Arial"/>
          <w:sz w:val="24"/>
          <w:szCs w:val="24"/>
          <w:lang w:val="sr-Latn-CS"/>
        </w:rPr>
        <w:t xml:space="preserve"> – u ležištu su konstatovana su tri ugljena sloja: glavni ugljeni sloj razvijen je na čitavom prostoru revira, debljine od 4,0 do 6,2 m, srednje oko 3,5 m, prvi podinski sloj uglja sa ograničenim rasprostranjenjem i manje debljinu od glavnog na rastojanju od oko 8 m od glavnog ugljenog sloja i drugi podinski sloj manjih dimenzija i značaja od prvog. </w:t>
      </w:r>
    </w:p>
    <w:p w:rsidR="007D14F5" w:rsidRPr="007F34C7" w:rsidRDefault="007D14F5" w:rsidP="007F34C7">
      <w:pPr>
        <w:spacing w:after="0"/>
        <w:jc w:val="both"/>
        <w:rPr>
          <w:rFonts w:ascii="Arial" w:hAnsi="Arial" w:cs="Arial"/>
          <w:sz w:val="24"/>
          <w:szCs w:val="24"/>
          <w:lang w:val="sr-Latn-CS"/>
        </w:rPr>
      </w:pPr>
      <w:r w:rsidRPr="007F34C7">
        <w:rPr>
          <w:rFonts w:ascii="Arial" w:hAnsi="Arial" w:cs="Arial"/>
          <w:sz w:val="24"/>
          <w:szCs w:val="24"/>
          <w:lang w:val="sr-Latn-CS"/>
        </w:rPr>
        <w:t xml:space="preserve"> </w:t>
      </w:r>
    </w:p>
    <w:p w:rsidR="007D14F5" w:rsidRPr="007F34C7" w:rsidRDefault="007D14F5" w:rsidP="007F34C7">
      <w:pPr>
        <w:spacing w:after="0"/>
        <w:jc w:val="both"/>
        <w:rPr>
          <w:rFonts w:ascii="Arial" w:hAnsi="Arial" w:cs="Arial"/>
          <w:sz w:val="24"/>
          <w:szCs w:val="24"/>
          <w:lang w:val="sr-Latn-CS"/>
        </w:rPr>
      </w:pPr>
      <w:r w:rsidRPr="007F34C7">
        <w:rPr>
          <w:rFonts w:ascii="Arial" w:hAnsi="Arial" w:cs="Arial"/>
          <w:sz w:val="24"/>
          <w:szCs w:val="24"/>
          <w:lang w:val="sr-Latn-CS"/>
        </w:rPr>
        <w:t>Ugalj iz ležišta Petnjik se eksploatiše jamskim putem, ali njegova složena tektonska građa znatno otežava mogućnost primjene masovnih metoda otkopavanja. Kompletne količine uglja koje se eksploatišu iz jame “Petnjik“ isporučuju se prema TE „Pljevlja“. U periodu 2016</w:t>
      </w:r>
      <w:r w:rsidR="0043520E">
        <w:rPr>
          <w:rFonts w:ascii="Arial" w:hAnsi="Arial" w:cs="Arial"/>
          <w:sz w:val="24"/>
          <w:szCs w:val="24"/>
          <w:lang w:val="sr-Latn-CS"/>
        </w:rPr>
        <w:t xml:space="preserve"> </w:t>
      </w:r>
      <w:r w:rsidRPr="007F34C7">
        <w:rPr>
          <w:rFonts w:ascii="Arial" w:hAnsi="Arial" w:cs="Arial"/>
          <w:sz w:val="24"/>
          <w:szCs w:val="24"/>
          <w:lang w:val="sr-Latn-CS"/>
        </w:rPr>
        <w:t>-</w:t>
      </w:r>
      <w:r w:rsidR="0043520E">
        <w:rPr>
          <w:rFonts w:ascii="Arial" w:hAnsi="Arial" w:cs="Arial"/>
          <w:sz w:val="24"/>
          <w:szCs w:val="24"/>
          <w:lang w:val="sr-Latn-CS"/>
        </w:rPr>
        <w:t xml:space="preserve"> </w:t>
      </w:r>
      <w:r w:rsidRPr="007F34C7">
        <w:rPr>
          <w:rFonts w:ascii="Arial" w:hAnsi="Arial" w:cs="Arial"/>
          <w:sz w:val="24"/>
          <w:szCs w:val="24"/>
          <w:lang w:val="sr-Latn-CS"/>
        </w:rPr>
        <w:t>2017. godine iz ovog rudnika proizvedeno je ukupno 102.920 t</w:t>
      </w:r>
      <w:r w:rsidR="007F34C7" w:rsidRPr="007F34C7">
        <w:rPr>
          <w:rFonts w:ascii="Arial" w:hAnsi="Arial" w:cs="Arial"/>
          <w:sz w:val="24"/>
          <w:szCs w:val="24"/>
          <w:lang w:val="sr-Latn-CS"/>
        </w:rPr>
        <w:t>ona</w:t>
      </w:r>
      <w:r w:rsidRPr="007F34C7">
        <w:rPr>
          <w:rFonts w:ascii="Arial" w:hAnsi="Arial" w:cs="Arial"/>
          <w:sz w:val="24"/>
          <w:szCs w:val="24"/>
          <w:lang w:val="sr-Latn-CS"/>
        </w:rPr>
        <w:t xml:space="preserve"> uglja. Bilansne rezerve ovog ležišta sa stanjemna dan 31.12. 2017. god iznose 21.656.405 t</w:t>
      </w:r>
      <w:r w:rsidR="007F34C7" w:rsidRPr="007F34C7">
        <w:rPr>
          <w:rFonts w:ascii="Arial" w:hAnsi="Arial" w:cs="Arial"/>
          <w:sz w:val="24"/>
          <w:szCs w:val="24"/>
          <w:lang w:val="sr-Latn-CS"/>
        </w:rPr>
        <w:t>ona</w:t>
      </w:r>
      <w:r w:rsidRPr="007F34C7">
        <w:rPr>
          <w:rFonts w:ascii="Arial" w:hAnsi="Arial" w:cs="Arial"/>
          <w:sz w:val="24"/>
          <w:szCs w:val="24"/>
          <w:lang w:val="sr-Latn-CS"/>
        </w:rPr>
        <w:t>, sa prosječnog DTE od 13.253 KJ/kg.</w:t>
      </w:r>
    </w:p>
    <w:p w:rsidR="007D14F5" w:rsidRPr="007F34C7" w:rsidRDefault="007D14F5" w:rsidP="007F34C7">
      <w:pPr>
        <w:spacing w:after="0"/>
        <w:jc w:val="both"/>
        <w:rPr>
          <w:rFonts w:ascii="Arial" w:hAnsi="Arial" w:cs="Arial"/>
          <w:sz w:val="24"/>
          <w:szCs w:val="24"/>
          <w:lang w:val="sr-Latn-CS"/>
        </w:rPr>
      </w:pPr>
    </w:p>
    <w:p w:rsidR="007D14F5" w:rsidRPr="007F34C7" w:rsidRDefault="007D14F5" w:rsidP="007F34C7">
      <w:pPr>
        <w:spacing w:after="0"/>
        <w:jc w:val="both"/>
        <w:rPr>
          <w:rFonts w:ascii="Arial" w:hAnsi="Arial" w:cs="Arial"/>
          <w:sz w:val="24"/>
          <w:szCs w:val="24"/>
          <w:lang w:val="sr-Latn-CS"/>
        </w:rPr>
      </w:pPr>
      <w:r w:rsidRPr="007F34C7">
        <w:rPr>
          <w:rFonts w:ascii="Arial" w:hAnsi="Arial" w:cs="Arial"/>
          <w:b/>
          <w:sz w:val="24"/>
          <w:szCs w:val="24"/>
          <w:lang w:val="sr-Latn-CS"/>
        </w:rPr>
        <w:t>Ležište Zagorje</w:t>
      </w:r>
      <w:r w:rsidRPr="007F34C7">
        <w:rPr>
          <w:rFonts w:ascii="Arial" w:hAnsi="Arial" w:cs="Arial"/>
          <w:i/>
          <w:sz w:val="24"/>
          <w:szCs w:val="24"/>
          <w:lang w:val="sr-Latn-CS"/>
        </w:rPr>
        <w:t xml:space="preserve"> </w:t>
      </w:r>
      <w:r w:rsidRPr="007F34C7">
        <w:rPr>
          <w:rFonts w:ascii="Arial" w:hAnsi="Arial" w:cs="Arial"/>
          <w:sz w:val="24"/>
          <w:szCs w:val="24"/>
          <w:lang w:val="sr-Latn-CS"/>
        </w:rPr>
        <w:t>- predstavlja izduženo ležište uglja, dužine oko 2,5 km i širine 0,6 km. Ovdje se javljaju dva sloja uglja: glavni i prvi podinski, a u centralnom dijelu razvijen je samo glavni sloj uglja, srednje debljine od 2,5 do 3,0 m, dok je debljina podinskog sloja oko 1,8 m. Najveći dio površine ovog ležišta je gusto naseljen i pitanje je da li se i koliko njegovih rezervi može eksploatisati. Geološke (bilansne) rezerve ovog ležišta iznose 3.3 miliona tona.</w:t>
      </w:r>
    </w:p>
    <w:p w:rsidR="007D14F5" w:rsidRPr="007F34C7" w:rsidRDefault="007D14F5" w:rsidP="007F34C7">
      <w:pPr>
        <w:spacing w:after="0"/>
        <w:jc w:val="both"/>
        <w:rPr>
          <w:rFonts w:ascii="Arial" w:hAnsi="Arial" w:cs="Arial"/>
          <w:i/>
          <w:sz w:val="24"/>
          <w:szCs w:val="24"/>
          <w:lang w:val="sr-Latn-CS"/>
        </w:rPr>
      </w:pPr>
    </w:p>
    <w:p w:rsidR="007D14F5" w:rsidRPr="007F34C7" w:rsidRDefault="007D14F5" w:rsidP="007F34C7">
      <w:pPr>
        <w:spacing w:after="0"/>
        <w:jc w:val="both"/>
        <w:rPr>
          <w:rFonts w:ascii="Arial" w:hAnsi="Arial" w:cs="Arial"/>
          <w:sz w:val="24"/>
          <w:szCs w:val="24"/>
          <w:lang w:val="sr-Latn-CS"/>
        </w:rPr>
      </w:pPr>
      <w:r w:rsidRPr="007F34C7">
        <w:rPr>
          <w:rFonts w:ascii="Arial" w:hAnsi="Arial" w:cs="Arial"/>
          <w:b/>
          <w:sz w:val="24"/>
          <w:szCs w:val="24"/>
          <w:lang w:val="sr-Latn-CS"/>
        </w:rPr>
        <w:t>Ležište Berane</w:t>
      </w:r>
      <w:r w:rsidRPr="007F34C7">
        <w:rPr>
          <w:rFonts w:ascii="Arial" w:hAnsi="Arial" w:cs="Arial"/>
          <w:sz w:val="24"/>
          <w:szCs w:val="24"/>
          <w:lang w:val="sr-Latn-CS"/>
        </w:rPr>
        <w:t xml:space="preserve"> - obuhvata terene ispod Lima, grada Berana, aerodroma i naselja: Dolac, Lužac, donja Rženica i Luge. Potencijalne rezerve uglja C</w:t>
      </w:r>
      <w:r w:rsidRPr="007F34C7">
        <w:rPr>
          <w:rFonts w:ascii="Arial" w:hAnsi="Arial" w:cs="Arial"/>
          <w:sz w:val="24"/>
          <w:szCs w:val="24"/>
          <w:vertAlign w:val="subscript"/>
          <w:lang w:val="sr-Latn-CS"/>
        </w:rPr>
        <w:t>1</w:t>
      </w:r>
      <w:r w:rsidRPr="007F34C7">
        <w:rPr>
          <w:rFonts w:ascii="Arial" w:hAnsi="Arial" w:cs="Arial"/>
          <w:sz w:val="24"/>
          <w:szCs w:val="24"/>
          <w:lang w:val="sr-Latn-CS"/>
        </w:rPr>
        <w:t xml:space="preserve"> i C</w:t>
      </w:r>
      <w:r w:rsidRPr="007F34C7">
        <w:rPr>
          <w:rFonts w:ascii="Arial" w:hAnsi="Arial" w:cs="Arial"/>
          <w:sz w:val="24"/>
          <w:szCs w:val="24"/>
          <w:vertAlign w:val="subscript"/>
          <w:lang w:val="sr-Latn-CS"/>
        </w:rPr>
        <w:t>2</w:t>
      </w:r>
      <w:r w:rsidRPr="007F34C7">
        <w:rPr>
          <w:rFonts w:ascii="Arial" w:hAnsi="Arial" w:cs="Arial"/>
          <w:sz w:val="24"/>
          <w:szCs w:val="24"/>
          <w:lang w:val="sr-Latn-CS"/>
        </w:rPr>
        <w:t xml:space="preserve"> kategorije, u ovom ležištu pripadaju vanbilansnoj klasi, a iznose oko 103 miliona tona. Realno je pretpostaviti da će u budućnosti biti moguće valorizovati makar dio rezervi uglja iz ovog ležišta.</w:t>
      </w:r>
    </w:p>
    <w:p w:rsidR="007D14F5" w:rsidRPr="007F34C7" w:rsidRDefault="007D14F5" w:rsidP="007F34C7">
      <w:pPr>
        <w:spacing w:after="0"/>
        <w:jc w:val="both"/>
        <w:rPr>
          <w:rFonts w:ascii="Arial" w:hAnsi="Arial" w:cs="Arial"/>
          <w:i/>
          <w:sz w:val="24"/>
          <w:szCs w:val="24"/>
          <w:lang w:val="sr-Latn-CS"/>
        </w:rPr>
      </w:pPr>
    </w:p>
    <w:p w:rsidR="007D14F5" w:rsidRPr="007F34C7" w:rsidRDefault="007D14F5" w:rsidP="007F34C7">
      <w:pPr>
        <w:spacing w:after="0"/>
        <w:jc w:val="both"/>
        <w:rPr>
          <w:rFonts w:ascii="Arial" w:hAnsi="Arial" w:cs="Arial"/>
          <w:sz w:val="24"/>
          <w:szCs w:val="24"/>
          <w:lang w:val="sr-Latn-CS"/>
        </w:rPr>
      </w:pPr>
      <w:r w:rsidRPr="007F34C7">
        <w:rPr>
          <w:rFonts w:ascii="Arial" w:hAnsi="Arial" w:cs="Arial"/>
          <w:b/>
          <w:sz w:val="24"/>
          <w:szCs w:val="24"/>
          <w:lang w:val="sr-Latn-CS"/>
        </w:rPr>
        <w:t>Polički basen</w:t>
      </w:r>
      <w:r w:rsidRPr="007F34C7">
        <w:rPr>
          <w:rFonts w:ascii="Arial" w:hAnsi="Arial" w:cs="Arial"/>
          <w:sz w:val="24"/>
          <w:szCs w:val="24"/>
          <w:lang w:val="sr-Latn-CS"/>
        </w:rPr>
        <w:t xml:space="preserve"> - ima površinu oko 12 km</w:t>
      </w:r>
      <w:r w:rsidRPr="007F34C7">
        <w:rPr>
          <w:rFonts w:ascii="Arial" w:hAnsi="Arial" w:cs="Arial"/>
          <w:sz w:val="24"/>
          <w:szCs w:val="24"/>
          <w:vertAlign w:val="superscript"/>
          <w:lang w:val="sr-Latn-CS"/>
        </w:rPr>
        <w:t>2</w:t>
      </w:r>
      <w:r w:rsidRPr="007F34C7">
        <w:rPr>
          <w:rFonts w:ascii="Arial" w:hAnsi="Arial" w:cs="Arial"/>
          <w:sz w:val="24"/>
          <w:szCs w:val="24"/>
          <w:lang w:val="sr-Latn-CS"/>
        </w:rPr>
        <w:t>. Glavni sloj uglja u ovom ležištu nalazi se na dubini, od 50 do 220 m, a na odstojanju od paleoreljefa od 15 do 25 m. Mjestimično se u okviru povlate javljaju manji slojevi uglja ograničenog rasprostranjenja i složene građe.</w:t>
      </w:r>
      <w:r w:rsidR="004B4322" w:rsidRPr="007F34C7">
        <w:rPr>
          <w:rFonts w:ascii="Arial" w:hAnsi="Arial" w:cs="Arial"/>
          <w:sz w:val="24"/>
          <w:szCs w:val="24"/>
          <w:lang w:val="sr-Latn-CS"/>
        </w:rPr>
        <w:t xml:space="preserve"> </w:t>
      </w:r>
      <w:r w:rsidRPr="007F34C7">
        <w:rPr>
          <w:rFonts w:ascii="Arial" w:hAnsi="Arial" w:cs="Arial"/>
          <w:sz w:val="24"/>
          <w:szCs w:val="24"/>
          <w:lang w:val="sr-Latn-CS"/>
        </w:rPr>
        <w:t>Geološke (bilansne) rezerve ovog ležišta iznose 11.8 miliona tona, a vanbilansne 10.7 miliona tona uglja.</w:t>
      </w:r>
    </w:p>
    <w:p w:rsidR="007D14F5" w:rsidRPr="007F34C7" w:rsidRDefault="007D14F5" w:rsidP="007F34C7">
      <w:pPr>
        <w:spacing w:after="0"/>
        <w:jc w:val="both"/>
        <w:rPr>
          <w:rFonts w:ascii="Arial" w:hAnsi="Arial" w:cs="Arial"/>
          <w:sz w:val="24"/>
          <w:szCs w:val="24"/>
          <w:lang w:val="sr-Latn-CS"/>
        </w:rPr>
      </w:pPr>
      <w:r w:rsidRPr="007F34C7">
        <w:rPr>
          <w:rFonts w:ascii="Arial" w:hAnsi="Arial" w:cs="Arial"/>
          <w:sz w:val="24"/>
          <w:szCs w:val="24"/>
          <w:lang w:val="sr-Latn-CS"/>
        </w:rPr>
        <w:lastRenderedPageBreak/>
        <w:t>Ukupne bilansne rezerve uglja u beranskoj opštini iznose 36.903.438 tona.</w:t>
      </w:r>
    </w:p>
    <w:p w:rsidR="007D14F5" w:rsidRPr="007F34C7" w:rsidRDefault="007D14F5" w:rsidP="007F34C7">
      <w:pPr>
        <w:spacing w:after="0"/>
        <w:jc w:val="both"/>
        <w:rPr>
          <w:rFonts w:ascii="Arial" w:hAnsi="Arial" w:cs="Arial"/>
          <w:sz w:val="24"/>
          <w:szCs w:val="24"/>
          <w:lang w:val="sr-Latn-CS"/>
        </w:rPr>
      </w:pPr>
    </w:p>
    <w:p w:rsidR="007D14F5" w:rsidRPr="007F34C7" w:rsidRDefault="007D14F5" w:rsidP="007F34C7">
      <w:pPr>
        <w:spacing w:after="0"/>
        <w:jc w:val="both"/>
        <w:rPr>
          <w:rFonts w:ascii="Arial" w:hAnsi="Arial" w:cs="Arial"/>
          <w:sz w:val="24"/>
          <w:szCs w:val="24"/>
          <w:lang w:val="sr-Latn-CS"/>
        </w:rPr>
      </w:pPr>
      <w:r w:rsidRPr="007F34C7">
        <w:rPr>
          <w:rFonts w:ascii="Arial" w:hAnsi="Arial" w:cs="Arial"/>
          <w:sz w:val="24"/>
          <w:szCs w:val="24"/>
          <w:lang w:val="sr-Latn-CS"/>
        </w:rPr>
        <w:t>Valorizacija uglja iz ležišta značajno je opterećena nepovoljnim prostornim položajem slojeva uglja, njihovom složenom građom a naročito složenom tektonskom strukturom pa je vrlo teško obezbijediti masovnu proizvodnju uglja.</w:t>
      </w:r>
    </w:p>
    <w:p w:rsidR="000E0093" w:rsidRDefault="000E0093" w:rsidP="00C75CAD">
      <w:pPr>
        <w:pStyle w:val="Heading2"/>
        <w:numPr>
          <w:ilvl w:val="0"/>
          <w:numId w:val="0"/>
        </w:numPr>
      </w:pPr>
    </w:p>
    <w:p w:rsidR="001B3B6D" w:rsidRDefault="00C75CAD" w:rsidP="00C75CAD">
      <w:pPr>
        <w:pStyle w:val="Heading2"/>
        <w:numPr>
          <w:ilvl w:val="0"/>
          <w:numId w:val="0"/>
        </w:numPr>
        <w:rPr>
          <w:lang w:val="sr-Latn-CS"/>
        </w:rPr>
      </w:pPr>
      <w:bookmarkStart w:id="9" w:name="_Toc6172805"/>
      <w:r>
        <w:t xml:space="preserve">1.3. </w:t>
      </w:r>
      <w:r w:rsidR="001B3B6D" w:rsidRPr="00722DF4">
        <w:t>Vrste, kvalitet, obim i namjena mineralnih sirovina koje se eksploatišu i planiraju za ekploataciju</w:t>
      </w:r>
      <w:bookmarkEnd w:id="9"/>
    </w:p>
    <w:p w:rsidR="00ED5665" w:rsidRDefault="00ED5665"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Državnim planom eksploatacije mineral</w:t>
      </w:r>
      <w:r w:rsidR="00F02461">
        <w:rPr>
          <w:rFonts w:ascii="Arial" w:hAnsi="Arial" w:cs="Arial"/>
          <w:sz w:val="24"/>
          <w:szCs w:val="24"/>
        </w:rPr>
        <w:t>nih sirovina u periodu 2019-2028</w:t>
      </w:r>
      <w:r w:rsidRPr="00722DF4">
        <w:rPr>
          <w:rFonts w:ascii="Arial" w:hAnsi="Arial" w:cs="Arial"/>
          <w:sz w:val="24"/>
          <w:szCs w:val="24"/>
        </w:rPr>
        <w:t>. godina, predviđena je eksploatacija metaličnih, nemetaličnih i energetskih čvrstih mineralnih sirovina. Eksploatacija metaličnih mineralnih sirovina u Crnoj Gori, tradicionalno počiva na crvenim boksitima i rudi olova i cinka. Ruda bakra označena je kao značajan potencijal. Nemetalične mineralne sirovine zastupljene su jedino kroz proizvodnju nemetala-građevinskih materijala: arhitektonsko-građevinskog i tehničko-građevinskog kamena, te karbonatnih punila u manjem obimu.</w:t>
      </w:r>
    </w:p>
    <w:p w:rsidR="00ED5665" w:rsidRPr="00722DF4" w:rsidRDefault="00ED5665"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Mrkolignitni i mrki ugalj predstavljaju osnovnu energetsku sirovinu za proizvodnju električn</w:t>
      </w:r>
      <w:r w:rsidR="00141142" w:rsidRPr="00722DF4">
        <w:rPr>
          <w:rFonts w:ascii="Arial" w:hAnsi="Arial" w:cs="Arial"/>
          <w:sz w:val="24"/>
          <w:szCs w:val="24"/>
        </w:rPr>
        <w:t xml:space="preserve">e energije i široku potrošnju. </w:t>
      </w:r>
    </w:p>
    <w:p w:rsidR="0027075D" w:rsidRPr="00722DF4" w:rsidRDefault="0027075D" w:rsidP="00722DF4">
      <w:pPr>
        <w:autoSpaceDE w:val="0"/>
        <w:autoSpaceDN w:val="0"/>
        <w:adjustRightInd w:val="0"/>
        <w:spacing w:after="0"/>
        <w:jc w:val="both"/>
        <w:rPr>
          <w:rFonts w:ascii="Arial" w:hAnsi="Arial" w:cs="Arial"/>
          <w:sz w:val="24"/>
          <w:szCs w:val="24"/>
        </w:rPr>
      </w:pPr>
    </w:p>
    <w:p w:rsidR="001B3B6D" w:rsidRPr="00F02461" w:rsidRDefault="00C75CAD" w:rsidP="00C75CAD">
      <w:pPr>
        <w:pStyle w:val="Heading3"/>
        <w:numPr>
          <w:ilvl w:val="0"/>
          <w:numId w:val="0"/>
        </w:numPr>
        <w:rPr>
          <w:rFonts w:cs="Arial"/>
          <w:szCs w:val="24"/>
          <w:lang w:val="sr-Latn-CS"/>
        </w:rPr>
      </w:pPr>
      <w:bookmarkStart w:id="10" w:name="_Toc6172806"/>
      <w:r w:rsidRPr="00F02461">
        <w:t xml:space="preserve">1.3.1. </w:t>
      </w:r>
      <w:r w:rsidR="004B4322" w:rsidRPr="00F02461">
        <w:rPr>
          <w:rFonts w:cs="Arial"/>
          <w:szCs w:val="24"/>
          <w:lang w:val="sr-Latn-CS"/>
        </w:rPr>
        <w:t>Projekcija eksploatacije u</w:t>
      </w:r>
      <w:r w:rsidR="00ED5665">
        <w:rPr>
          <w:rFonts w:cs="Arial"/>
          <w:szCs w:val="24"/>
          <w:lang w:val="sr-Latn-CS"/>
        </w:rPr>
        <w:t>glja u Crnoj Gori za period 2019</w:t>
      </w:r>
      <w:r w:rsidR="004B4322" w:rsidRPr="00F02461">
        <w:rPr>
          <w:rFonts w:cs="Arial"/>
          <w:szCs w:val="24"/>
          <w:lang w:val="sr-Latn-CS"/>
        </w:rPr>
        <w:t xml:space="preserve">-2028. </w:t>
      </w:r>
      <w:r w:rsidR="0027075D" w:rsidRPr="00F02461">
        <w:rPr>
          <w:rFonts w:cs="Arial"/>
          <w:szCs w:val="24"/>
          <w:lang w:val="sr-Latn-CS"/>
        </w:rPr>
        <w:t>g</w:t>
      </w:r>
      <w:r w:rsidR="004B4322" w:rsidRPr="00F02461">
        <w:rPr>
          <w:rFonts w:cs="Arial"/>
          <w:szCs w:val="24"/>
          <w:lang w:val="sr-Latn-CS"/>
        </w:rPr>
        <w:t>odine</w:t>
      </w:r>
      <w:bookmarkEnd w:id="10"/>
    </w:p>
    <w:p w:rsidR="008F0EB7" w:rsidRPr="00F02461" w:rsidRDefault="008F0EB7" w:rsidP="008F0EB7">
      <w:pPr>
        <w:spacing w:after="0"/>
        <w:rPr>
          <w:rFonts w:ascii="Arial" w:hAnsi="Arial" w:cs="Arial"/>
          <w:sz w:val="24"/>
          <w:szCs w:val="24"/>
          <w:lang w:val="sr-Latn-CS"/>
        </w:rPr>
      </w:pPr>
    </w:p>
    <w:p w:rsidR="004B4322" w:rsidRPr="00F02461" w:rsidRDefault="004B4322" w:rsidP="00F02461">
      <w:pPr>
        <w:pStyle w:val="NoSpacing"/>
        <w:spacing w:line="276" w:lineRule="auto"/>
        <w:jc w:val="both"/>
        <w:rPr>
          <w:rFonts w:ascii="Arial" w:hAnsi="Arial" w:cs="Arial"/>
        </w:rPr>
      </w:pPr>
      <w:r w:rsidRPr="00F02461">
        <w:rPr>
          <w:rFonts w:ascii="Arial" w:hAnsi="Arial" w:cs="Arial"/>
        </w:rPr>
        <w:t>Trenutno se u Crnoj Gori vrši eksploatacija uglja na površinskom kopu „Potrlica“ pljevaljskog i u jami „Petnjik“ beranskog ugljonosnog basena.</w:t>
      </w:r>
    </w:p>
    <w:p w:rsidR="004B4322" w:rsidRPr="00F02461" w:rsidRDefault="004B4322" w:rsidP="00F02461">
      <w:pPr>
        <w:pStyle w:val="NoSpacing"/>
        <w:spacing w:line="276" w:lineRule="auto"/>
        <w:jc w:val="both"/>
        <w:rPr>
          <w:rFonts w:ascii="Arial" w:hAnsi="Arial" w:cs="Arial"/>
        </w:rPr>
      </w:pPr>
    </w:p>
    <w:p w:rsidR="004B4322" w:rsidRPr="00F02461" w:rsidRDefault="004B4322" w:rsidP="00F02461">
      <w:pPr>
        <w:pStyle w:val="NoSpacing"/>
        <w:spacing w:line="276" w:lineRule="auto"/>
        <w:jc w:val="both"/>
        <w:rPr>
          <w:rFonts w:ascii="Arial" w:hAnsi="Arial" w:cs="Arial"/>
        </w:rPr>
      </w:pPr>
      <w:r w:rsidRPr="00F02461">
        <w:rPr>
          <w:rFonts w:ascii="Arial" w:hAnsi="Arial" w:cs="Arial"/>
        </w:rPr>
        <w:t xml:space="preserve">Projekcija eksploatacije uglja u Crnoj Gori </w:t>
      </w:r>
      <w:r w:rsidRPr="00F02461">
        <w:rPr>
          <w:rFonts w:ascii="Arial" w:hAnsi="Arial" w:cs="Arial"/>
          <w:lang w:val="sr-Latn-CS"/>
        </w:rPr>
        <w:t>za naredni desetogodišnji period data je na osnovu</w:t>
      </w:r>
      <w:r w:rsidRPr="00F02461">
        <w:rPr>
          <w:rFonts w:ascii="Arial" w:hAnsi="Arial" w:cs="Arial"/>
        </w:rPr>
        <w:t xml:space="preserve"> sagledavanja mogućnosti plasmana uglja i postojećih kapaciteta rudnika, vodeći računa o potpunom iscrpljenu ovjerenih rezervi uglja i racionalnom planiranju dinamike otvaranja ležišta uglja u smislu homogenizacije uglja i njegovom plasmanu za potrebe TE „Pljevlja“. </w:t>
      </w:r>
    </w:p>
    <w:p w:rsidR="004B4322" w:rsidRPr="00F02461" w:rsidRDefault="004B4322" w:rsidP="00F02461">
      <w:pPr>
        <w:pStyle w:val="NoSpacing"/>
        <w:spacing w:line="276" w:lineRule="auto"/>
        <w:jc w:val="both"/>
        <w:rPr>
          <w:rFonts w:ascii="Arial" w:hAnsi="Arial" w:cs="Arial"/>
        </w:rPr>
      </w:pPr>
    </w:p>
    <w:p w:rsidR="004B4322" w:rsidRPr="00F02461" w:rsidRDefault="004B4322" w:rsidP="00F02461">
      <w:pPr>
        <w:pStyle w:val="NoSpacing"/>
        <w:spacing w:line="276" w:lineRule="auto"/>
        <w:jc w:val="both"/>
        <w:rPr>
          <w:rFonts w:ascii="Arial" w:hAnsi="Arial" w:cs="Arial"/>
        </w:rPr>
      </w:pPr>
      <w:r w:rsidRPr="00F02461">
        <w:rPr>
          <w:rFonts w:ascii="Arial" w:hAnsi="Arial" w:cs="Arial"/>
        </w:rPr>
        <w:t>Termoelektrana “Pljevlja” kao najveći potrošač uglja glavni je nosilac razvoja termoenergetskog sektora u Crnoj Gori. Prosječna godišnja potrošnja uglja postojećeg bloka TE “Pljevlja” instalisane snage 210 MW od početka njenog rada iznosi oko 1.400.000 t</w:t>
      </w:r>
      <w:r w:rsidR="00F02461" w:rsidRPr="00F02461">
        <w:rPr>
          <w:rFonts w:ascii="Arial" w:hAnsi="Arial" w:cs="Arial"/>
        </w:rPr>
        <w:t>ona</w:t>
      </w:r>
      <w:r w:rsidRPr="00F02461">
        <w:rPr>
          <w:rFonts w:ascii="Arial" w:hAnsi="Arial" w:cs="Arial"/>
        </w:rPr>
        <w:t>, kvaliteta iznad 9.211 KJ/kg.</w:t>
      </w:r>
    </w:p>
    <w:p w:rsidR="004B4322" w:rsidRPr="00F02461" w:rsidRDefault="004B4322" w:rsidP="00F02461">
      <w:pPr>
        <w:pStyle w:val="NoSpacing"/>
        <w:spacing w:line="276" w:lineRule="auto"/>
        <w:jc w:val="both"/>
        <w:rPr>
          <w:rFonts w:ascii="Arial" w:hAnsi="Arial" w:cs="Arial"/>
        </w:rPr>
      </w:pPr>
    </w:p>
    <w:p w:rsidR="004B4322" w:rsidRPr="00F15A1E" w:rsidRDefault="00F15A1E" w:rsidP="00F15A1E">
      <w:pPr>
        <w:pStyle w:val="NoSpacing"/>
        <w:jc w:val="both"/>
        <w:rPr>
          <w:rFonts w:ascii="Arial" w:hAnsi="Arial" w:cs="Arial"/>
        </w:rPr>
      </w:pPr>
      <w:r w:rsidRPr="00F15A1E">
        <w:rPr>
          <w:rFonts w:ascii="Arial" w:hAnsi="Arial" w:cs="Arial"/>
        </w:rPr>
        <w:t>Revitalizacijom i modernizacijom TE „Pljevlja“ povećana je instalisana snaga postrojenja na 225 MW i produžen vijek postojećeg bloka za 25 godina, što predstavlja potrebu za potrošnjom 35 miliona tona za njegovo uredno snabdjevanje</w:t>
      </w:r>
    </w:p>
    <w:p w:rsidR="004B4322" w:rsidRPr="00F02461" w:rsidRDefault="004B4322" w:rsidP="00F02461">
      <w:pPr>
        <w:pStyle w:val="NoSpacing"/>
        <w:spacing w:line="276" w:lineRule="auto"/>
        <w:jc w:val="both"/>
        <w:rPr>
          <w:rFonts w:ascii="Arial" w:hAnsi="Arial" w:cs="Arial"/>
        </w:rPr>
      </w:pPr>
      <w:r w:rsidRPr="00F02461">
        <w:rPr>
          <w:rFonts w:ascii="Arial" w:hAnsi="Arial" w:cs="Arial"/>
        </w:rPr>
        <w:lastRenderedPageBreak/>
        <w:t>Godišnji obim eksploatacije uglja na površinskom kopu „Potrlica“ predstavlja 1.650.000 t</w:t>
      </w:r>
      <w:r w:rsidR="00F02461" w:rsidRPr="00F02461">
        <w:rPr>
          <w:rFonts w:ascii="Arial" w:hAnsi="Arial" w:cs="Arial"/>
        </w:rPr>
        <w:t>ona</w:t>
      </w:r>
      <w:r w:rsidRPr="00F02461">
        <w:rPr>
          <w:rFonts w:ascii="Arial" w:hAnsi="Arial" w:cs="Arial"/>
        </w:rPr>
        <w:t xml:space="preserve"> od čega se 1.400.000 t</w:t>
      </w:r>
      <w:r w:rsidR="00F02461" w:rsidRPr="00F02461">
        <w:rPr>
          <w:rFonts w:ascii="Arial" w:hAnsi="Arial" w:cs="Arial"/>
        </w:rPr>
        <w:t>ona</w:t>
      </w:r>
      <w:r w:rsidRPr="00F02461">
        <w:rPr>
          <w:rFonts w:ascii="Arial" w:hAnsi="Arial" w:cs="Arial"/>
        </w:rPr>
        <w:t xml:space="preserve"> uglja isporučuje prema TE „Pljevlja“, a oko 250.000 t</w:t>
      </w:r>
      <w:r w:rsidR="00F02461" w:rsidRPr="00F02461">
        <w:rPr>
          <w:rFonts w:ascii="Arial" w:hAnsi="Arial" w:cs="Arial"/>
        </w:rPr>
        <w:t>ona</w:t>
      </w:r>
      <w:r w:rsidRPr="00F02461">
        <w:rPr>
          <w:rFonts w:ascii="Arial" w:hAnsi="Arial" w:cs="Arial"/>
        </w:rPr>
        <w:t xml:space="preserve"> uglja prema tržištu široke potrošnje regiona.</w:t>
      </w:r>
    </w:p>
    <w:p w:rsidR="004B4322" w:rsidRPr="00F02461" w:rsidRDefault="004B4322" w:rsidP="00F02461">
      <w:pPr>
        <w:pStyle w:val="NoSpacing"/>
        <w:spacing w:line="276" w:lineRule="auto"/>
        <w:jc w:val="both"/>
        <w:rPr>
          <w:rFonts w:ascii="Arial" w:hAnsi="Arial" w:cs="Arial"/>
        </w:rPr>
      </w:pPr>
    </w:p>
    <w:p w:rsidR="00F15A1E" w:rsidRPr="00F15A1E" w:rsidRDefault="00F15A1E" w:rsidP="00F15A1E">
      <w:pPr>
        <w:pStyle w:val="NoSpacing"/>
        <w:jc w:val="both"/>
        <w:rPr>
          <w:rFonts w:ascii="Arial" w:hAnsi="Arial" w:cs="Arial"/>
        </w:rPr>
      </w:pPr>
      <w:r w:rsidRPr="00F15A1E">
        <w:rPr>
          <w:rFonts w:ascii="Arial" w:hAnsi="Arial" w:cs="Arial"/>
        </w:rPr>
        <w:t>Godišnji obim eksploatacije uglja na površinskom kopu „Potrlica“ predstavlja 1.650.000 t od čega se 1.400.000 t uglja isporučuje prema TE „Pljevlja“, a oko 250.000 t uglja prema tržištu široke potrošnje regiona.</w:t>
      </w:r>
    </w:p>
    <w:p w:rsidR="00F15A1E" w:rsidRDefault="00F15A1E" w:rsidP="00F15A1E">
      <w:pPr>
        <w:pStyle w:val="NoSpacing"/>
        <w:spacing w:line="276" w:lineRule="auto"/>
        <w:jc w:val="both"/>
        <w:rPr>
          <w:rFonts w:ascii="Arial" w:hAnsi="Arial" w:cs="Arial"/>
        </w:rPr>
      </w:pPr>
    </w:p>
    <w:p w:rsidR="00F15A1E" w:rsidRDefault="00F15A1E" w:rsidP="00F15A1E">
      <w:pPr>
        <w:pStyle w:val="NoSpacing"/>
        <w:spacing w:line="276" w:lineRule="auto"/>
        <w:jc w:val="both"/>
        <w:rPr>
          <w:rFonts w:ascii="Arial" w:hAnsi="Arial" w:cs="Arial"/>
        </w:rPr>
      </w:pPr>
      <w:r w:rsidRPr="00F15A1E">
        <w:rPr>
          <w:rFonts w:ascii="Arial" w:hAnsi="Arial" w:cs="Arial"/>
        </w:rPr>
        <w:t>Dinamikom otvaranja ležišta uglja vodilo se računa da se godišnji obim eksploatacije na nivou ležišta uglja pljevaljske opštine poveća sa 1.650.000 t uglja, koliko je projekcijom za naredni desetogodišnji period predviđeno, na godišnji obim potreban za nesmetan rad u slučaju izgradnje novog proizvodnog objekta koji bi kao sirovinu koristio dijelom i ugalj. Povećanje godišnjeg obima eksploatacije iz ležišta uglja pljevaljske opštine sa 1.650.000 t na potrebni nivo moguće je realizovati otvaranjem ležišta uglja „Kalušići“, što je dinamikom predviđeno u 2025. godini i ležišta uglja „Otilovići“ u 2027. godini.</w:t>
      </w:r>
    </w:p>
    <w:p w:rsidR="00F15A1E" w:rsidRDefault="00F15A1E" w:rsidP="00F15A1E">
      <w:pPr>
        <w:pStyle w:val="NoSpacing"/>
        <w:spacing w:line="276" w:lineRule="auto"/>
        <w:jc w:val="both"/>
        <w:rPr>
          <w:rFonts w:ascii="Arial" w:hAnsi="Arial" w:cs="Arial"/>
        </w:rPr>
      </w:pPr>
    </w:p>
    <w:p w:rsidR="004B4322" w:rsidRPr="00F02461" w:rsidRDefault="004B4322" w:rsidP="00F15A1E">
      <w:pPr>
        <w:pStyle w:val="NoSpacing"/>
        <w:spacing w:line="276" w:lineRule="auto"/>
        <w:jc w:val="both"/>
        <w:rPr>
          <w:rFonts w:ascii="Arial" w:hAnsi="Arial" w:cs="Arial"/>
        </w:rPr>
      </w:pPr>
      <w:r w:rsidRPr="00F02461">
        <w:rPr>
          <w:rFonts w:ascii="Arial" w:hAnsi="Arial" w:cs="Arial"/>
        </w:rPr>
        <w:t>Godišnji obim eksploatacije uglja iz jame „Petnjik“ sa postojećim sistemom eksploatacije uz investicije koje koncesionar planira realno je projektovati na 150.000 tona. Za veći obim proizvodnje na godišnjem nivou iz ovog ležišta neophodno je sprovesti doistraživanje ležišta i uvesti produktivniji i savremeniji sistem eksploatacaije što zahtijeva znatno veći obim investicionog ulaganja u Rudnik.</w:t>
      </w:r>
    </w:p>
    <w:p w:rsidR="004B4322" w:rsidRPr="00F02461" w:rsidRDefault="004B4322" w:rsidP="00F02461">
      <w:pPr>
        <w:spacing w:after="0"/>
        <w:jc w:val="both"/>
        <w:rPr>
          <w:rFonts w:ascii="Arial" w:hAnsi="Arial" w:cs="Arial"/>
          <w:b/>
          <w:sz w:val="24"/>
          <w:szCs w:val="24"/>
          <w:lang w:val="sr-Latn-CS"/>
        </w:rPr>
      </w:pPr>
    </w:p>
    <w:p w:rsidR="004B4322" w:rsidRPr="00F02461" w:rsidRDefault="004B4322" w:rsidP="00F02461">
      <w:pPr>
        <w:spacing w:after="120"/>
        <w:jc w:val="both"/>
        <w:rPr>
          <w:rFonts w:ascii="Arial" w:hAnsi="Arial" w:cs="Arial"/>
          <w:sz w:val="24"/>
          <w:szCs w:val="24"/>
          <w:lang w:val="sr-Latn-CS"/>
        </w:rPr>
      </w:pPr>
      <w:r w:rsidRPr="00F02461">
        <w:rPr>
          <w:rFonts w:ascii="Arial" w:hAnsi="Arial" w:cs="Arial"/>
          <w:sz w:val="24"/>
          <w:szCs w:val="24"/>
          <w:lang w:val="sr-Latn-CS"/>
        </w:rPr>
        <w:t>Projekcija eksploatacije ovjerenih rezervi uglja u Crnoj Gori u funkciji potrošnje uglja u TE “Pljevlja” i plasmana na tržištu široke potrošnje za period 2019-2028. godine data je u Tab</w:t>
      </w:r>
      <w:r w:rsidR="008F0EB7" w:rsidRPr="00F02461">
        <w:rPr>
          <w:rFonts w:ascii="Arial" w:hAnsi="Arial" w:cs="Arial"/>
          <w:sz w:val="24"/>
          <w:szCs w:val="24"/>
          <w:lang w:val="sr-Latn-CS"/>
        </w:rPr>
        <w:t xml:space="preserve">eli </w:t>
      </w:r>
      <w:r w:rsidRPr="00F02461">
        <w:rPr>
          <w:rFonts w:ascii="Arial" w:hAnsi="Arial" w:cs="Arial"/>
          <w:sz w:val="24"/>
          <w:szCs w:val="24"/>
          <w:lang w:val="sr-Latn-CS"/>
        </w:rPr>
        <w:t>1.</w:t>
      </w:r>
      <w:r w:rsidR="008F0EB7" w:rsidRPr="00F02461">
        <w:rPr>
          <w:rFonts w:ascii="Arial" w:hAnsi="Arial" w:cs="Arial"/>
          <w:sz w:val="24"/>
          <w:szCs w:val="24"/>
          <w:lang w:val="sr-Latn-CS"/>
        </w:rPr>
        <w:t>1.</w:t>
      </w:r>
      <w:r w:rsidRPr="00F02461">
        <w:rPr>
          <w:rFonts w:ascii="Arial" w:hAnsi="Arial" w:cs="Arial"/>
          <w:sz w:val="24"/>
          <w:szCs w:val="24"/>
          <w:lang w:val="sr-Latn-CS"/>
        </w:rPr>
        <w:t xml:space="preserve"> </w:t>
      </w:r>
    </w:p>
    <w:p w:rsidR="004B4322" w:rsidRPr="00F02461" w:rsidRDefault="004B4322" w:rsidP="00F02461">
      <w:pPr>
        <w:spacing w:after="120"/>
        <w:jc w:val="both"/>
        <w:rPr>
          <w:rFonts w:ascii="Arial" w:hAnsi="Arial" w:cs="Arial"/>
          <w:sz w:val="24"/>
          <w:szCs w:val="24"/>
          <w:lang w:val="sr-Latn-CS"/>
        </w:rPr>
      </w:pPr>
    </w:p>
    <w:p w:rsidR="004B4322" w:rsidRPr="0058752D" w:rsidRDefault="004B4322" w:rsidP="004B4322">
      <w:pPr>
        <w:spacing w:after="120"/>
        <w:jc w:val="both"/>
        <w:rPr>
          <w:rFonts w:ascii="Arial" w:hAnsi="Arial" w:cs="Arial"/>
          <w:color w:val="FF0000"/>
          <w:sz w:val="24"/>
          <w:szCs w:val="24"/>
          <w:lang w:val="sr-Latn-CS"/>
        </w:rPr>
      </w:pPr>
    </w:p>
    <w:p w:rsidR="004B4322" w:rsidRPr="0058752D" w:rsidRDefault="004B4322" w:rsidP="004B4322">
      <w:pPr>
        <w:spacing w:after="120"/>
        <w:jc w:val="both"/>
        <w:rPr>
          <w:rFonts w:ascii="Arial" w:hAnsi="Arial" w:cs="Arial"/>
          <w:color w:val="FF0000"/>
          <w:sz w:val="24"/>
          <w:szCs w:val="24"/>
          <w:lang w:val="sr-Latn-CS"/>
        </w:rPr>
      </w:pPr>
    </w:p>
    <w:p w:rsidR="004B4322" w:rsidRPr="0058752D" w:rsidRDefault="004B4322" w:rsidP="004B4322">
      <w:pPr>
        <w:spacing w:after="0"/>
        <w:rPr>
          <w:rFonts w:ascii="Arial" w:hAnsi="Arial" w:cs="Arial"/>
          <w:b/>
          <w:color w:val="FF0000"/>
          <w:sz w:val="24"/>
          <w:szCs w:val="24"/>
          <w:lang w:val="sr-Latn-CS"/>
        </w:rPr>
        <w:sectPr w:rsidR="004B4322" w:rsidRPr="0058752D" w:rsidSect="004B4322">
          <w:headerReference w:type="default" r:id="rId12"/>
          <w:footerReference w:type="default" r:id="rId13"/>
          <w:pgSz w:w="11907" w:h="16839" w:code="9"/>
          <w:pgMar w:top="1440" w:right="1440" w:bottom="1440" w:left="1440" w:header="720" w:footer="720" w:gutter="0"/>
          <w:cols w:space="720"/>
          <w:titlePg/>
          <w:docGrid w:linePitch="360"/>
        </w:sectPr>
      </w:pPr>
    </w:p>
    <w:p w:rsidR="000E0093" w:rsidRPr="00C21B56" w:rsidRDefault="008F0EB7" w:rsidP="000E0093">
      <w:pPr>
        <w:spacing w:after="0"/>
        <w:rPr>
          <w:rFonts w:ascii="Arial" w:hAnsi="Arial" w:cs="Arial"/>
          <w:lang w:val="sr-Latn-CS"/>
        </w:rPr>
      </w:pPr>
      <w:r w:rsidRPr="00C21B56">
        <w:rPr>
          <w:rFonts w:ascii="Arial" w:hAnsi="Arial" w:cs="Arial"/>
          <w:b/>
          <w:lang w:val="sr-Latn-CS"/>
        </w:rPr>
        <w:lastRenderedPageBreak/>
        <w:t xml:space="preserve">Tabela </w:t>
      </w:r>
      <w:r w:rsidR="004B4322" w:rsidRPr="00C21B56">
        <w:rPr>
          <w:rFonts w:ascii="Arial" w:hAnsi="Arial" w:cs="Arial"/>
          <w:b/>
          <w:lang w:val="sr-Latn-CS"/>
        </w:rPr>
        <w:t>1.</w:t>
      </w:r>
      <w:r w:rsidRPr="00C21B56">
        <w:rPr>
          <w:rFonts w:ascii="Arial" w:hAnsi="Arial" w:cs="Arial"/>
          <w:b/>
          <w:lang w:val="sr-Latn-CS"/>
        </w:rPr>
        <w:t>1.</w:t>
      </w:r>
      <w:r w:rsidR="000E0093" w:rsidRPr="00C21B56">
        <w:rPr>
          <w:rFonts w:ascii="Arial" w:hAnsi="Arial" w:cs="Arial"/>
          <w:lang w:val="sr-Latn-CS"/>
        </w:rPr>
        <w:t xml:space="preserve"> Projekcija eksploatacije uglj</w:t>
      </w:r>
      <w:r w:rsidR="00ED5665">
        <w:rPr>
          <w:rFonts w:ascii="Arial" w:hAnsi="Arial" w:cs="Arial"/>
          <w:lang w:val="sr-Latn-CS"/>
        </w:rPr>
        <w:t>a u Crnoj Gori za period 2019-</w:t>
      </w:r>
      <w:r w:rsidR="000E0093" w:rsidRPr="00C21B56">
        <w:rPr>
          <w:rFonts w:ascii="Arial" w:hAnsi="Arial" w:cs="Arial"/>
          <w:lang w:val="sr-Latn-CS"/>
        </w:rPr>
        <w:t xml:space="preserve">2028. godina </w:t>
      </w:r>
    </w:p>
    <w:p w:rsidR="004B4322" w:rsidRPr="00F02461" w:rsidRDefault="004B4322" w:rsidP="004B4322">
      <w:pPr>
        <w:spacing w:after="0"/>
        <w:jc w:val="right"/>
        <w:rPr>
          <w:rFonts w:ascii="Arial" w:hAnsi="Arial" w:cs="Arial"/>
          <w:sz w:val="24"/>
          <w:szCs w:val="24"/>
          <w:lang w:val="sr-Latn-CS"/>
        </w:rPr>
      </w:pPr>
    </w:p>
    <w:tbl>
      <w:tblPr>
        <w:tblW w:w="144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90"/>
        <w:gridCol w:w="720"/>
        <w:gridCol w:w="990"/>
        <w:gridCol w:w="972"/>
        <w:gridCol w:w="990"/>
        <w:gridCol w:w="990"/>
        <w:gridCol w:w="990"/>
        <w:gridCol w:w="990"/>
        <w:gridCol w:w="990"/>
        <w:gridCol w:w="990"/>
        <w:gridCol w:w="990"/>
        <w:gridCol w:w="990"/>
        <w:gridCol w:w="1188"/>
      </w:tblGrid>
      <w:tr w:rsidR="004B4322" w:rsidRPr="00F02461" w:rsidTr="00663F7F">
        <w:trPr>
          <w:trHeight w:val="467"/>
        </w:trPr>
        <w:tc>
          <w:tcPr>
            <w:tcW w:w="2610" w:type="dxa"/>
            <w:gridSpan w:val="2"/>
            <w:shd w:val="clear" w:color="auto" w:fill="auto"/>
          </w:tcPr>
          <w:p w:rsidR="004B4322" w:rsidRPr="00F02461" w:rsidRDefault="004B4322" w:rsidP="00663F7F">
            <w:pPr>
              <w:spacing w:after="0"/>
              <w:jc w:val="center"/>
              <w:rPr>
                <w:rFonts w:ascii="Arial" w:hAnsi="Arial" w:cs="Arial"/>
              </w:rPr>
            </w:pPr>
            <w:r w:rsidRPr="00F02461">
              <w:rPr>
                <w:rFonts w:ascii="Arial" w:hAnsi="Arial" w:cs="Arial"/>
              </w:rPr>
              <w:t>LEŽIŠTA</w:t>
            </w:r>
          </w:p>
          <w:p w:rsidR="004B4322" w:rsidRPr="00F02461" w:rsidRDefault="004B4322" w:rsidP="00663F7F">
            <w:pPr>
              <w:spacing w:after="0"/>
              <w:jc w:val="center"/>
              <w:rPr>
                <w:rFonts w:ascii="Arial" w:hAnsi="Arial" w:cs="Arial"/>
              </w:rPr>
            </w:pPr>
          </w:p>
        </w:tc>
        <w:tc>
          <w:tcPr>
            <w:tcW w:w="720" w:type="dxa"/>
            <w:shd w:val="clear" w:color="auto" w:fill="auto"/>
          </w:tcPr>
          <w:p w:rsidR="004B4322" w:rsidRPr="00F02461" w:rsidRDefault="004B4322" w:rsidP="00663F7F">
            <w:pPr>
              <w:spacing w:after="0"/>
              <w:ind w:left="-108" w:right="-108"/>
              <w:jc w:val="center"/>
              <w:rPr>
                <w:rFonts w:ascii="Arial" w:hAnsi="Arial" w:cs="Arial"/>
                <w:sz w:val="18"/>
                <w:szCs w:val="18"/>
              </w:rPr>
            </w:pPr>
            <w:r w:rsidRPr="00F02461">
              <w:rPr>
                <w:rFonts w:ascii="Arial" w:hAnsi="Arial" w:cs="Arial"/>
                <w:sz w:val="18"/>
                <w:szCs w:val="18"/>
              </w:rPr>
              <w:t>DTE</w:t>
            </w:r>
          </w:p>
          <w:p w:rsidR="004B4322" w:rsidRPr="00F02461" w:rsidRDefault="004B4322" w:rsidP="00663F7F">
            <w:pPr>
              <w:spacing w:after="0"/>
              <w:ind w:left="-108" w:right="-108"/>
              <w:jc w:val="center"/>
              <w:rPr>
                <w:rFonts w:ascii="Arial" w:hAnsi="Arial" w:cs="Arial"/>
                <w:sz w:val="18"/>
                <w:szCs w:val="18"/>
              </w:rPr>
            </w:pPr>
            <w:r w:rsidRPr="00F02461">
              <w:rPr>
                <w:rFonts w:ascii="Arial" w:hAnsi="Arial" w:cs="Arial"/>
                <w:sz w:val="18"/>
                <w:szCs w:val="18"/>
              </w:rPr>
              <w:t>(KJ/kg)</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2019.</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72"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2020.</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2021.</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2022.</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2023.</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2024.</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2025.</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2026.</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2027.</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990"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2028.</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c>
          <w:tcPr>
            <w:tcW w:w="1188" w:type="dxa"/>
            <w:shd w:val="clear" w:color="auto" w:fill="auto"/>
          </w:tcPr>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2019-2028.</w:t>
            </w:r>
          </w:p>
          <w:p w:rsidR="004B4322" w:rsidRPr="00F02461" w:rsidRDefault="004B4322" w:rsidP="00663F7F">
            <w:pPr>
              <w:spacing w:after="0"/>
              <w:jc w:val="center"/>
              <w:rPr>
                <w:rFonts w:ascii="Arial" w:hAnsi="Arial" w:cs="Arial"/>
                <w:sz w:val="18"/>
                <w:szCs w:val="18"/>
              </w:rPr>
            </w:pPr>
            <w:r w:rsidRPr="00F02461">
              <w:rPr>
                <w:rFonts w:ascii="Arial" w:hAnsi="Arial" w:cs="Arial"/>
                <w:sz w:val="18"/>
                <w:szCs w:val="18"/>
              </w:rPr>
              <w:t>(t)</w:t>
            </w:r>
          </w:p>
        </w:tc>
      </w:tr>
      <w:tr w:rsidR="004B4322" w:rsidRPr="00F02461" w:rsidTr="00663F7F">
        <w:trPr>
          <w:trHeight w:val="377"/>
        </w:trPr>
        <w:tc>
          <w:tcPr>
            <w:tcW w:w="2610" w:type="dxa"/>
            <w:gridSpan w:val="2"/>
            <w:shd w:val="clear" w:color="auto" w:fill="auto"/>
            <w:vAlign w:val="center"/>
          </w:tcPr>
          <w:p w:rsidR="004B4322" w:rsidRPr="00F02461" w:rsidRDefault="004B4322" w:rsidP="00663F7F">
            <w:pPr>
              <w:spacing w:after="0"/>
              <w:rPr>
                <w:rFonts w:ascii="Arial" w:hAnsi="Arial" w:cs="Arial"/>
                <w:b/>
                <w:sz w:val="18"/>
                <w:szCs w:val="18"/>
              </w:rPr>
            </w:pPr>
            <w:r w:rsidRPr="00F02461">
              <w:rPr>
                <w:rFonts w:ascii="Arial" w:hAnsi="Arial" w:cs="Arial"/>
                <w:b/>
                <w:sz w:val="18"/>
                <w:szCs w:val="18"/>
              </w:rPr>
              <w:t>PLJEVALJSKI  BASEN</w:t>
            </w:r>
          </w:p>
        </w:tc>
        <w:tc>
          <w:tcPr>
            <w:tcW w:w="10602" w:type="dxa"/>
            <w:gridSpan w:val="11"/>
            <w:shd w:val="clear" w:color="auto" w:fill="auto"/>
          </w:tcPr>
          <w:p w:rsidR="004B4322" w:rsidRPr="00F02461" w:rsidRDefault="004B4322" w:rsidP="00663F7F">
            <w:pPr>
              <w:spacing w:after="0"/>
              <w:rPr>
                <w:rFonts w:ascii="Arial" w:hAnsi="Arial" w:cs="Arial"/>
                <w:sz w:val="16"/>
                <w:szCs w:val="16"/>
              </w:rPr>
            </w:pPr>
          </w:p>
        </w:tc>
        <w:tc>
          <w:tcPr>
            <w:tcW w:w="1188" w:type="dxa"/>
            <w:shd w:val="clear" w:color="auto" w:fill="auto"/>
          </w:tcPr>
          <w:p w:rsidR="004B4322" w:rsidRPr="00F02461" w:rsidRDefault="004B4322" w:rsidP="00663F7F">
            <w:pPr>
              <w:spacing w:after="0"/>
              <w:rPr>
                <w:rFonts w:ascii="Arial" w:hAnsi="Arial" w:cs="Arial"/>
                <w:sz w:val="16"/>
                <w:szCs w:val="16"/>
              </w:rPr>
            </w:pPr>
          </w:p>
        </w:tc>
      </w:tr>
      <w:tr w:rsidR="004B4322" w:rsidRPr="00F02461" w:rsidTr="00663F7F">
        <w:trPr>
          <w:trHeight w:val="107"/>
        </w:trPr>
        <w:tc>
          <w:tcPr>
            <w:tcW w:w="2610" w:type="dxa"/>
            <w:gridSpan w:val="2"/>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Potrlica</w:t>
            </w:r>
          </w:p>
        </w:tc>
        <w:tc>
          <w:tcPr>
            <w:tcW w:w="72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11746</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72"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1.350.000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1.350.000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1.050.000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1.050.000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1.050.000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850.000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850.000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850.000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850.000</w:t>
            </w:r>
          </w:p>
        </w:tc>
        <w:tc>
          <w:tcPr>
            <w:tcW w:w="1188"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10.900.000</w:t>
            </w:r>
          </w:p>
        </w:tc>
      </w:tr>
      <w:tr w:rsidR="004B4322" w:rsidRPr="00F02461" w:rsidTr="00663F7F">
        <w:tc>
          <w:tcPr>
            <w:tcW w:w="2610" w:type="dxa"/>
            <w:gridSpan w:val="2"/>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Kalušići</w:t>
            </w:r>
          </w:p>
        </w:tc>
        <w:tc>
          <w:tcPr>
            <w:tcW w:w="72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7957</w:t>
            </w: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72"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500.000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500.000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500.000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500.000</w:t>
            </w:r>
          </w:p>
        </w:tc>
        <w:tc>
          <w:tcPr>
            <w:tcW w:w="1188"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2.000.000</w:t>
            </w:r>
          </w:p>
        </w:tc>
      </w:tr>
      <w:tr w:rsidR="004B4322" w:rsidRPr="00F02461" w:rsidTr="00663F7F">
        <w:trPr>
          <w:trHeight w:val="107"/>
        </w:trPr>
        <w:tc>
          <w:tcPr>
            <w:tcW w:w="2610" w:type="dxa"/>
            <w:gridSpan w:val="2"/>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Komini</w:t>
            </w:r>
          </w:p>
        </w:tc>
        <w:tc>
          <w:tcPr>
            <w:tcW w:w="720" w:type="dxa"/>
            <w:shd w:val="clear" w:color="auto" w:fill="auto"/>
          </w:tcPr>
          <w:p w:rsidR="004B4322" w:rsidRPr="00F02461" w:rsidRDefault="004B4322" w:rsidP="00663F7F">
            <w:pPr>
              <w:spacing w:after="0"/>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72"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1188" w:type="dxa"/>
            <w:shd w:val="clear" w:color="auto" w:fill="auto"/>
          </w:tcPr>
          <w:p w:rsidR="004B4322" w:rsidRPr="00F02461" w:rsidRDefault="004B4322" w:rsidP="00663F7F">
            <w:pPr>
              <w:spacing w:after="0"/>
              <w:jc w:val="right"/>
              <w:rPr>
                <w:rFonts w:ascii="Arial" w:hAnsi="Arial" w:cs="Arial"/>
                <w:sz w:val="16"/>
                <w:szCs w:val="16"/>
              </w:rPr>
            </w:pPr>
          </w:p>
        </w:tc>
      </w:tr>
      <w:tr w:rsidR="004B4322" w:rsidRPr="00F02461" w:rsidTr="00663F7F">
        <w:tc>
          <w:tcPr>
            <w:tcW w:w="2610" w:type="dxa"/>
            <w:gridSpan w:val="2"/>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Grevo</w:t>
            </w:r>
          </w:p>
        </w:tc>
        <w:tc>
          <w:tcPr>
            <w:tcW w:w="720" w:type="dxa"/>
            <w:shd w:val="clear" w:color="auto" w:fill="auto"/>
          </w:tcPr>
          <w:p w:rsidR="004B4322" w:rsidRPr="00F02461" w:rsidRDefault="004B4322" w:rsidP="00663F7F">
            <w:pPr>
              <w:spacing w:after="0"/>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72"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1188" w:type="dxa"/>
            <w:shd w:val="clear" w:color="auto" w:fill="auto"/>
          </w:tcPr>
          <w:p w:rsidR="004B4322" w:rsidRPr="00F02461" w:rsidRDefault="004B4322" w:rsidP="00663F7F">
            <w:pPr>
              <w:spacing w:after="0"/>
              <w:jc w:val="right"/>
              <w:rPr>
                <w:rFonts w:ascii="Arial" w:hAnsi="Arial" w:cs="Arial"/>
                <w:sz w:val="16"/>
                <w:szCs w:val="16"/>
              </w:rPr>
            </w:pPr>
          </w:p>
        </w:tc>
      </w:tr>
      <w:tr w:rsidR="004B4322" w:rsidRPr="00F02461" w:rsidTr="00663F7F">
        <w:tc>
          <w:tcPr>
            <w:tcW w:w="2610" w:type="dxa"/>
            <w:gridSpan w:val="2"/>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Rabitlje</w:t>
            </w:r>
          </w:p>
        </w:tc>
        <w:tc>
          <w:tcPr>
            <w:tcW w:w="720" w:type="dxa"/>
            <w:shd w:val="clear" w:color="auto" w:fill="auto"/>
          </w:tcPr>
          <w:p w:rsidR="004B4322" w:rsidRPr="00F02461" w:rsidRDefault="004B4322" w:rsidP="00663F7F">
            <w:pPr>
              <w:spacing w:after="0"/>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72"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1188" w:type="dxa"/>
            <w:shd w:val="clear" w:color="auto" w:fill="auto"/>
          </w:tcPr>
          <w:p w:rsidR="004B4322" w:rsidRPr="00F02461" w:rsidRDefault="004B4322" w:rsidP="00663F7F">
            <w:pPr>
              <w:spacing w:after="0"/>
              <w:jc w:val="right"/>
              <w:rPr>
                <w:rFonts w:ascii="Arial" w:hAnsi="Arial" w:cs="Arial"/>
                <w:sz w:val="16"/>
                <w:szCs w:val="16"/>
              </w:rPr>
            </w:pPr>
          </w:p>
        </w:tc>
      </w:tr>
      <w:tr w:rsidR="004B4322" w:rsidRPr="00F02461" w:rsidTr="00663F7F">
        <w:trPr>
          <w:trHeight w:val="323"/>
        </w:trPr>
        <w:tc>
          <w:tcPr>
            <w:tcW w:w="2610" w:type="dxa"/>
            <w:gridSpan w:val="2"/>
            <w:shd w:val="clear" w:color="auto" w:fill="auto"/>
            <w:vAlign w:val="center"/>
          </w:tcPr>
          <w:p w:rsidR="004B4322" w:rsidRPr="00F02461" w:rsidRDefault="004B4322" w:rsidP="00663F7F">
            <w:pPr>
              <w:spacing w:after="0"/>
              <w:rPr>
                <w:rFonts w:ascii="Arial" w:hAnsi="Arial" w:cs="Arial"/>
                <w:b/>
                <w:sz w:val="18"/>
                <w:szCs w:val="18"/>
              </w:rPr>
            </w:pPr>
            <w:r w:rsidRPr="00F02461">
              <w:rPr>
                <w:rFonts w:ascii="Arial" w:hAnsi="Arial" w:cs="Arial"/>
                <w:b/>
                <w:sz w:val="18"/>
                <w:szCs w:val="18"/>
              </w:rPr>
              <w:t>LJUĆE- ŠUMANSKI BASEN</w:t>
            </w:r>
          </w:p>
        </w:tc>
        <w:tc>
          <w:tcPr>
            <w:tcW w:w="72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6384</w:t>
            </w: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72"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1188"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1.500.000</w:t>
            </w:r>
          </w:p>
        </w:tc>
      </w:tr>
      <w:tr w:rsidR="004B4322" w:rsidRPr="00F02461" w:rsidTr="00663F7F">
        <w:tc>
          <w:tcPr>
            <w:tcW w:w="2610" w:type="dxa"/>
            <w:gridSpan w:val="2"/>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Ležište “Glisnica”</w:t>
            </w:r>
          </w:p>
        </w:tc>
        <w:tc>
          <w:tcPr>
            <w:tcW w:w="72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9384</w:t>
            </w: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72"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1188"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1.500.000</w:t>
            </w:r>
          </w:p>
        </w:tc>
      </w:tr>
      <w:tr w:rsidR="004B4322" w:rsidRPr="00F02461" w:rsidTr="00663F7F">
        <w:tc>
          <w:tcPr>
            <w:tcW w:w="2610" w:type="dxa"/>
            <w:gridSpan w:val="2"/>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Ležište “Otilovići”</w:t>
            </w:r>
          </w:p>
        </w:tc>
        <w:tc>
          <w:tcPr>
            <w:tcW w:w="72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10510</w:t>
            </w: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72"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990"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300.000</w:t>
            </w:r>
          </w:p>
        </w:tc>
        <w:tc>
          <w:tcPr>
            <w:tcW w:w="1188" w:type="dxa"/>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600.000</w:t>
            </w:r>
          </w:p>
        </w:tc>
      </w:tr>
      <w:tr w:rsidR="004B4322" w:rsidRPr="00F02461" w:rsidTr="00663F7F">
        <w:trPr>
          <w:trHeight w:val="433"/>
        </w:trPr>
        <w:tc>
          <w:tcPr>
            <w:tcW w:w="2610" w:type="dxa"/>
            <w:gridSpan w:val="2"/>
            <w:shd w:val="clear" w:color="auto" w:fill="F2F2F2"/>
          </w:tcPr>
          <w:p w:rsidR="004B4322" w:rsidRPr="00F02461" w:rsidRDefault="004B4322" w:rsidP="00663F7F">
            <w:pPr>
              <w:spacing w:after="0"/>
              <w:rPr>
                <w:rFonts w:ascii="Arial" w:hAnsi="Arial" w:cs="Arial"/>
                <w:sz w:val="18"/>
                <w:szCs w:val="18"/>
              </w:rPr>
            </w:pPr>
            <w:r w:rsidRPr="00F02461">
              <w:rPr>
                <w:rFonts w:ascii="Arial" w:hAnsi="Arial" w:cs="Arial"/>
                <w:sz w:val="18"/>
                <w:szCs w:val="18"/>
              </w:rPr>
              <w:t>UKUPNO  PROJEKCIJA</w:t>
            </w:r>
          </w:p>
          <w:p w:rsidR="004B4322" w:rsidRPr="00F02461" w:rsidRDefault="004B4322" w:rsidP="00663F7F">
            <w:pPr>
              <w:spacing w:after="0"/>
              <w:rPr>
                <w:rFonts w:ascii="Arial" w:hAnsi="Arial" w:cs="Arial"/>
                <w:sz w:val="18"/>
                <w:szCs w:val="18"/>
              </w:rPr>
            </w:pPr>
            <w:r w:rsidRPr="00F02461">
              <w:rPr>
                <w:rFonts w:ascii="Arial" w:hAnsi="Arial" w:cs="Arial"/>
                <w:sz w:val="18"/>
                <w:szCs w:val="18"/>
              </w:rPr>
              <w:t>EKSPLOATACIJE UGLJA</w:t>
            </w:r>
          </w:p>
          <w:p w:rsidR="004B4322" w:rsidRPr="00F02461" w:rsidRDefault="004B4322" w:rsidP="00663F7F">
            <w:pPr>
              <w:spacing w:after="0"/>
              <w:rPr>
                <w:rFonts w:ascii="Arial" w:hAnsi="Arial" w:cs="Arial"/>
                <w:sz w:val="18"/>
                <w:szCs w:val="18"/>
              </w:rPr>
            </w:pPr>
            <w:r w:rsidRPr="00F02461">
              <w:rPr>
                <w:rFonts w:ascii="Arial" w:hAnsi="Arial" w:cs="Arial"/>
                <w:sz w:val="18"/>
                <w:szCs w:val="18"/>
              </w:rPr>
              <w:t>PLJEVALJSKE  OPŠTINE</w:t>
            </w:r>
          </w:p>
        </w:tc>
        <w:tc>
          <w:tcPr>
            <w:tcW w:w="720" w:type="dxa"/>
            <w:shd w:val="clear" w:color="auto" w:fill="F2F2F2"/>
          </w:tcPr>
          <w:p w:rsidR="004B4322" w:rsidRPr="00F02461" w:rsidRDefault="004B4322" w:rsidP="00663F7F">
            <w:pPr>
              <w:spacing w:after="0"/>
              <w:rPr>
                <w:rFonts w:ascii="Arial" w:hAnsi="Arial" w:cs="Arial"/>
                <w:sz w:val="16"/>
                <w:szCs w:val="16"/>
              </w:rPr>
            </w:pP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72"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990"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w:t>
            </w:r>
          </w:p>
        </w:tc>
        <w:tc>
          <w:tcPr>
            <w:tcW w:w="1188" w:type="dxa"/>
            <w:shd w:val="clear" w:color="auto" w:fill="F2F2F2"/>
          </w:tcPr>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p>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16.500.000</w:t>
            </w:r>
          </w:p>
        </w:tc>
      </w:tr>
      <w:tr w:rsidR="004B4322" w:rsidRPr="00F02461" w:rsidTr="00663F7F">
        <w:trPr>
          <w:trHeight w:val="530"/>
        </w:trPr>
        <w:tc>
          <w:tcPr>
            <w:tcW w:w="14400" w:type="dxa"/>
            <w:gridSpan w:val="14"/>
            <w:tcBorders>
              <w:bottom w:val="single" w:sz="4" w:space="0" w:color="auto"/>
            </w:tcBorders>
            <w:shd w:val="clear" w:color="auto" w:fill="auto"/>
            <w:vAlign w:val="center"/>
          </w:tcPr>
          <w:p w:rsidR="004B4322" w:rsidRPr="00F02461" w:rsidRDefault="004B4322" w:rsidP="00663F7F">
            <w:pPr>
              <w:spacing w:after="0"/>
              <w:rPr>
                <w:rFonts w:ascii="Arial" w:hAnsi="Arial" w:cs="Arial"/>
                <w:sz w:val="16"/>
                <w:szCs w:val="16"/>
              </w:rPr>
            </w:pPr>
          </w:p>
          <w:p w:rsidR="004B4322" w:rsidRPr="00F02461" w:rsidRDefault="004B4322" w:rsidP="00663F7F">
            <w:pPr>
              <w:spacing w:after="0"/>
              <w:rPr>
                <w:rFonts w:ascii="Arial" w:hAnsi="Arial" w:cs="Arial"/>
                <w:sz w:val="18"/>
                <w:szCs w:val="18"/>
              </w:rPr>
            </w:pPr>
            <w:r w:rsidRPr="00F02461">
              <w:rPr>
                <w:rFonts w:ascii="Arial" w:hAnsi="Arial" w:cs="Arial"/>
                <w:sz w:val="18"/>
                <w:szCs w:val="18"/>
              </w:rPr>
              <w:t>PLASMAN UGLJA IZ LEŽIŠTA PLJEVALJSKE OPŠTINE SA PROSJEČNOM (PONDERISANOM) TOPLOTNOM VR</w:t>
            </w:r>
            <w:r w:rsidR="008F0EB7" w:rsidRPr="00F02461">
              <w:rPr>
                <w:rFonts w:ascii="Arial" w:hAnsi="Arial" w:cs="Arial"/>
                <w:sz w:val="18"/>
                <w:szCs w:val="18"/>
              </w:rPr>
              <w:t>IJEDNOŠĆU</w:t>
            </w:r>
          </w:p>
        </w:tc>
      </w:tr>
      <w:tr w:rsidR="004B4322" w:rsidRPr="00F02461" w:rsidTr="00663F7F">
        <w:tc>
          <w:tcPr>
            <w:tcW w:w="2610" w:type="dxa"/>
            <w:gridSpan w:val="2"/>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Isporuka za TE ”Pljevlja”</w:t>
            </w:r>
          </w:p>
        </w:tc>
        <w:tc>
          <w:tcPr>
            <w:tcW w:w="72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72"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w:t>
            </w:r>
          </w:p>
        </w:tc>
        <w:tc>
          <w:tcPr>
            <w:tcW w:w="1188"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14.000.000</w:t>
            </w:r>
          </w:p>
        </w:tc>
      </w:tr>
      <w:tr w:rsidR="004B4322" w:rsidRPr="00F02461" w:rsidTr="00663F7F">
        <w:tc>
          <w:tcPr>
            <w:tcW w:w="2610" w:type="dxa"/>
            <w:gridSpan w:val="2"/>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Prosječni DTE (KJ/kg)</w:t>
            </w:r>
          </w:p>
        </w:tc>
        <w:tc>
          <w:tcPr>
            <w:tcW w:w="72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rPr>
                <w:rFonts w:ascii="Arial" w:hAnsi="Arial" w:cs="Arial"/>
                <w:sz w:val="16"/>
                <w:szCs w:val="16"/>
              </w:rPr>
            </w:pP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72"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10597</w:t>
            </w: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10597</w:t>
            </w: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10091</w:t>
            </w: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10091</w:t>
            </w: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10091</w:t>
            </w: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9325</w:t>
            </w: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9325</w:t>
            </w: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9566</w:t>
            </w:r>
          </w:p>
        </w:tc>
        <w:tc>
          <w:tcPr>
            <w:tcW w:w="990"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9566</w:t>
            </w:r>
          </w:p>
        </w:tc>
        <w:tc>
          <w:tcPr>
            <w:tcW w:w="1188" w:type="dxa"/>
            <w:tcBorders>
              <w:top w:val="nil"/>
              <w:left w:val="single" w:sz="4" w:space="0" w:color="auto"/>
              <w:bottom w:val="single" w:sz="4" w:space="0" w:color="auto"/>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10100</w:t>
            </w:r>
          </w:p>
        </w:tc>
      </w:tr>
      <w:tr w:rsidR="004B4322" w:rsidRPr="00F02461" w:rsidTr="00663F7F">
        <w:tc>
          <w:tcPr>
            <w:tcW w:w="2610" w:type="dxa"/>
            <w:gridSpan w:val="2"/>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rPr>
                <w:rFonts w:ascii="Arial" w:hAnsi="Arial" w:cs="Arial"/>
                <w:sz w:val="18"/>
                <w:szCs w:val="18"/>
              </w:rPr>
            </w:pPr>
            <w:r w:rsidRPr="00F02461">
              <w:rPr>
                <w:rFonts w:ascii="Arial" w:hAnsi="Arial" w:cs="Arial"/>
                <w:sz w:val="18"/>
                <w:szCs w:val="18"/>
              </w:rPr>
              <w:t>Široka potrošnja</w:t>
            </w:r>
          </w:p>
        </w:tc>
        <w:tc>
          <w:tcPr>
            <w:tcW w:w="72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72"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w:t>
            </w:r>
          </w:p>
        </w:tc>
        <w:tc>
          <w:tcPr>
            <w:tcW w:w="1188" w:type="dxa"/>
            <w:tcBorders>
              <w:top w:val="single" w:sz="4" w:space="0" w:color="auto"/>
              <w:left w:val="single" w:sz="4" w:space="0" w:color="auto"/>
              <w:bottom w:val="nil"/>
              <w:right w:val="single" w:sz="4" w:space="0" w:color="auto"/>
            </w:tcBorders>
            <w:shd w:val="clear" w:color="auto" w:fill="auto"/>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2.500.000</w:t>
            </w:r>
          </w:p>
        </w:tc>
      </w:tr>
      <w:tr w:rsidR="004B4322" w:rsidRPr="00F02461" w:rsidTr="00663F7F">
        <w:tc>
          <w:tcPr>
            <w:tcW w:w="2610" w:type="dxa"/>
            <w:gridSpan w:val="2"/>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rPr>
                <w:rFonts w:ascii="Arial" w:hAnsi="Arial" w:cs="Arial"/>
              </w:rPr>
            </w:pPr>
            <w:r w:rsidRPr="00F02461">
              <w:rPr>
                <w:rFonts w:ascii="Arial" w:hAnsi="Arial" w:cs="Arial"/>
                <w:sz w:val="18"/>
                <w:szCs w:val="18"/>
              </w:rPr>
              <w:t>Prosječni DTE (KJ/kg)</w:t>
            </w:r>
          </w:p>
        </w:tc>
        <w:tc>
          <w:tcPr>
            <w:tcW w:w="72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rPr>
                <w:rFonts w:ascii="Arial" w:hAnsi="Arial" w:cs="Arial"/>
                <w:sz w:val="16"/>
                <w:szCs w:val="16"/>
              </w:rPr>
            </w:pP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72"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990"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c>
          <w:tcPr>
            <w:tcW w:w="1188" w:type="dxa"/>
            <w:tcBorders>
              <w:top w:val="nil"/>
              <w:left w:val="single" w:sz="4" w:space="0" w:color="auto"/>
              <w:bottom w:val="single" w:sz="4" w:space="0" w:color="000000"/>
              <w:right w:val="single" w:sz="4" w:space="0" w:color="auto"/>
            </w:tcBorders>
            <w:shd w:val="clear" w:color="auto" w:fill="auto"/>
          </w:tcPr>
          <w:p w:rsidR="004B4322" w:rsidRPr="00F02461" w:rsidRDefault="004B4322" w:rsidP="00663F7F">
            <w:pPr>
              <w:spacing w:after="0"/>
              <w:jc w:val="center"/>
              <w:rPr>
                <w:rFonts w:ascii="Arial" w:hAnsi="Arial" w:cs="Arial"/>
                <w:sz w:val="16"/>
                <w:szCs w:val="16"/>
              </w:rPr>
            </w:pPr>
            <w:r w:rsidRPr="00F02461">
              <w:rPr>
                <w:rFonts w:ascii="Arial" w:hAnsi="Arial" w:cs="Arial"/>
                <w:sz w:val="16"/>
                <w:szCs w:val="16"/>
              </w:rPr>
              <w:t>11746</w:t>
            </w:r>
          </w:p>
        </w:tc>
      </w:tr>
      <w:tr w:rsidR="004B4322" w:rsidRPr="00F02461" w:rsidTr="00663F7F">
        <w:trPr>
          <w:trHeight w:val="143"/>
        </w:trPr>
        <w:tc>
          <w:tcPr>
            <w:tcW w:w="14400" w:type="dxa"/>
            <w:gridSpan w:val="14"/>
            <w:tcBorders>
              <w:left w:val="nil"/>
              <w:bottom w:val="single" w:sz="4" w:space="0" w:color="auto"/>
              <w:right w:val="nil"/>
            </w:tcBorders>
            <w:shd w:val="clear" w:color="auto" w:fill="FFFFFF"/>
          </w:tcPr>
          <w:p w:rsidR="004B4322" w:rsidRPr="00F02461" w:rsidRDefault="004B4322" w:rsidP="00663F7F">
            <w:pPr>
              <w:spacing w:after="0"/>
              <w:jc w:val="right"/>
              <w:rPr>
                <w:rFonts w:ascii="Arial" w:hAnsi="Arial" w:cs="Arial"/>
                <w:sz w:val="16"/>
                <w:szCs w:val="16"/>
              </w:rPr>
            </w:pPr>
          </w:p>
        </w:tc>
      </w:tr>
      <w:tr w:rsidR="004B4322" w:rsidRPr="00F02461" w:rsidTr="00663F7F">
        <w:trPr>
          <w:trHeight w:val="433"/>
        </w:trPr>
        <w:tc>
          <w:tcPr>
            <w:tcW w:w="2610" w:type="dxa"/>
            <w:gridSpan w:val="2"/>
            <w:tcBorders>
              <w:bottom w:val="single" w:sz="4" w:space="0" w:color="auto"/>
            </w:tcBorders>
            <w:shd w:val="clear" w:color="auto" w:fill="F2F2F2"/>
          </w:tcPr>
          <w:p w:rsidR="004B4322" w:rsidRPr="00F02461" w:rsidRDefault="004B4322" w:rsidP="00663F7F">
            <w:pPr>
              <w:spacing w:after="0"/>
              <w:rPr>
                <w:rFonts w:ascii="Arial" w:hAnsi="Arial" w:cs="Arial"/>
                <w:sz w:val="18"/>
                <w:szCs w:val="18"/>
              </w:rPr>
            </w:pPr>
            <w:r w:rsidRPr="00F02461">
              <w:rPr>
                <w:rFonts w:ascii="Arial" w:hAnsi="Arial" w:cs="Arial"/>
                <w:sz w:val="18"/>
                <w:szCs w:val="18"/>
              </w:rPr>
              <w:t>PROJEKCIJA EKSPLOATACIJE UGLJA BERANSKE OPŠTINE</w:t>
            </w:r>
          </w:p>
          <w:p w:rsidR="004B4322" w:rsidRPr="00F02461" w:rsidRDefault="004B4322" w:rsidP="00663F7F">
            <w:pPr>
              <w:pStyle w:val="ListParagraph"/>
              <w:numPr>
                <w:ilvl w:val="0"/>
                <w:numId w:val="39"/>
              </w:numPr>
              <w:spacing w:after="0" w:line="240" w:lineRule="auto"/>
              <w:ind w:left="0"/>
              <w:contextualSpacing/>
              <w:rPr>
                <w:rFonts w:ascii="Arial" w:hAnsi="Arial" w:cs="Arial"/>
                <w:sz w:val="18"/>
                <w:szCs w:val="18"/>
              </w:rPr>
            </w:pPr>
            <w:r w:rsidRPr="00F02461">
              <w:rPr>
                <w:rFonts w:ascii="Arial" w:hAnsi="Arial" w:cs="Arial"/>
                <w:sz w:val="18"/>
                <w:szCs w:val="18"/>
              </w:rPr>
              <w:t>Ležište “Petnjik”</w:t>
            </w:r>
          </w:p>
        </w:tc>
        <w:tc>
          <w:tcPr>
            <w:tcW w:w="72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13.253</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72"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990"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w:t>
            </w:r>
          </w:p>
        </w:tc>
        <w:tc>
          <w:tcPr>
            <w:tcW w:w="1188" w:type="dxa"/>
            <w:tcBorders>
              <w:bottom w:val="single" w:sz="4" w:space="0" w:color="auto"/>
            </w:tcBorders>
            <w:shd w:val="clear" w:color="auto" w:fill="F2F2F2"/>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1.500.000</w:t>
            </w:r>
          </w:p>
        </w:tc>
      </w:tr>
      <w:tr w:rsidR="004B4322" w:rsidRPr="00F02461" w:rsidTr="00663F7F">
        <w:trPr>
          <w:trHeight w:val="143"/>
        </w:trPr>
        <w:tc>
          <w:tcPr>
            <w:tcW w:w="14400" w:type="dxa"/>
            <w:gridSpan w:val="14"/>
            <w:tcBorders>
              <w:top w:val="single" w:sz="4" w:space="0" w:color="auto"/>
              <w:left w:val="nil"/>
              <w:bottom w:val="single" w:sz="4" w:space="0" w:color="auto"/>
              <w:right w:val="nil"/>
            </w:tcBorders>
            <w:shd w:val="clear" w:color="auto" w:fill="FFFFFF"/>
          </w:tcPr>
          <w:p w:rsidR="004B4322" w:rsidRPr="00F02461" w:rsidRDefault="004B4322" w:rsidP="00663F7F">
            <w:pPr>
              <w:spacing w:after="0"/>
              <w:jc w:val="right"/>
              <w:rPr>
                <w:rFonts w:ascii="Arial" w:hAnsi="Arial" w:cs="Arial"/>
                <w:sz w:val="16"/>
                <w:szCs w:val="16"/>
              </w:rPr>
            </w:pPr>
          </w:p>
        </w:tc>
      </w:tr>
      <w:tr w:rsidR="004B4322" w:rsidRPr="00F02461" w:rsidTr="00663F7F">
        <w:trPr>
          <w:trHeight w:val="773"/>
        </w:trPr>
        <w:tc>
          <w:tcPr>
            <w:tcW w:w="2520" w:type="dxa"/>
            <w:tcBorders>
              <w:top w:val="single" w:sz="4" w:space="0" w:color="auto"/>
            </w:tcBorders>
            <w:shd w:val="clear" w:color="auto" w:fill="D9D9D9"/>
          </w:tcPr>
          <w:p w:rsidR="004B4322" w:rsidRPr="00F02461" w:rsidRDefault="004B4322" w:rsidP="00663F7F">
            <w:pPr>
              <w:spacing w:after="0"/>
              <w:rPr>
                <w:rFonts w:ascii="Arial" w:hAnsi="Arial" w:cs="Arial"/>
                <w:sz w:val="18"/>
                <w:szCs w:val="18"/>
              </w:rPr>
            </w:pPr>
            <w:r w:rsidRPr="00F02461">
              <w:rPr>
                <w:rFonts w:ascii="Arial" w:hAnsi="Arial" w:cs="Arial"/>
                <w:sz w:val="18"/>
                <w:szCs w:val="18"/>
              </w:rPr>
              <w:t>UKUPNO PROJEKCIJA</w:t>
            </w:r>
          </w:p>
          <w:p w:rsidR="004B4322" w:rsidRPr="00F02461" w:rsidRDefault="004B4322" w:rsidP="00663F7F">
            <w:pPr>
              <w:spacing w:after="0"/>
              <w:rPr>
                <w:rFonts w:ascii="Arial" w:hAnsi="Arial" w:cs="Arial"/>
                <w:sz w:val="18"/>
                <w:szCs w:val="18"/>
              </w:rPr>
            </w:pPr>
            <w:r w:rsidRPr="00F02461">
              <w:rPr>
                <w:rFonts w:ascii="Arial" w:hAnsi="Arial" w:cs="Arial"/>
                <w:sz w:val="18"/>
                <w:szCs w:val="18"/>
              </w:rPr>
              <w:t>EKSPLOATACIJE UGLJA</w:t>
            </w:r>
          </w:p>
          <w:p w:rsidR="004B4322" w:rsidRPr="00F02461" w:rsidRDefault="004B4322" w:rsidP="00663F7F">
            <w:pPr>
              <w:spacing w:after="0"/>
              <w:rPr>
                <w:rFonts w:ascii="Arial" w:hAnsi="Arial" w:cs="Arial"/>
                <w:sz w:val="18"/>
                <w:szCs w:val="18"/>
              </w:rPr>
            </w:pPr>
            <w:r w:rsidRPr="00F02461">
              <w:rPr>
                <w:rFonts w:ascii="Arial" w:hAnsi="Arial" w:cs="Arial"/>
                <w:sz w:val="18"/>
                <w:szCs w:val="18"/>
              </w:rPr>
              <w:t>U</w:t>
            </w:r>
            <w:r w:rsidR="00F02461" w:rsidRPr="00F02461">
              <w:rPr>
                <w:rFonts w:ascii="Arial" w:hAnsi="Arial" w:cs="Arial"/>
                <w:sz w:val="18"/>
                <w:szCs w:val="18"/>
              </w:rPr>
              <w:t xml:space="preserve"> </w:t>
            </w:r>
            <w:r w:rsidRPr="00F02461">
              <w:rPr>
                <w:rFonts w:ascii="Arial" w:hAnsi="Arial" w:cs="Arial"/>
                <w:sz w:val="18"/>
                <w:szCs w:val="18"/>
              </w:rPr>
              <w:t>CRNOJ GORI</w:t>
            </w:r>
          </w:p>
        </w:tc>
        <w:tc>
          <w:tcPr>
            <w:tcW w:w="810" w:type="dxa"/>
            <w:gridSpan w:val="2"/>
            <w:tcBorders>
              <w:top w:val="single" w:sz="4" w:space="0" w:color="auto"/>
            </w:tcBorders>
            <w:shd w:val="clear" w:color="auto" w:fill="D9D9D9"/>
          </w:tcPr>
          <w:p w:rsidR="004B4322" w:rsidRPr="00F02461" w:rsidRDefault="004B4322" w:rsidP="00663F7F">
            <w:pPr>
              <w:spacing w:after="0"/>
              <w:rPr>
                <w:rFonts w:ascii="Arial" w:hAnsi="Arial" w:cs="Arial"/>
                <w:sz w:val="16"/>
                <w:szCs w:val="16"/>
              </w:rPr>
            </w:pP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72"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990"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w:t>
            </w:r>
          </w:p>
        </w:tc>
        <w:tc>
          <w:tcPr>
            <w:tcW w:w="1188" w:type="dxa"/>
            <w:tcBorders>
              <w:top w:val="single" w:sz="4" w:space="0" w:color="auto"/>
            </w:tcBorders>
            <w:shd w:val="clear" w:color="auto" w:fill="D9D9D9"/>
            <w:vAlign w:val="center"/>
          </w:tcPr>
          <w:p w:rsidR="004B4322" w:rsidRPr="00F02461" w:rsidRDefault="004B4322" w:rsidP="00663F7F">
            <w:pPr>
              <w:spacing w:after="0"/>
              <w:jc w:val="right"/>
              <w:rPr>
                <w:rFonts w:ascii="Arial" w:hAnsi="Arial" w:cs="Arial"/>
                <w:sz w:val="16"/>
                <w:szCs w:val="16"/>
              </w:rPr>
            </w:pPr>
            <w:r w:rsidRPr="00F02461">
              <w:rPr>
                <w:rFonts w:ascii="Arial" w:hAnsi="Arial" w:cs="Arial"/>
                <w:sz w:val="16"/>
                <w:szCs w:val="16"/>
              </w:rPr>
              <w:t>18.000.000</w:t>
            </w:r>
          </w:p>
        </w:tc>
      </w:tr>
    </w:tbl>
    <w:p w:rsidR="004B4322" w:rsidRPr="0058752D" w:rsidRDefault="004B4322" w:rsidP="008F0EB7">
      <w:pPr>
        <w:spacing w:after="0"/>
        <w:rPr>
          <w:rFonts w:ascii="Arial" w:hAnsi="Arial" w:cs="Arial"/>
          <w:color w:val="FF0000"/>
          <w:sz w:val="20"/>
          <w:szCs w:val="20"/>
        </w:rPr>
      </w:pPr>
    </w:p>
    <w:p w:rsidR="004B4322" w:rsidRPr="0058752D" w:rsidRDefault="004B4322" w:rsidP="004B4322">
      <w:pPr>
        <w:spacing w:after="0" w:line="240" w:lineRule="auto"/>
        <w:jc w:val="both"/>
        <w:rPr>
          <w:rFonts w:ascii="Arial" w:hAnsi="Arial" w:cs="Arial"/>
          <w:color w:val="FF0000"/>
          <w:sz w:val="24"/>
          <w:szCs w:val="24"/>
          <w:lang w:val="sr-Latn-CS"/>
        </w:rPr>
        <w:sectPr w:rsidR="004B4322" w:rsidRPr="0058752D" w:rsidSect="004B4322">
          <w:pgSz w:w="16839" w:h="11907" w:orient="landscape" w:code="9"/>
          <w:pgMar w:top="1440" w:right="1440" w:bottom="1440" w:left="1440" w:header="720" w:footer="720" w:gutter="0"/>
          <w:cols w:space="720"/>
          <w:titlePg/>
          <w:docGrid w:linePitch="360"/>
        </w:sectPr>
      </w:pPr>
    </w:p>
    <w:p w:rsidR="004B4322" w:rsidRPr="00C14311" w:rsidRDefault="004B4322" w:rsidP="00F02461">
      <w:pPr>
        <w:spacing w:after="0"/>
        <w:jc w:val="both"/>
        <w:rPr>
          <w:rFonts w:ascii="Arial" w:hAnsi="Arial" w:cs="Arial"/>
          <w:sz w:val="24"/>
          <w:szCs w:val="24"/>
          <w:lang w:val="sr-Latn-CS"/>
        </w:rPr>
      </w:pPr>
      <w:r w:rsidRPr="00C14311">
        <w:rPr>
          <w:rFonts w:ascii="Arial" w:hAnsi="Arial" w:cs="Arial"/>
          <w:sz w:val="24"/>
          <w:szCs w:val="24"/>
          <w:lang w:val="sr-Latn-CS"/>
        </w:rPr>
        <w:lastRenderedPageBreak/>
        <w:t>Iz Projekcije eksploatacije uglja u Crnoj Gori za period 2</w:t>
      </w:r>
      <w:r w:rsidR="00ED5665">
        <w:rPr>
          <w:rFonts w:ascii="Arial" w:hAnsi="Arial" w:cs="Arial"/>
          <w:sz w:val="24"/>
          <w:szCs w:val="24"/>
          <w:lang w:val="sr-Latn-CS"/>
        </w:rPr>
        <w:t>019-</w:t>
      </w:r>
      <w:r w:rsidR="008F0EB7" w:rsidRPr="00C14311">
        <w:rPr>
          <w:rFonts w:ascii="Arial" w:hAnsi="Arial" w:cs="Arial"/>
          <w:sz w:val="24"/>
          <w:szCs w:val="24"/>
          <w:lang w:val="sr-Latn-CS"/>
        </w:rPr>
        <w:t>2028. godina,</w:t>
      </w:r>
      <w:r w:rsidR="00F02461" w:rsidRPr="00C14311">
        <w:rPr>
          <w:rFonts w:ascii="Arial" w:hAnsi="Arial" w:cs="Arial"/>
          <w:sz w:val="24"/>
          <w:szCs w:val="24"/>
          <w:lang w:val="sr-Latn-CS"/>
        </w:rPr>
        <w:t xml:space="preserve"> t</w:t>
      </w:r>
      <w:r w:rsidR="008F0EB7" w:rsidRPr="00C14311">
        <w:rPr>
          <w:rFonts w:ascii="Arial" w:hAnsi="Arial" w:cs="Arial"/>
          <w:sz w:val="24"/>
          <w:szCs w:val="24"/>
          <w:lang w:val="sr-Latn-CS"/>
        </w:rPr>
        <w:t>abela br. 1</w:t>
      </w:r>
      <w:r w:rsidR="00F02461" w:rsidRPr="00C14311">
        <w:rPr>
          <w:rFonts w:ascii="Arial" w:hAnsi="Arial" w:cs="Arial"/>
          <w:sz w:val="24"/>
          <w:szCs w:val="24"/>
          <w:lang w:val="sr-Latn-CS"/>
        </w:rPr>
        <w:t>.</w:t>
      </w:r>
      <w:r w:rsidRPr="00C14311">
        <w:rPr>
          <w:rFonts w:ascii="Arial" w:hAnsi="Arial" w:cs="Arial"/>
          <w:sz w:val="24"/>
          <w:szCs w:val="24"/>
          <w:lang w:val="sr-Latn-CS"/>
        </w:rPr>
        <w:t>1., otvaranje i početak eksploatacije uglja iz ležišta planirani su sljedećom dinamikom:</w:t>
      </w:r>
    </w:p>
    <w:p w:rsidR="00F15A1E" w:rsidRPr="00F15A1E" w:rsidRDefault="00F15A1E" w:rsidP="00F15A1E">
      <w:pPr>
        <w:numPr>
          <w:ilvl w:val="0"/>
          <w:numId w:val="45"/>
        </w:numPr>
        <w:spacing w:after="0"/>
        <w:contextualSpacing/>
        <w:jc w:val="both"/>
        <w:rPr>
          <w:rFonts w:ascii="Arial" w:eastAsiaTheme="minorHAnsi" w:hAnsi="Arial" w:cs="Arial"/>
          <w:sz w:val="24"/>
          <w:szCs w:val="24"/>
          <w:lang w:val="sr-Latn-CS"/>
        </w:rPr>
      </w:pPr>
      <w:r w:rsidRPr="00F15A1E">
        <w:rPr>
          <w:rFonts w:ascii="Arial" w:eastAsiaTheme="minorHAnsi" w:hAnsi="Arial" w:cs="Arial"/>
          <w:sz w:val="24"/>
          <w:szCs w:val="24"/>
          <w:lang w:val="sr-Latn-CS"/>
        </w:rPr>
        <w:t>2020. godina - eksploatacija preostalih rezervi uglja ljuće–šumanskog basena (5 godina - sa godišnjim obimom eksploatacije od 300.000 t uglja). Pri čemu bi se nastavilo sa doistraživanjem ostalih dijelova ljuće – šumanskog basena koji nisu bili zahvaćeni dosadašnjom rudarskom aktivnošću.</w:t>
      </w:r>
    </w:p>
    <w:p w:rsidR="00F15A1E" w:rsidRPr="00F15A1E" w:rsidRDefault="00F15A1E" w:rsidP="00F15A1E">
      <w:pPr>
        <w:numPr>
          <w:ilvl w:val="0"/>
          <w:numId w:val="45"/>
        </w:numPr>
        <w:spacing w:after="0"/>
        <w:contextualSpacing/>
        <w:jc w:val="both"/>
        <w:rPr>
          <w:rFonts w:ascii="Arial" w:eastAsiaTheme="minorHAnsi" w:hAnsi="Arial" w:cs="Arial"/>
          <w:sz w:val="24"/>
          <w:szCs w:val="24"/>
          <w:lang w:val="sr-Latn-CS"/>
        </w:rPr>
      </w:pPr>
      <w:r w:rsidRPr="00F15A1E">
        <w:rPr>
          <w:rFonts w:ascii="Arial" w:eastAsiaTheme="minorHAnsi" w:hAnsi="Arial" w:cs="Arial"/>
          <w:sz w:val="24"/>
          <w:szCs w:val="24"/>
          <w:lang w:val="sr-Latn-CS"/>
        </w:rPr>
        <w:t>2022. godina - eksploatacija uglja ležišta “Glisnica” (5 godina - sa godišnjim obimom eksploatacije od 300.000 t uglja). Pri čemu treba nastaviti sa doistraživanjem pljevaljskog ugljonosnog basena.</w:t>
      </w:r>
    </w:p>
    <w:p w:rsidR="00F15A1E" w:rsidRPr="00F15A1E" w:rsidRDefault="00F15A1E" w:rsidP="00F15A1E">
      <w:pPr>
        <w:numPr>
          <w:ilvl w:val="0"/>
          <w:numId w:val="45"/>
        </w:numPr>
        <w:spacing w:after="0"/>
        <w:contextualSpacing/>
        <w:jc w:val="both"/>
        <w:rPr>
          <w:rFonts w:ascii="Arial" w:eastAsiaTheme="minorHAnsi" w:hAnsi="Arial" w:cs="Arial"/>
          <w:sz w:val="24"/>
          <w:szCs w:val="24"/>
          <w:lang w:val="sr-Latn-CS"/>
        </w:rPr>
      </w:pPr>
      <w:r w:rsidRPr="00F15A1E">
        <w:rPr>
          <w:rFonts w:ascii="Arial" w:eastAsiaTheme="minorHAnsi" w:hAnsi="Arial" w:cs="Arial"/>
          <w:sz w:val="24"/>
          <w:szCs w:val="24"/>
          <w:lang w:val="sr-Latn-CS"/>
        </w:rPr>
        <w:t>2025.godina - eksploatacija uglja ležišta “Kalušići” (4 godine - sa godišnjim obimom eksploatacije od 500.000 t uglja)</w:t>
      </w:r>
    </w:p>
    <w:p w:rsidR="00F15A1E" w:rsidRPr="00F15A1E" w:rsidRDefault="00F15A1E" w:rsidP="00F15A1E">
      <w:pPr>
        <w:numPr>
          <w:ilvl w:val="0"/>
          <w:numId w:val="45"/>
        </w:numPr>
        <w:spacing w:before="120" w:after="0"/>
        <w:contextualSpacing/>
        <w:jc w:val="both"/>
        <w:rPr>
          <w:rFonts w:ascii="Arial" w:eastAsiaTheme="minorHAnsi" w:hAnsi="Arial" w:cs="Arial"/>
          <w:sz w:val="24"/>
          <w:szCs w:val="24"/>
          <w:lang w:val="sr-Latn-CS"/>
        </w:rPr>
      </w:pPr>
      <w:r w:rsidRPr="00F15A1E">
        <w:rPr>
          <w:rFonts w:ascii="Arial" w:eastAsiaTheme="minorHAnsi" w:hAnsi="Arial" w:cs="Arial"/>
          <w:sz w:val="24"/>
          <w:szCs w:val="24"/>
          <w:lang w:val="sr-Latn-CS"/>
        </w:rPr>
        <w:t xml:space="preserve">2027.godina - eksploatacija uglja ležišta “Otilovići” (2 godine - sa godišnjim obimom eksploatacije od 300.000 t uglja) po završetku eksploatacije ležišta “Glisnica”. </w:t>
      </w:r>
    </w:p>
    <w:p w:rsidR="00F15A1E" w:rsidRPr="00F15A1E" w:rsidRDefault="00F15A1E" w:rsidP="00F15A1E">
      <w:pPr>
        <w:spacing w:after="0"/>
        <w:jc w:val="both"/>
        <w:rPr>
          <w:rFonts w:ascii="Arial" w:eastAsiaTheme="minorEastAsia" w:hAnsi="Arial" w:cs="Arial"/>
          <w:sz w:val="24"/>
          <w:szCs w:val="24"/>
          <w:lang w:val="sr-Latn-CS"/>
        </w:rPr>
      </w:pPr>
      <w:r w:rsidRPr="00F15A1E">
        <w:rPr>
          <w:rFonts w:ascii="Arial" w:eastAsiaTheme="minorEastAsia" w:hAnsi="Arial" w:cs="Arial"/>
          <w:sz w:val="24"/>
          <w:szCs w:val="24"/>
          <w:lang w:val="sr-Latn-CS"/>
        </w:rPr>
        <w:t>Do kraja 2024.godine na površinskom kopu “Potrlica” bi se izeksploatisalo 7.500.000 t uglja, kada bi se stvorili uslovi za vraćanje rijeke Ćehotine preko odlagališnog prostora kanalom u pravcu njenog prirodnog toka i početak  eksploatacije ležišta “Kalušići”.</w:t>
      </w:r>
    </w:p>
    <w:p w:rsidR="00F15A1E" w:rsidRDefault="00F15A1E" w:rsidP="00F15A1E">
      <w:pPr>
        <w:spacing w:after="0"/>
        <w:jc w:val="both"/>
        <w:rPr>
          <w:rFonts w:ascii="Arial" w:eastAsiaTheme="minorEastAsia" w:hAnsi="Arial" w:cs="Arial"/>
          <w:sz w:val="24"/>
          <w:szCs w:val="24"/>
          <w:lang w:val="sr-Latn-CS"/>
        </w:rPr>
      </w:pPr>
    </w:p>
    <w:p w:rsidR="00F15A1E" w:rsidRPr="00F15A1E" w:rsidRDefault="00F15A1E" w:rsidP="00F15A1E">
      <w:pPr>
        <w:spacing w:after="0"/>
        <w:jc w:val="both"/>
        <w:rPr>
          <w:rFonts w:ascii="Arial" w:eastAsiaTheme="minorEastAsia" w:hAnsi="Arial" w:cs="Arial"/>
          <w:sz w:val="24"/>
          <w:szCs w:val="24"/>
          <w:lang w:val="sr-Latn-CS"/>
        </w:rPr>
      </w:pPr>
      <w:r w:rsidRPr="00F15A1E">
        <w:rPr>
          <w:rFonts w:ascii="Arial" w:eastAsiaTheme="minorEastAsia" w:hAnsi="Arial" w:cs="Arial"/>
          <w:sz w:val="24"/>
          <w:szCs w:val="24"/>
          <w:lang w:val="sr-Latn-CS"/>
        </w:rPr>
        <w:t>Završetkom eksploatacije ležišta “Glisnica” krajem 2026. godine počinje eksploatacija ležišta “Otilovići” kao potreba homogenizacije uglja za potrebe TE “Pljevlja”. Tako su u 2027. godini pored aktivnog površinskog kopa “Potrlica” aktivni i površinski kopovi “Kalušići” i “Otilovići” i kapacitet eksploatacije uglja je moguće dugoročno povećati na obim potreban za nesmetan rad u slučaju izgradnje novog proizvodnog objekta.</w:t>
      </w:r>
    </w:p>
    <w:p w:rsidR="00F15A1E" w:rsidRDefault="00F15A1E" w:rsidP="00F15A1E">
      <w:pPr>
        <w:spacing w:after="0"/>
        <w:jc w:val="both"/>
        <w:rPr>
          <w:rFonts w:ascii="Arial" w:eastAsiaTheme="minorEastAsia" w:hAnsi="Arial" w:cs="Arial"/>
          <w:sz w:val="24"/>
          <w:szCs w:val="24"/>
          <w:lang w:val="sr-Latn-CS"/>
        </w:rPr>
      </w:pPr>
    </w:p>
    <w:p w:rsidR="004B4322" w:rsidRPr="00C14311" w:rsidRDefault="00F15A1E" w:rsidP="00F15A1E">
      <w:pPr>
        <w:spacing w:after="0"/>
        <w:jc w:val="both"/>
        <w:rPr>
          <w:rFonts w:ascii="Arial" w:hAnsi="Arial" w:cs="Arial"/>
          <w:b/>
          <w:caps/>
          <w:sz w:val="24"/>
          <w:szCs w:val="24"/>
          <w:lang w:val="sr-Latn-CS"/>
        </w:rPr>
      </w:pPr>
      <w:r w:rsidRPr="00F15A1E">
        <w:rPr>
          <w:rFonts w:ascii="Arial" w:eastAsiaTheme="minorEastAsia" w:hAnsi="Arial" w:cs="Arial"/>
          <w:sz w:val="24"/>
          <w:szCs w:val="24"/>
          <w:lang w:val="sr-Latn-CS"/>
        </w:rPr>
        <w:t>Detaljnim geološkim istraživanjem i potvrdom rezervi i kvaliteta uglja u ležištu „Mataruge“, ovo ležište bi se moglo planirati za buduću eksploataciju, što bi dovelo do promjene u projektovanoj dinamici u periodu 2019-2028.godine.</w:t>
      </w:r>
    </w:p>
    <w:p w:rsidR="00F15A1E" w:rsidRDefault="00F15A1E" w:rsidP="00F15A1E">
      <w:pPr>
        <w:pStyle w:val="NoSpacing"/>
        <w:spacing w:line="276" w:lineRule="auto"/>
        <w:jc w:val="both"/>
        <w:rPr>
          <w:rFonts w:ascii="Arial" w:hAnsi="Arial" w:cs="Arial"/>
          <w:lang w:val="sr-Latn-CS"/>
        </w:rPr>
      </w:pPr>
    </w:p>
    <w:p w:rsidR="004B4322" w:rsidRPr="00C14311" w:rsidRDefault="004B4322" w:rsidP="00F15A1E">
      <w:pPr>
        <w:pStyle w:val="NoSpacing"/>
        <w:spacing w:line="276" w:lineRule="auto"/>
        <w:jc w:val="both"/>
        <w:rPr>
          <w:rFonts w:ascii="Arial" w:hAnsi="Arial" w:cs="Arial"/>
          <w:lang w:val="sr-Latn-CS"/>
        </w:rPr>
      </w:pPr>
      <w:r w:rsidRPr="00C14311">
        <w:rPr>
          <w:rFonts w:ascii="Arial" w:hAnsi="Arial" w:cs="Arial"/>
          <w:lang w:val="sr-Latn-CS"/>
        </w:rPr>
        <w:t>Projekcija eksploatacije uglja iz jame „Petnjik“ sa postojećim sistemom eksploatacije i investicije koje koncesionar planira je eksploatacija na godišnjem nivou od 150.000 t</w:t>
      </w:r>
      <w:r w:rsidR="00F02461" w:rsidRPr="00C14311">
        <w:rPr>
          <w:rFonts w:ascii="Arial" w:hAnsi="Arial" w:cs="Arial"/>
          <w:lang w:val="sr-Latn-CS"/>
        </w:rPr>
        <w:t>ona</w:t>
      </w:r>
      <w:r w:rsidRPr="00C14311">
        <w:rPr>
          <w:rFonts w:ascii="Arial" w:hAnsi="Arial" w:cs="Arial"/>
          <w:lang w:val="sr-Latn-CS"/>
        </w:rPr>
        <w:t xml:space="preserve">, odnosno 1,5 miliona tona u narednih deset godina.  </w:t>
      </w:r>
    </w:p>
    <w:p w:rsidR="004B4322" w:rsidRPr="00C14311" w:rsidRDefault="004B4322" w:rsidP="00F15A1E">
      <w:pPr>
        <w:pStyle w:val="NoSpacing"/>
        <w:spacing w:line="276" w:lineRule="auto"/>
        <w:jc w:val="both"/>
        <w:rPr>
          <w:rFonts w:ascii="Arial" w:hAnsi="Arial" w:cs="Arial"/>
          <w:lang w:val="sr-Latn-CS"/>
        </w:rPr>
      </w:pPr>
    </w:p>
    <w:p w:rsidR="00C75CAD" w:rsidRDefault="004B4322" w:rsidP="00F15A1E">
      <w:pPr>
        <w:autoSpaceDE w:val="0"/>
        <w:autoSpaceDN w:val="0"/>
        <w:adjustRightInd w:val="0"/>
        <w:spacing w:after="0"/>
        <w:jc w:val="both"/>
        <w:rPr>
          <w:rFonts w:ascii="Arial" w:hAnsi="Arial" w:cs="Arial"/>
          <w:sz w:val="24"/>
          <w:szCs w:val="24"/>
          <w:lang w:val="sr-Latn-CS"/>
        </w:rPr>
      </w:pPr>
      <w:r w:rsidRPr="00C14311">
        <w:rPr>
          <w:rFonts w:ascii="Arial" w:hAnsi="Arial" w:cs="Arial"/>
          <w:sz w:val="24"/>
          <w:szCs w:val="24"/>
          <w:lang w:val="sr-Latn-CS"/>
        </w:rPr>
        <w:t>Za veći obim proizvodnje na godišnjem nivou iz ovog ležišta neophodno je sprovesti doistraživanje ležišta i uvesti produktivniji i savremeniji sistem eksploatacaije što zahtijeva znatno veći obim investicionog ulaganja u rudnik. Takođe, za ležište uglja „Police“ neophodno bi bilo sprovesti geološka doistraživanja sa ciljem dobijanja potpunijih informacija o ležištu kako bi se mogao sagledati njegov ekonomski značaj.</w:t>
      </w:r>
    </w:p>
    <w:p w:rsidR="00F15A1E" w:rsidRPr="00C14311" w:rsidRDefault="00F15A1E" w:rsidP="00F15A1E">
      <w:pPr>
        <w:autoSpaceDE w:val="0"/>
        <w:autoSpaceDN w:val="0"/>
        <w:adjustRightInd w:val="0"/>
        <w:spacing w:after="0"/>
        <w:jc w:val="both"/>
        <w:rPr>
          <w:rFonts w:ascii="Arial" w:hAnsi="Arial" w:cs="Arial"/>
          <w:b/>
          <w:bCs/>
          <w:sz w:val="24"/>
          <w:szCs w:val="24"/>
        </w:rPr>
      </w:pPr>
    </w:p>
    <w:p w:rsidR="00AD09F2" w:rsidRPr="00C14311" w:rsidRDefault="00AD09F2" w:rsidP="00C75CAD">
      <w:pPr>
        <w:autoSpaceDE w:val="0"/>
        <w:autoSpaceDN w:val="0"/>
        <w:adjustRightInd w:val="0"/>
        <w:spacing w:after="0"/>
        <w:jc w:val="both"/>
        <w:rPr>
          <w:rFonts w:ascii="Arial" w:hAnsi="Arial" w:cs="Arial"/>
          <w:b/>
          <w:bCs/>
          <w:sz w:val="24"/>
          <w:szCs w:val="24"/>
        </w:rPr>
      </w:pPr>
    </w:p>
    <w:p w:rsidR="001B3B6D" w:rsidRDefault="00C75CAD" w:rsidP="00C75CAD">
      <w:pPr>
        <w:autoSpaceDE w:val="0"/>
        <w:autoSpaceDN w:val="0"/>
        <w:adjustRightInd w:val="0"/>
        <w:spacing w:after="0"/>
        <w:jc w:val="both"/>
        <w:rPr>
          <w:rFonts w:ascii="Arial" w:hAnsi="Arial" w:cs="Arial"/>
          <w:b/>
          <w:bCs/>
          <w:color w:val="000000"/>
          <w:sz w:val="24"/>
          <w:szCs w:val="24"/>
        </w:rPr>
      </w:pPr>
      <w:r>
        <w:rPr>
          <w:rFonts w:ascii="Arial" w:hAnsi="Arial" w:cs="Arial"/>
          <w:b/>
          <w:bCs/>
          <w:color w:val="000000"/>
          <w:sz w:val="24"/>
          <w:szCs w:val="24"/>
        </w:rPr>
        <w:lastRenderedPageBreak/>
        <w:t xml:space="preserve">1.3.2. </w:t>
      </w:r>
      <w:r w:rsidR="001B3B6D" w:rsidRPr="00722DF4">
        <w:rPr>
          <w:rFonts w:ascii="Arial" w:hAnsi="Arial" w:cs="Arial"/>
          <w:b/>
          <w:bCs/>
          <w:color w:val="000000"/>
          <w:sz w:val="24"/>
          <w:szCs w:val="24"/>
        </w:rPr>
        <w:t>Metalične mineralne sirovine</w:t>
      </w:r>
    </w:p>
    <w:p w:rsidR="00C75CAD" w:rsidRPr="00722DF4" w:rsidRDefault="00C75CAD" w:rsidP="00C75CAD">
      <w:pPr>
        <w:autoSpaceDE w:val="0"/>
        <w:autoSpaceDN w:val="0"/>
        <w:adjustRightInd w:val="0"/>
        <w:spacing w:after="0"/>
        <w:jc w:val="both"/>
        <w:rPr>
          <w:rFonts w:ascii="Arial" w:hAnsi="Arial" w:cs="Arial"/>
          <w:b/>
          <w:bCs/>
          <w:color w:val="000000"/>
          <w:sz w:val="24"/>
          <w:szCs w:val="24"/>
        </w:rPr>
      </w:pPr>
    </w:p>
    <w:p w:rsidR="001B3B6D" w:rsidRPr="00722DF4"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Crveni boksiti</w:t>
      </w:r>
    </w:p>
    <w:p w:rsidR="001B3B6D" w:rsidRDefault="001B3B6D" w:rsidP="00D41E7B">
      <w:pPr>
        <w:autoSpaceDE w:val="0"/>
        <w:autoSpaceDN w:val="0"/>
        <w:adjustRightInd w:val="0"/>
        <w:spacing w:after="0"/>
        <w:jc w:val="both"/>
        <w:rPr>
          <w:rFonts w:ascii="Arial" w:hAnsi="Arial" w:cs="Arial"/>
          <w:sz w:val="24"/>
          <w:szCs w:val="24"/>
        </w:rPr>
      </w:pPr>
      <w:r w:rsidRPr="00722DF4">
        <w:rPr>
          <w:rFonts w:ascii="Arial" w:hAnsi="Arial" w:cs="Arial"/>
          <w:sz w:val="24"/>
          <w:szCs w:val="24"/>
        </w:rPr>
        <w:t>Planirani obim eksploatacije rude crvenog boksita u Crnoj Gori za period 2019-202</w:t>
      </w:r>
      <w:r w:rsidR="000E0093">
        <w:rPr>
          <w:rFonts w:ascii="Arial" w:hAnsi="Arial" w:cs="Arial"/>
          <w:sz w:val="24"/>
          <w:szCs w:val="24"/>
        </w:rPr>
        <w:t>8</w:t>
      </w:r>
      <w:r w:rsidRPr="00722DF4">
        <w:rPr>
          <w:rFonts w:ascii="Arial" w:hAnsi="Arial" w:cs="Arial"/>
          <w:sz w:val="24"/>
          <w:szCs w:val="24"/>
        </w:rPr>
        <w:t>. godina baziran je na postojećim kapacitetima rudnika boksita, koncesionara Unipro</w:t>
      </w:r>
      <w:r w:rsidR="009A51EC">
        <w:rPr>
          <w:rFonts w:ascii="Arial" w:hAnsi="Arial" w:cs="Arial"/>
          <w:sz w:val="24"/>
          <w:szCs w:val="24"/>
        </w:rPr>
        <w:t>m-metali d.o.o., na ležištima: Zagrad, Biočki stan i Štitovo II</w:t>
      </w:r>
      <w:r w:rsidRPr="00722DF4">
        <w:rPr>
          <w:rFonts w:ascii="Arial" w:hAnsi="Arial" w:cs="Arial"/>
          <w:sz w:val="24"/>
          <w:szCs w:val="24"/>
        </w:rPr>
        <w:t xml:space="preserve">, kao i na rezervama ležišta Đurakov do I. Ovjerene geološke rezerve i kvalitet, odnosno srednji hemijski sadržaj glavnih oksida prikazan je u tabeli </w:t>
      </w:r>
      <w:r w:rsidR="006A59C3" w:rsidRPr="00722DF4">
        <w:rPr>
          <w:rFonts w:ascii="Arial" w:hAnsi="Arial" w:cs="Arial"/>
          <w:sz w:val="24"/>
          <w:szCs w:val="24"/>
        </w:rPr>
        <w:t>1.</w:t>
      </w:r>
      <w:r w:rsidRPr="00722DF4">
        <w:rPr>
          <w:rFonts w:ascii="Arial" w:hAnsi="Arial" w:cs="Arial"/>
          <w:sz w:val="24"/>
          <w:szCs w:val="24"/>
        </w:rPr>
        <w:t>2.</w:t>
      </w:r>
    </w:p>
    <w:p w:rsidR="00C75CAD" w:rsidRPr="00D41E7B" w:rsidRDefault="00C75CAD" w:rsidP="00722DF4">
      <w:pPr>
        <w:autoSpaceDE w:val="0"/>
        <w:autoSpaceDN w:val="0"/>
        <w:adjustRightInd w:val="0"/>
        <w:spacing w:after="0"/>
        <w:jc w:val="both"/>
        <w:rPr>
          <w:rFonts w:ascii="Arial" w:hAnsi="Arial" w:cs="Arial"/>
          <w:sz w:val="24"/>
          <w:szCs w:val="24"/>
        </w:rPr>
      </w:pPr>
    </w:p>
    <w:p w:rsidR="00714F5A" w:rsidRPr="00D41E7B" w:rsidRDefault="001B3B6D" w:rsidP="00714F5A">
      <w:pPr>
        <w:autoSpaceDE w:val="0"/>
        <w:autoSpaceDN w:val="0"/>
        <w:adjustRightInd w:val="0"/>
        <w:spacing w:after="0"/>
        <w:jc w:val="both"/>
        <w:rPr>
          <w:rFonts w:ascii="Arial" w:hAnsi="Arial" w:cs="Arial"/>
          <w:iCs/>
        </w:rPr>
      </w:pPr>
      <w:r w:rsidRPr="00D41E7B">
        <w:rPr>
          <w:rFonts w:ascii="Arial" w:hAnsi="Arial" w:cs="Arial"/>
          <w:b/>
          <w:bCs/>
        </w:rPr>
        <w:t xml:space="preserve">Tabela </w:t>
      </w:r>
      <w:r w:rsidR="006A59C3" w:rsidRPr="00D41E7B">
        <w:rPr>
          <w:rFonts w:ascii="Arial" w:hAnsi="Arial" w:cs="Arial"/>
          <w:b/>
          <w:bCs/>
        </w:rPr>
        <w:t>1.2.</w:t>
      </w:r>
      <w:r w:rsidRPr="00D41E7B">
        <w:rPr>
          <w:rFonts w:ascii="Arial" w:hAnsi="Arial" w:cs="Arial"/>
          <w:b/>
          <w:bCs/>
        </w:rPr>
        <w:t xml:space="preserve"> </w:t>
      </w:r>
      <w:r w:rsidRPr="00D41E7B">
        <w:rPr>
          <w:rFonts w:ascii="Arial" w:hAnsi="Arial" w:cs="Arial"/>
          <w:iCs/>
        </w:rPr>
        <w:t xml:space="preserve">Ovjerene geološke rezerve i kvalitet boksita u ležištima: Zagrad, </w:t>
      </w:r>
      <w:r w:rsidR="00A85892" w:rsidRPr="00D41E7B">
        <w:rPr>
          <w:rFonts w:ascii="Arial" w:hAnsi="Arial" w:cs="Arial"/>
          <w:iCs/>
        </w:rPr>
        <w:t>Đurakov Do I</w:t>
      </w:r>
      <w:r w:rsidRPr="00D41E7B">
        <w:rPr>
          <w:rFonts w:ascii="Arial" w:hAnsi="Arial" w:cs="Arial"/>
          <w:iCs/>
        </w:rPr>
        <w:t>, Štitovo (stanje 31.12.2015</w:t>
      </w:r>
      <w:r w:rsidR="00ED5665" w:rsidRPr="00D41E7B">
        <w:rPr>
          <w:rFonts w:ascii="Arial" w:hAnsi="Arial" w:cs="Arial"/>
          <w:iCs/>
        </w:rPr>
        <w:t>.) i Biočki stan (stanje 31.12.</w:t>
      </w:r>
      <w:r w:rsidRPr="00D41E7B">
        <w:rPr>
          <w:rFonts w:ascii="Arial" w:hAnsi="Arial" w:cs="Arial"/>
          <w:iCs/>
        </w:rPr>
        <w:t>2006.)</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51"/>
        <w:gridCol w:w="1374"/>
        <w:gridCol w:w="777"/>
        <w:gridCol w:w="754"/>
        <w:gridCol w:w="767"/>
        <w:gridCol w:w="723"/>
        <w:gridCol w:w="656"/>
        <w:gridCol w:w="747"/>
      </w:tblGrid>
      <w:tr w:rsidR="00714F5A" w:rsidRPr="00D41E7B" w:rsidTr="00714F5A">
        <w:trPr>
          <w:trHeight w:val="251"/>
        </w:trPr>
        <w:tc>
          <w:tcPr>
            <w:tcW w:w="917" w:type="pct"/>
            <w:vMerge w:val="restar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Ležište</w:t>
            </w:r>
          </w:p>
        </w:tc>
        <w:tc>
          <w:tcPr>
            <w:tcW w:w="947" w:type="pct"/>
            <w:vMerge w:val="restar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Kategorija rezervi</w:t>
            </w:r>
          </w:p>
        </w:tc>
        <w:tc>
          <w:tcPr>
            <w:tcW w:w="743" w:type="pct"/>
            <w:vMerge w:val="restar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bCs/>
                <w:sz w:val="20"/>
                <w:szCs w:val="20"/>
                <w:lang w:val="sr-Latn-CS"/>
              </w:rPr>
              <w:t>Geološke rezerve (t)</w:t>
            </w:r>
          </w:p>
        </w:tc>
        <w:tc>
          <w:tcPr>
            <w:tcW w:w="2394" w:type="pct"/>
            <w:gridSpan w:val="6"/>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Srednji sadržaj u %</w:t>
            </w:r>
          </w:p>
        </w:tc>
      </w:tr>
      <w:tr w:rsidR="00714F5A" w:rsidRPr="00D41E7B" w:rsidTr="00714F5A">
        <w:trPr>
          <w:trHeight w:val="200"/>
        </w:trPr>
        <w:tc>
          <w:tcPr>
            <w:tcW w:w="917" w:type="pct"/>
            <w:vMerge/>
            <w:vAlign w:val="center"/>
          </w:tcPr>
          <w:p w:rsidR="00714F5A" w:rsidRPr="00D41E7B" w:rsidRDefault="00714F5A" w:rsidP="00D41E7B">
            <w:pPr>
              <w:spacing w:after="0" w:line="240" w:lineRule="auto"/>
              <w:jc w:val="center"/>
              <w:rPr>
                <w:rFonts w:ascii="Arial" w:hAnsi="Arial" w:cs="Arial"/>
                <w:b/>
                <w:sz w:val="20"/>
                <w:szCs w:val="20"/>
                <w:lang w:val="sr-Latn-CS"/>
              </w:rPr>
            </w:pPr>
          </w:p>
        </w:tc>
        <w:tc>
          <w:tcPr>
            <w:tcW w:w="947" w:type="pct"/>
            <w:vMerge/>
            <w:vAlign w:val="center"/>
          </w:tcPr>
          <w:p w:rsidR="00714F5A" w:rsidRPr="00D41E7B" w:rsidRDefault="00714F5A" w:rsidP="00D41E7B">
            <w:pPr>
              <w:spacing w:after="0" w:line="240" w:lineRule="auto"/>
              <w:jc w:val="center"/>
              <w:rPr>
                <w:rFonts w:ascii="Arial" w:hAnsi="Arial" w:cs="Arial"/>
                <w:b/>
                <w:sz w:val="20"/>
                <w:szCs w:val="20"/>
                <w:lang w:val="sr-Latn-CS"/>
              </w:rPr>
            </w:pPr>
          </w:p>
        </w:tc>
        <w:tc>
          <w:tcPr>
            <w:tcW w:w="743" w:type="pct"/>
            <w:vMerge/>
            <w:vAlign w:val="center"/>
          </w:tcPr>
          <w:p w:rsidR="00714F5A" w:rsidRPr="00D41E7B" w:rsidRDefault="00714F5A" w:rsidP="00D41E7B">
            <w:pPr>
              <w:spacing w:after="0" w:line="240" w:lineRule="auto"/>
              <w:jc w:val="center"/>
              <w:rPr>
                <w:rFonts w:ascii="Arial" w:hAnsi="Arial" w:cs="Arial"/>
                <w:b/>
                <w:sz w:val="20"/>
                <w:szCs w:val="20"/>
                <w:lang w:val="sr-Latn-CS"/>
              </w:rPr>
            </w:pPr>
          </w:p>
        </w:tc>
        <w:tc>
          <w:tcPr>
            <w:tcW w:w="420" w:type="pc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Al</w:t>
            </w:r>
            <w:r w:rsidRPr="00D41E7B">
              <w:rPr>
                <w:rFonts w:ascii="Arial" w:hAnsi="Arial" w:cs="Arial"/>
                <w:b/>
                <w:sz w:val="20"/>
                <w:szCs w:val="20"/>
                <w:vertAlign w:val="subscript"/>
                <w:lang w:val="sr-Latn-CS"/>
              </w:rPr>
              <w:t>2</w:t>
            </w:r>
            <w:r w:rsidRPr="00D41E7B">
              <w:rPr>
                <w:rFonts w:ascii="Arial" w:hAnsi="Arial" w:cs="Arial"/>
                <w:b/>
                <w:sz w:val="20"/>
                <w:szCs w:val="20"/>
                <w:lang w:val="sr-Latn-CS"/>
              </w:rPr>
              <w:t>O</w:t>
            </w:r>
            <w:r w:rsidRPr="00D41E7B">
              <w:rPr>
                <w:rFonts w:ascii="Arial" w:hAnsi="Arial" w:cs="Arial"/>
                <w:b/>
                <w:sz w:val="20"/>
                <w:szCs w:val="20"/>
                <w:vertAlign w:val="subscript"/>
                <w:lang w:val="sr-Latn-CS"/>
              </w:rPr>
              <w:t>3</w:t>
            </w:r>
          </w:p>
        </w:tc>
        <w:tc>
          <w:tcPr>
            <w:tcW w:w="408" w:type="pc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SiO</w:t>
            </w:r>
            <w:r w:rsidRPr="00D41E7B">
              <w:rPr>
                <w:rFonts w:ascii="Arial" w:hAnsi="Arial" w:cs="Arial"/>
                <w:b/>
                <w:sz w:val="20"/>
                <w:szCs w:val="20"/>
                <w:vertAlign w:val="subscript"/>
                <w:lang w:val="sr-Latn-CS"/>
              </w:rPr>
              <w:t>2</w:t>
            </w:r>
          </w:p>
        </w:tc>
        <w:tc>
          <w:tcPr>
            <w:tcW w:w="415" w:type="pc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Fe</w:t>
            </w:r>
            <w:r w:rsidRPr="00D41E7B">
              <w:rPr>
                <w:rFonts w:ascii="Arial" w:hAnsi="Arial" w:cs="Arial"/>
                <w:b/>
                <w:sz w:val="20"/>
                <w:szCs w:val="20"/>
                <w:vertAlign w:val="subscript"/>
                <w:lang w:val="sr-Latn-CS"/>
              </w:rPr>
              <w:t>2</w:t>
            </w:r>
            <w:r w:rsidRPr="00D41E7B">
              <w:rPr>
                <w:rFonts w:ascii="Arial" w:hAnsi="Arial" w:cs="Arial"/>
                <w:b/>
                <w:sz w:val="20"/>
                <w:szCs w:val="20"/>
                <w:lang w:val="sr-Latn-CS"/>
              </w:rPr>
              <w:t>O</w:t>
            </w:r>
            <w:r w:rsidRPr="00D41E7B">
              <w:rPr>
                <w:rFonts w:ascii="Arial" w:hAnsi="Arial" w:cs="Arial"/>
                <w:b/>
                <w:sz w:val="20"/>
                <w:szCs w:val="20"/>
                <w:vertAlign w:val="subscript"/>
                <w:lang w:val="sr-Latn-CS"/>
              </w:rPr>
              <w:t>3</w:t>
            </w:r>
          </w:p>
        </w:tc>
        <w:tc>
          <w:tcPr>
            <w:tcW w:w="391" w:type="pc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TiO</w:t>
            </w:r>
            <w:r w:rsidRPr="00D41E7B">
              <w:rPr>
                <w:rFonts w:ascii="Arial" w:hAnsi="Arial" w:cs="Arial"/>
                <w:b/>
                <w:sz w:val="20"/>
                <w:szCs w:val="20"/>
                <w:vertAlign w:val="subscript"/>
                <w:lang w:val="sr-Latn-CS"/>
              </w:rPr>
              <w:t>2</w:t>
            </w:r>
          </w:p>
        </w:tc>
        <w:tc>
          <w:tcPr>
            <w:tcW w:w="355" w:type="pc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CaO</w:t>
            </w:r>
          </w:p>
        </w:tc>
        <w:tc>
          <w:tcPr>
            <w:tcW w:w="406" w:type="pct"/>
            <w:vAlign w:val="center"/>
          </w:tcPr>
          <w:p w:rsidR="00714F5A" w:rsidRPr="00D41E7B" w:rsidRDefault="00714F5A" w:rsidP="00D41E7B">
            <w:pPr>
              <w:spacing w:after="0" w:line="240" w:lineRule="auto"/>
              <w:jc w:val="center"/>
              <w:rPr>
                <w:rFonts w:ascii="Arial" w:hAnsi="Arial" w:cs="Arial"/>
                <w:b/>
                <w:sz w:val="20"/>
                <w:szCs w:val="20"/>
                <w:lang w:val="sr-Latn-CS"/>
              </w:rPr>
            </w:pPr>
            <w:r w:rsidRPr="00D41E7B">
              <w:rPr>
                <w:rFonts w:ascii="Arial" w:hAnsi="Arial" w:cs="Arial"/>
                <w:b/>
                <w:sz w:val="20"/>
                <w:szCs w:val="20"/>
                <w:lang w:val="sr-Latn-CS"/>
              </w:rPr>
              <w:t>G.Ž.</w:t>
            </w:r>
          </w:p>
        </w:tc>
      </w:tr>
      <w:tr w:rsidR="00714F5A" w:rsidRPr="00D41E7B" w:rsidTr="00714F5A">
        <w:trPr>
          <w:trHeight w:val="311"/>
        </w:trPr>
        <w:tc>
          <w:tcPr>
            <w:tcW w:w="917" w:type="pct"/>
            <w:vAlign w:val="center"/>
          </w:tcPr>
          <w:p w:rsidR="00714F5A" w:rsidRPr="00D41E7B" w:rsidRDefault="00714F5A" w:rsidP="00D41E7B">
            <w:pPr>
              <w:spacing w:after="0" w:line="240" w:lineRule="auto"/>
              <w:rPr>
                <w:rFonts w:ascii="Arial" w:hAnsi="Arial" w:cs="Arial"/>
                <w:b/>
                <w:sz w:val="20"/>
                <w:szCs w:val="20"/>
                <w:lang w:val="sr-Latn-CS"/>
              </w:rPr>
            </w:pPr>
            <w:r w:rsidRPr="00D41E7B">
              <w:rPr>
                <w:rFonts w:ascii="Arial" w:hAnsi="Arial" w:cs="Arial"/>
                <w:b/>
                <w:sz w:val="20"/>
                <w:szCs w:val="20"/>
                <w:lang w:val="sr-Latn-CS"/>
              </w:rPr>
              <w:t>Zagrad</w:t>
            </w:r>
          </w:p>
        </w:tc>
        <w:tc>
          <w:tcPr>
            <w:tcW w:w="947" w:type="pct"/>
            <w:vAlign w:val="center"/>
          </w:tcPr>
          <w:p w:rsidR="00714F5A" w:rsidRPr="00D41E7B" w:rsidRDefault="00714F5A" w:rsidP="00D41E7B">
            <w:pPr>
              <w:pStyle w:val="tabele"/>
              <w:spacing w:before="0" w:after="0"/>
              <w:rPr>
                <w:rFonts w:ascii="Arial" w:hAnsi="Arial" w:cs="Arial"/>
                <w:bCs/>
                <w:szCs w:val="20"/>
              </w:rPr>
            </w:pPr>
            <w:r w:rsidRPr="00D41E7B">
              <w:rPr>
                <w:rFonts w:ascii="Arial" w:hAnsi="Arial" w:cs="Arial"/>
                <w:bCs/>
                <w:szCs w:val="20"/>
              </w:rPr>
              <w:t>A+B+C</w:t>
            </w:r>
            <w:r w:rsidRPr="00D41E7B">
              <w:rPr>
                <w:rFonts w:ascii="Arial" w:hAnsi="Arial" w:cs="Arial"/>
                <w:bCs/>
                <w:szCs w:val="20"/>
                <w:vertAlign w:val="subscript"/>
              </w:rPr>
              <w:t>1</w:t>
            </w:r>
          </w:p>
        </w:tc>
        <w:tc>
          <w:tcPr>
            <w:tcW w:w="743" w:type="pct"/>
            <w:vAlign w:val="center"/>
          </w:tcPr>
          <w:p w:rsidR="00714F5A" w:rsidRPr="00D41E7B" w:rsidRDefault="00714F5A" w:rsidP="00D41E7B">
            <w:pPr>
              <w:pStyle w:val="tabele"/>
              <w:spacing w:before="0" w:after="0"/>
              <w:jc w:val="right"/>
              <w:rPr>
                <w:rFonts w:ascii="Arial" w:hAnsi="Arial" w:cs="Arial"/>
                <w:bCs/>
                <w:szCs w:val="20"/>
              </w:rPr>
            </w:pPr>
            <w:r w:rsidRPr="00D41E7B">
              <w:rPr>
                <w:rFonts w:ascii="Arial" w:hAnsi="Arial" w:cs="Arial"/>
                <w:bCs/>
                <w:szCs w:val="20"/>
              </w:rPr>
              <w:t>2.923.795</w:t>
            </w:r>
          </w:p>
        </w:tc>
        <w:tc>
          <w:tcPr>
            <w:tcW w:w="420"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bCs/>
                <w:szCs w:val="20"/>
              </w:rPr>
              <w:t>59,85</w:t>
            </w:r>
          </w:p>
        </w:tc>
        <w:tc>
          <w:tcPr>
            <w:tcW w:w="408"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bCs/>
                <w:szCs w:val="20"/>
              </w:rPr>
              <w:t>2,55</w:t>
            </w:r>
          </w:p>
        </w:tc>
        <w:tc>
          <w:tcPr>
            <w:tcW w:w="415"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bCs/>
                <w:szCs w:val="20"/>
              </w:rPr>
              <w:t>20,75</w:t>
            </w:r>
          </w:p>
        </w:tc>
        <w:tc>
          <w:tcPr>
            <w:tcW w:w="391"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bCs/>
                <w:szCs w:val="20"/>
              </w:rPr>
              <w:t>2,95</w:t>
            </w:r>
          </w:p>
        </w:tc>
        <w:tc>
          <w:tcPr>
            <w:tcW w:w="355"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bCs/>
                <w:szCs w:val="20"/>
              </w:rPr>
              <w:t>0,57</w:t>
            </w:r>
          </w:p>
        </w:tc>
        <w:tc>
          <w:tcPr>
            <w:tcW w:w="406"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bCs/>
                <w:szCs w:val="20"/>
              </w:rPr>
              <w:t>12,88</w:t>
            </w:r>
          </w:p>
        </w:tc>
      </w:tr>
      <w:tr w:rsidR="00714F5A" w:rsidRPr="00D41E7B" w:rsidTr="00714F5A">
        <w:trPr>
          <w:trHeight w:val="311"/>
        </w:trPr>
        <w:tc>
          <w:tcPr>
            <w:tcW w:w="917" w:type="pct"/>
            <w:vAlign w:val="center"/>
          </w:tcPr>
          <w:p w:rsidR="00714F5A" w:rsidRPr="00D41E7B" w:rsidRDefault="00714F5A" w:rsidP="00D41E7B">
            <w:pPr>
              <w:spacing w:after="0" w:line="240" w:lineRule="auto"/>
              <w:rPr>
                <w:rFonts w:ascii="Arial" w:hAnsi="Arial" w:cs="Arial"/>
                <w:b/>
                <w:sz w:val="20"/>
                <w:szCs w:val="20"/>
                <w:lang w:val="sr-Latn-CS"/>
              </w:rPr>
            </w:pPr>
            <w:r w:rsidRPr="00D41E7B">
              <w:rPr>
                <w:rFonts w:ascii="Arial" w:hAnsi="Arial" w:cs="Arial"/>
                <w:b/>
                <w:sz w:val="20"/>
                <w:szCs w:val="20"/>
                <w:lang w:val="sr-Latn-CS"/>
              </w:rPr>
              <w:t>Đurakov do I</w:t>
            </w:r>
          </w:p>
        </w:tc>
        <w:tc>
          <w:tcPr>
            <w:tcW w:w="947" w:type="pct"/>
            <w:vAlign w:val="center"/>
          </w:tcPr>
          <w:p w:rsidR="00714F5A" w:rsidRPr="00D41E7B" w:rsidRDefault="00714F5A" w:rsidP="00D41E7B">
            <w:pPr>
              <w:pStyle w:val="tabele"/>
              <w:spacing w:before="0" w:after="0"/>
              <w:rPr>
                <w:rFonts w:ascii="Arial" w:hAnsi="Arial" w:cs="Arial"/>
                <w:bCs/>
                <w:szCs w:val="20"/>
              </w:rPr>
            </w:pPr>
            <w:r w:rsidRPr="00D41E7B">
              <w:rPr>
                <w:rFonts w:ascii="Arial" w:hAnsi="Arial" w:cs="Arial"/>
                <w:bCs/>
                <w:szCs w:val="20"/>
              </w:rPr>
              <w:t>A+B+C</w:t>
            </w:r>
            <w:r w:rsidRPr="00D41E7B">
              <w:rPr>
                <w:rFonts w:ascii="Arial" w:hAnsi="Arial" w:cs="Arial"/>
                <w:bCs/>
                <w:szCs w:val="20"/>
                <w:vertAlign w:val="subscript"/>
              </w:rPr>
              <w:t>1</w:t>
            </w:r>
          </w:p>
        </w:tc>
        <w:tc>
          <w:tcPr>
            <w:tcW w:w="743" w:type="pct"/>
            <w:vAlign w:val="center"/>
          </w:tcPr>
          <w:p w:rsidR="00714F5A" w:rsidRPr="00D41E7B" w:rsidRDefault="00714F5A" w:rsidP="00D41E7B">
            <w:pPr>
              <w:pStyle w:val="tabele"/>
              <w:spacing w:before="0" w:after="0"/>
              <w:jc w:val="right"/>
              <w:rPr>
                <w:rFonts w:ascii="Arial" w:hAnsi="Arial" w:cs="Arial"/>
                <w:bCs/>
                <w:szCs w:val="20"/>
              </w:rPr>
            </w:pPr>
            <w:r w:rsidRPr="00D41E7B">
              <w:rPr>
                <w:rFonts w:ascii="Arial" w:hAnsi="Arial" w:cs="Arial"/>
                <w:szCs w:val="20"/>
              </w:rPr>
              <w:t>4.169.480</w:t>
            </w:r>
          </w:p>
        </w:tc>
        <w:tc>
          <w:tcPr>
            <w:tcW w:w="420"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57,98</w:t>
            </w:r>
          </w:p>
        </w:tc>
        <w:tc>
          <w:tcPr>
            <w:tcW w:w="408"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4,94</w:t>
            </w:r>
          </w:p>
        </w:tc>
        <w:tc>
          <w:tcPr>
            <w:tcW w:w="415"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20,48</w:t>
            </w:r>
          </w:p>
        </w:tc>
        <w:tc>
          <w:tcPr>
            <w:tcW w:w="391"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2,90</w:t>
            </w:r>
          </w:p>
        </w:tc>
        <w:tc>
          <w:tcPr>
            <w:tcW w:w="355"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0,56</w:t>
            </w:r>
          </w:p>
        </w:tc>
        <w:tc>
          <w:tcPr>
            <w:tcW w:w="406"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12,68</w:t>
            </w:r>
          </w:p>
        </w:tc>
      </w:tr>
      <w:tr w:rsidR="00714F5A" w:rsidRPr="00D41E7B" w:rsidTr="00714F5A">
        <w:trPr>
          <w:trHeight w:val="311"/>
        </w:trPr>
        <w:tc>
          <w:tcPr>
            <w:tcW w:w="917" w:type="pct"/>
            <w:vAlign w:val="center"/>
          </w:tcPr>
          <w:p w:rsidR="00714F5A" w:rsidRPr="00D41E7B" w:rsidRDefault="00714F5A" w:rsidP="00D41E7B">
            <w:pPr>
              <w:spacing w:after="0" w:line="240" w:lineRule="auto"/>
              <w:rPr>
                <w:rFonts w:ascii="Arial" w:hAnsi="Arial" w:cs="Arial"/>
                <w:b/>
                <w:sz w:val="20"/>
                <w:szCs w:val="20"/>
                <w:lang w:val="sr-Latn-CS"/>
              </w:rPr>
            </w:pPr>
            <w:r w:rsidRPr="00D41E7B">
              <w:rPr>
                <w:rFonts w:ascii="Arial" w:hAnsi="Arial" w:cs="Arial"/>
                <w:b/>
                <w:sz w:val="20"/>
                <w:szCs w:val="20"/>
                <w:lang w:val="sr-Latn-CS"/>
              </w:rPr>
              <w:t>Biočki stan</w:t>
            </w:r>
          </w:p>
        </w:tc>
        <w:tc>
          <w:tcPr>
            <w:tcW w:w="947" w:type="pct"/>
            <w:vAlign w:val="center"/>
          </w:tcPr>
          <w:p w:rsidR="00714F5A" w:rsidRPr="00D41E7B" w:rsidRDefault="00714F5A" w:rsidP="00D41E7B">
            <w:pPr>
              <w:pStyle w:val="tabele"/>
              <w:spacing w:before="0" w:after="0"/>
              <w:rPr>
                <w:rFonts w:ascii="Arial" w:hAnsi="Arial" w:cs="Arial"/>
                <w:bCs/>
                <w:szCs w:val="20"/>
              </w:rPr>
            </w:pPr>
            <w:r w:rsidRPr="00D41E7B">
              <w:rPr>
                <w:rFonts w:ascii="Arial" w:hAnsi="Arial" w:cs="Arial"/>
                <w:bCs/>
                <w:szCs w:val="20"/>
              </w:rPr>
              <w:t>A+B+C</w:t>
            </w:r>
            <w:r w:rsidRPr="00D41E7B">
              <w:rPr>
                <w:rFonts w:ascii="Arial" w:hAnsi="Arial" w:cs="Arial"/>
                <w:bCs/>
                <w:szCs w:val="20"/>
                <w:vertAlign w:val="subscript"/>
              </w:rPr>
              <w:t>1</w:t>
            </w:r>
          </w:p>
        </w:tc>
        <w:tc>
          <w:tcPr>
            <w:tcW w:w="743" w:type="pct"/>
            <w:vAlign w:val="center"/>
          </w:tcPr>
          <w:p w:rsidR="00714F5A" w:rsidRPr="00D41E7B" w:rsidRDefault="00714F5A" w:rsidP="00D41E7B">
            <w:pPr>
              <w:pStyle w:val="tabele"/>
              <w:spacing w:before="0" w:after="0"/>
              <w:jc w:val="right"/>
              <w:rPr>
                <w:rFonts w:ascii="Arial" w:hAnsi="Arial" w:cs="Arial"/>
                <w:bCs/>
                <w:szCs w:val="20"/>
              </w:rPr>
            </w:pPr>
            <w:r w:rsidRPr="00D41E7B">
              <w:rPr>
                <w:rFonts w:ascii="Arial" w:hAnsi="Arial" w:cs="Arial"/>
                <w:szCs w:val="20"/>
              </w:rPr>
              <w:t>7.943.839</w:t>
            </w:r>
          </w:p>
        </w:tc>
        <w:tc>
          <w:tcPr>
            <w:tcW w:w="420" w:type="pct"/>
            <w:vAlign w:val="center"/>
          </w:tcPr>
          <w:p w:rsidR="00714F5A" w:rsidRPr="00D41E7B" w:rsidRDefault="00714F5A" w:rsidP="00D41E7B">
            <w:pPr>
              <w:spacing w:after="0" w:line="240" w:lineRule="auto"/>
              <w:jc w:val="center"/>
              <w:rPr>
                <w:rFonts w:ascii="Arial" w:hAnsi="Arial" w:cs="Arial"/>
                <w:sz w:val="20"/>
                <w:szCs w:val="20"/>
                <w:lang w:val="sr-Latn-CS"/>
              </w:rPr>
            </w:pPr>
            <w:r w:rsidRPr="00D41E7B">
              <w:rPr>
                <w:rFonts w:ascii="Arial" w:hAnsi="Arial" w:cs="Arial"/>
                <w:sz w:val="20"/>
                <w:szCs w:val="20"/>
                <w:lang w:val="sr-Latn-CS"/>
              </w:rPr>
              <w:t>58,82</w:t>
            </w:r>
          </w:p>
        </w:tc>
        <w:tc>
          <w:tcPr>
            <w:tcW w:w="408" w:type="pct"/>
            <w:vAlign w:val="center"/>
          </w:tcPr>
          <w:p w:rsidR="00714F5A" w:rsidRPr="00D41E7B" w:rsidRDefault="00714F5A" w:rsidP="00D41E7B">
            <w:pPr>
              <w:spacing w:after="0" w:line="240" w:lineRule="auto"/>
              <w:jc w:val="center"/>
              <w:rPr>
                <w:rFonts w:ascii="Arial" w:hAnsi="Arial" w:cs="Arial"/>
                <w:sz w:val="20"/>
                <w:szCs w:val="20"/>
                <w:lang w:val="sr-Latn-CS"/>
              </w:rPr>
            </w:pPr>
            <w:r w:rsidRPr="00D41E7B">
              <w:rPr>
                <w:rFonts w:ascii="Arial" w:hAnsi="Arial" w:cs="Arial"/>
                <w:sz w:val="20"/>
                <w:szCs w:val="20"/>
                <w:lang w:val="sr-Latn-CS"/>
              </w:rPr>
              <w:t>3,71</w:t>
            </w:r>
          </w:p>
        </w:tc>
        <w:tc>
          <w:tcPr>
            <w:tcW w:w="415" w:type="pct"/>
            <w:vAlign w:val="center"/>
          </w:tcPr>
          <w:p w:rsidR="00714F5A" w:rsidRPr="00D41E7B" w:rsidRDefault="00714F5A" w:rsidP="00D41E7B">
            <w:pPr>
              <w:spacing w:after="0" w:line="240" w:lineRule="auto"/>
              <w:jc w:val="center"/>
              <w:rPr>
                <w:rFonts w:ascii="Arial" w:hAnsi="Arial" w:cs="Arial"/>
                <w:sz w:val="20"/>
                <w:szCs w:val="20"/>
                <w:lang w:val="sr-Latn-CS"/>
              </w:rPr>
            </w:pPr>
            <w:r w:rsidRPr="00D41E7B">
              <w:rPr>
                <w:rFonts w:ascii="Arial" w:hAnsi="Arial" w:cs="Arial"/>
                <w:sz w:val="20"/>
                <w:szCs w:val="20"/>
                <w:lang w:val="sr-Latn-CS"/>
              </w:rPr>
              <w:t>20,84</w:t>
            </w:r>
          </w:p>
        </w:tc>
        <w:tc>
          <w:tcPr>
            <w:tcW w:w="391" w:type="pct"/>
            <w:vAlign w:val="center"/>
          </w:tcPr>
          <w:p w:rsidR="00714F5A" w:rsidRPr="00D41E7B" w:rsidRDefault="00714F5A" w:rsidP="00D41E7B">
            <w:pPr>
              <w:spacing w:after="0" w:line="240" w:lineRule="auto"/>
              <w:jc w:val="center"/>
              <w:rPr>
                <w:rFonts w:ascii="Arial" w:hAnsi="Arial" w:cs="Arial"/>
                <w:sz w:val="20"/>
                <w:szCs w:val="20"/>
                <w:lang w:val="sr-Latn-CS"/>
              </w:rPr>
            </w:pPr>
            <w:r w:rsidRPr="00D41E7B">
              <w:rPr>
                <w:rFonts w:ascii="Arial" w:hAnsi="Arial" w:cs="Arial"/>
                <w:sz w:val="20"/>
                <w:szCs w:val="20"/>
                <w:lang w:val="sr-Latn-CS"/>
              </w:rPr>
              <w:t>22,94</w:t>
            </w:r>
          </w:p>
        </w:tc>
        <w:tc>
          <w:tcPr>
            <w:tcW w:w="355" w:type="pct"/>
            <w:vAlign w:val="center"/>
          </w:tcPr>
          <w:p w:rsidR="00714F5A" w:rsidRPr="00D41E7B" w:rsidRDefault="00714F5A" w:rsidP="00D41E7B">
            <w:pPr>
              <w:spacing w:after="0" w:line="240" w:lineRule="auto"/>
              <w:jc w:val="center"/>
              <w:rPr>
                <w:rFonts w:ascii="Arial" w:hAnsi="Arial" w:cs="Arial"/>
                <w:sz w:val="20"/>
                <w:szCs w:val="20"/>
                <w:lang w:val="sr-Latn-CS"/>
              </w:rPr>
            </w:pPr>
            <w:r w:rsidRPr="00D41E7B">
              <w:rPr>
                <w:rFonts w:ascii="Arial" w:hAnsi="Arial" w:cs="Arial"/>
                <w:sz w:val="20"/>
                <w:szCs w:val="20"/>
                <w:lang w:val="sr-Latn-CS"/>
              </w:rPr>
              <w:t>0,64</w:t>
            </w:r>
          </w:p>
        </w:tc>
        <w:tc>
          <w:tcPr>
            <w:tcW w:w="406" w:type="pct"/>
            <w:vAlign w:val="center"/>
          </w:tcPr>
          <w:p w:rsidR="00714F5A" w:rsidRPr="00D41E7B" w:rsidRDefault="00714F5A" w:rsidP="00D41E7B">
            <w:pPr>
              <w:spacing w:after="0" w:line="240" w:lineRule="auto"/>
              <w:jc w:val="center"/>
              <w:rPr>
                <w:rFonts w:ascii="Arial" w:hAnsi="Arial" w:cs="Arial"/>
                <w:sz w:val="20"/>
                <w:szCs w:val="20"/>
                <w:lang w:val="sr-Latn-CS"/>
              </w:rPr>
            </w:pPr>
            <w:r w:rsidRPr="00D41E7B">
              <w:rPr>
                <w:rFonts w:ascii="Arial" w:hAnsi="Arial" w:cs="Arial"/>
                <w:sz w:val="20"/>
                <w:szCs w:val="20"/>
                <w:lang w:val="sr-Latn-CS"/>
              </w:rPr>
              <w:t>12,74</w:t>
            </w:r>
          </w:p>
        </w:tc>
      </w:tr>
      <w:tr w:rsidR="00714F5A" w:rsidRPr="00D41E7B" w:rsidTr="00714F5A">
        <w:trPr>
          <w:trHeight w:val="311"/>
        </w:trPr>
        <w:tc>
          <w:tcPr>
            <w:tcW w:w="917" w:type="pct"/>
            <w:vAlign w:val="center"/>
          </w:tcPr>
          <w:p w:rsidR="00714F5A" w:rsidRPr="00D41E7B" w:rsidRDefault="00714F5A" w:rsidP="00D41E7B">
            <w:pPr>
              <w:spacing w:after="0" w:line="240" w:lineRule="auto"/>
              <w:rPr>
                <w:rFonts w:ascii="Arial" w:hAnsi="Arial" w:cs="Arial"/>
                <w:b/>
                <w:sz w:val="20"/>
                <w:szCs w:val="20"/>
                <w:lang w:val="sr-Latn-CS"/>
              </w:rPr>
            </w:pPr>
            <w:r w:rsidRPr="00D41E7B">
              <w:rPr>
                <w:rFonts w:ascii="Arial" w:hAnsi="Arial" w:cs="Arial"/>
                <w:b/>
                <w:sz w:val="20"/>
                <w:szCs w:val="20"/>
                <w:lang w:val="sr-Latn-CS"/>
              </w:rPr>
              <w:t>Štitovo II</w:t>
            </w:r>
          </w:p>
        </w:tc>
        <w:tc>
          <w:tcPr>
            <w:tcW w:w="947" w:type="pct"/>
            <w:vAlign w:val="center"/>
          </w:tcPr>
          <w:p w:rsidR="00714F5A" w:rsidRPr="00D41E7B" w:rsidRDefault="00714F5A" w:rsidP="00D41E7B">
            <w:pPr>
              <w:spacing w:after="0" w:line="240" w:lineRule="auto"/>
              <w:jc w:val="center"/>
              <w:rPr>
                <w:rFonts w:ascii="Arial" w:hAnsi="Arial" w:cs="Arial"/>
                <w:sz w:val="20"/>
                <w:szCs w:val="20"/>
                <w:lang w:val="sr-Latn-CS"/>
              </w:rPr>
            </w:pPr>
            <w:r w:rsidRPr="00D41E7B">
              <w:rPr>
                <w:rFonts w:ascii="Arial" w:hAnsi="Arial" w:cs="Arial"/>
                <w:bCs/>
                <w:sz w:val="20"/>
                <w:szCs w:val="20"/>
                <w:lang w:val="sr-Latn-CS"/>
              </w:rPr>
              <w:t>A+B</w:t>
            </w:r>
          </w:p>
        </w:tc>
        <w:tc>
          <w:tcPr>
            <w:tcW w:w="743" w:type="pct"/>
            <w:vAlign w:val="center"/>
          </w:tcPr>
          <w:p w:rsidR="00714F5A" w:rsidRPr="00D41E7B" w:rsidRDefault="00714F5A" w:rsidP="00D41E7B">
            <w:pPr>
              <w:spacing w:after="0" w:line="240" w:lineRule="auto"/>
              <w:jc w:val="right"/>
              <w:rPr>
                <w:rFonts w:ascii="Arial" w:hAnsi="Arial" w:cs="Arial"/>
                <w:sz w:val="20"/>
                <w:szCs w:val="20"/>
                <w:lang w:val="sr-Latn-CS"/>
              </w:rPr>
            </w:pPr>
            <w:r w:rsidRPr="00D41E7B">
              <w:rPr>
                <w:rFonts w:ascii="Arial" w:hAnsi="Arial" w:cs="Arial"/>
                <w:bCs/>
                <w:sz w:val="20"/>
                <w:szCs w:val="20"/>
                <w:lang w:val="sr-Latn-CS"/>
              </w:rPr>
              <w:t>4.142.774</w:t>
            </w:r>
          </w:p>
        </w:tc>
        <w:tc>
          <w:tcPr>
            <w:tcW w:w="420"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53,87</w:t>
            </w:r>
          </w:p>
        </w:tc>
        <w:tc>
          <w:tcPr>
            <w:tcW w:w="408"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11,40</w:t>
            </w:r>
          </w:p>
        </w:tc>
        <w:tc>
          <w:tcPr>
            <w:tcW w:w="415"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19,04</w:t>
            </w:r>
          </w:p>
        </w:tc>
        <w:tc>
          <w:tcPr>
            <w:tcW w:w="391"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2,59</w:t>
            </w:r>
          </w:p>
        </w:tc>
        <w:tc>
          <w:tcPr>
            <w:tcW w:w="355"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0,47</w:t>
            </w:r>
          </w:p>
        </w:tc>
        <w:tc>
          <w:tcPr>
            <w:tcW w:w="406" w:type="pct"/>
            <w:vAlign w:val="center"/>
          </w:tcPr>
          <w:p w:rsidR="00714F5A" w:rsidRPr="00D41E7B" w:rsidRDefault="00714F5A" w:rsidP="00D41E7B">
            <w:pPr>
              <w:pStyle w:val="tabele"/>
              <w:spacing w:before="0" w:after="0"/>
              <w:rPr>
                <w:rFonts w:ascii="Arial" w:hAnsi="Arial" w:cs="Arial"/>
                <w:szCs w:val="20"/>
              </w:rPr>
            </w:pPr>
            <w:r w:rsidRPr="00D41E7B">
              <w:rPr>
                <w:rFonts w:ascii="Arial" w:hAnsi="Arial" w:cs="Arial"/>
                <w:szCs w:val="20"/>
              </w:rPr>
              <w:t>12,37</w:t>
            </w:r>
          </w:p>
        </w:tc>
      </w:tr>
    </w:tbl>
    <w:p w:rsidR="008914BE" w:rsidRPr="00D41E7B" w:rsidRDefault="008914BE" w:rsidP="00714F5A">
      <w:pPr>
        <w:autoSpaceDE w:val="0"/>
        <w:autoSpaceDN w:val="0"/>
        <w:adjustRightInd w:val="0"/>
        <w:spacing w:after="0"/>
        <w:jc w:val="both"/>
        <w:rPr>
          <w:rFonts w:ascii="Arial" w:hAnsi="Arial" w:cs="Arial"/>
          <w:sz w:val="24"/>
          <w:szCs w:val="24"/>
        </w:rPr>
      </w:pPr>
    </w:p>
    <w:p w:rsidR="001B3B6D" w:rsidRPr="00D41E7B" w:rsidRDefault="001B3B6D" w:rsidP="00D41E7B">
      <w:pPr>
        <w:autoSpaceDE w:val="0"/>
        <w:autoSpaceDN w:val="0"/>
        <w:adjustRightInd w:val="0"/>
        <w:spacing w:after="0"/>
        <w:jc w:val="both"/>
        <w:rPr>
          <w:rFonts w:ascii="Arial" w:hAnsi="Arial" w:cs="Arial"/>
          <w:sz w:val="24"/>
          <w:szCs w:val="24"/>
        </w:rPr>
      </w:pPr>
      <w:r w:rsidRPr="00D41E7B">
        <w:rPr>
          <w:rFonts w:ascii="Arial" w:hAnsi="Arial" w:cs="Arial"/>
          <w:sz w:val="24"/>
          <w:szCs w:val="24"/>
        </w:rPr>
        <w:t xml:space="preserve">U tabeli </w:t>
      </w:r>
      <w:r w:rsidR="006A59C3" w:rsidRPr="00D41E7B">
        <w:rPr>
          <w:rFonts w:ascii="Arial" w:hAnsi="Arial" w:cs="Arial"/>
          <w:sz w:val="24"/>
          <w:szCs w:val="24"/>
        </w:rPr>
        <w:t>1.</w:t>
      </w:r>
      <w:r w:rsidR="006B37F9" w:rsidRPr="00D41E7B">
        <w:rPr>
          <w:rFonts w:ascii="Arial" w:hAnsi="Arial" w:cs="Arial"/>
          <w:sz w:val="24"/>
          <w:szCs w:val="24"/>
        </w:rPr>
        <w:t>2</w:t>
      </w:r>
      <w:r w:rsidR="006A59C3" w:rsidRPr="00D41E7B">
        <w:rPr>
          <w:rFonts w:ascii="Arial" w:hAnsi="Arial" w:cs="Arial"/>
          <w:sz w:val="24"/>
          <w:szCs w:val="24"/>
        </w:rPr>
        <w:t>.</w:t>
      </w:r>
      <w:r w:rsidRPr="00D41E7B">
        <w:rPr>
          <w:rFonts w:ascii="Arial" w:hAnsi="Arial" w:cs="Arial"/>
          <w:sz w:val="24"/>
          <w:szCs w:val="24"/>
        </w:rPr>
        <w:t xml:space="preserve">, </w:t>
      </w:r>
      <w:r w:rsidR="00A85892" w:rsidRPr="00D41E7B">
        <w:rPr>
          <w:rFonts w:ascii="Arial" w:hAnsi="Arial" w:cs="Arial"/>
          <w:sz w:val="24"/>
          <w:szCs w:val="24"/>
        </w:rPr>
        <w:t>navedeno je</w:t>
      </w:r>
      <w:r w:rsidRPr="00D41E7B">
        <w:rPr>
          <w:rFonts w:ascii="Arial" w:hAnsi="Arial" w:cs="Arial"/>
          <w:sz w:val="24"/>
          <w:szCs w:val="24"/>
        </w:rPr>
        <w:t xml:space="preserve"> početno stanje rezervi boksita za period trajanja plana ek</w:t>
      </w:r>
      <w:r w:rsidR="00C14311" w:rsidRPr="00D41E7B">
        <w:rPr>
          <w:rFonts w:ascii="Arial" w:hAnsi="Arial" w:cs="Arial"/>
          <w:sz w:val="24"/>
          <w:szCs w:val="24"/>
        </w:rPr>
        <w:t>sploatacije u Crnoj Gori do 2028</w:t>
      </w:r>
      <w:r w:rsidRPr="00D41E7B">
        <w:rPr>
          <w:rFonts w:ascii="Arial" w:hAnsi="Arial" w:cs="Arial"/>
          <w:sz w:val="24"/>
          <w:szCs w:val="24"/>
        </w:rPr>
        <w:t xml:space="preserve">. godine, </w:t>
      </w:r>
      <w:r w:rsidR="00A85892" w:rsidRPr="00D41E7B">
        <w:rPr>
          <w:rFonts w:ascii="Arial" w:hAnsi="Arial" w:cs="Arial"/>
          <w:sz w:val="24"/>
          <w:szCs w:val="24"/>
        </w:rPr>
        <w:t xml:space="preserve">a </w:t>
      </w:r>
      <w:r w:rsidRPr="00D41E7B">
        <w:rPr>
          <w:rFonts w:ascii="Arial" w:hAnsi="Arial" w:cs="Arial"/>
          <w:sz w:val="24"/>
          <w:szCs w:val="24"/>
        </w:rPr>
        <w:t xml:space="preserve">prikazana je </w:t>
      </w:r>
      <w:r w:rsidR="00A85892" w:rsidRPr="00D41E7B">
        <w:rPr>
          <w:rFonts w:ascii="Arial" w:hAnsi="Arial" w:cs="Arial"/>
          <w:sz w:val="24"/>
          <w:szCs w:val="24"/>
        </w:rPr>
        <w:t xml:space="preserve">i </w:t>
      </w:r>
      <w:r w:rsidRPr="00D41E7B">
        <w:rPr>
          <w:rFonts w:ascii="Arial" w:hAnsi="Arial" w:cs="Arial"/>
          <w:sz w:val="24"/>
          <w:szCs w:val="24"/>
        </w:rPr>
        <w:t>projekcija očekivanog stanja geoloških rezervi u ležištima na kojima je eksploatacija u toku: Zagrad, Biočki stan i Štitovo II, kao i u ležištu Đurakov do I, na kraju 2018. godine, plan eksploatacije u narednih deset godina sa uračunatim gubicima i, na kraju, očekivano stanje rezervi u ovim ležištima na kraju 2028. godine.</w:t>
      </w:r>
    </w:p>
    <w:p w:rsidR="008914BE" w:rsidRPr="00D41E7B" w:rsidRDefault="008914BE" w:rsidP="00D41E7B">
      <w:pPr>
        <w:autoSpaceDE w:val="0"/>
        <w:autoSpaceDN w:val="0"/>
        <w:adjustRightInd w:val="0"/>
        <w:spacing w:after="0"/>
        <w:jc w:val="both"/>
        <w:rPr>
          <w:rFonts w:ascii="Arial" w:hAnsi="Arial" w:cs="Arial"/>
          <w:sz w:val="24"/>
          <w:szCs w:val="24"/>
        </w:rPr>
      </w:pPr>
    </w:p>
    <w:p w:rsidR="00D41E7B" w:rsidRPr="00D41E7B" w:rsidRDefault="00714F5A" w:rsidP="00D41E7B">
      <w:pPr>
        <w:spacing w:after="0"/>
        <w:jc w:val="both"/>
        <w:rPr>
          <w:rFonts w:ascii="Arial" w:hAnsi="Arial" w:cs="Arial"/>
          <w:sz w:val="24"/>
          <w:szCs w:val="24"/>
          <w:lang w:val="sr-Latn-CS"/>
        </w:rPr>
      </w:pPr>
      <w:r w:rsidRPr="00D41E7B">
        <w:rPr>
          <w:rFonts w:ascii="Arial" w:hAnsi="Arial" w:cs="Arial"/>
          <w:sz w:val="24"/>
          <w:szCs w:val="24"/>
          <w:lang w:val="sr-Latn-CS"/>
        </w:rPr>
        <w:t>Zatvaranjem Fabrike za proizvodnju glinice u Kombinatu aluminijuma Podgorica, 2009. godine, u Crnoj Gori se prestalo sa tehnološkom preradom crvenih boksita. Od tada cjelokupna proizvodnja crvenih boksita se izvozi, od 2016. godine najvećim dijelom u NR Kinu i to u obimu od oko 750.000 t</w:t>
      </w:r>
      <w:r w:rsidR="00D41E7B" w:rsidRPr="00D41E7B">
        <w:rPr>
          <w:rFonts w:ascii="Arial" w:hAnsi="Arial" w:cs="Arial"/>
          <w:sz w:val="24"/>
          <w:szCs w:val="24"/>
          <w:lang w:val="sr-Latn-CS"/>
        </w:rPr>
        <w:t>ona</w:t>
      </w:r>
      <w:r w:rsidRPr="00D41E7B">
        <w:rPr>
          <w:rFonts w:ascii="Arial" w:hAnsi="Arial" w:cs="Arial"/>
          <w:sz w:val="24"/>
          <w:szCs w:val="24"/>
          <w:lang w:val="sr-Latn-CS"/>
        </w:rPr>
        <w:t xml:space="preserve"> kvalitetnih boksita godišnje. </w:t>
      </w:r>
    </w:p>
    <w:p w:rsidR="000E0093" w:rsidRPr="00D41E7B" w:rsidRDefault="000E0093" w:rsidP="00722DF4">
      <w:pPr>
        <w:autoSpaceDE w:val="0"/>
        <w:autoSpaceDN w:val="0"/>
        <w:adjustRightInd w:val="0"/>
        <w:spacing w:after="0"/>
        <w:jc w:val="both"/>
        <w:rPr>
          <w:rFonts w:ascii="Arial" w:hAnsi="Arial" w:cs="Arial"/>
          <w:sz w:val="24"/>
          <w:szCs w:val="24"/>
        </w:rPr>
      </w:pPr>
    </w:p>
    <w:p w:rsidR="001A6083" w:rsidRPr="00D41E7B" w:rsidRDefault="001A6083" w:rsidP="00714F5A">
      <w:pPr>
        <w:tabs>
          <w:tab w:val="left" w:pos="630"/>
        </w:tabs>
        <w:spacing w:after="0" w:line="240" w:lineRule="auto"/>
        <w:jc w:val="both"/>
        <w:rPr>
          <w:rFonts w:ascii="Arial" w:hAnsi="Arial" w:cs="Arial"/>
        </w:rPr>
      </w:pPr>
      <w:r w:rsidRPr="00D41E7B">
        <w:rPr>
          <w:rFonts w:ascii="Arial" w:hAnsi="Arial" w:cs="Arial"/>
          <w:b/>
        </w:rPr>
        <w:t>Tabela 1.3</w:t>
      </w:r>
      <w:r w:rsidR="000E0093" w:rsidRPr="00D41E7B">
        <w:rPr>
          <w:rFonts w:ascii="Arial" w:hAnsi="Arial" w:cs="Arial"/>
          <w:b/>
        </w:rPr>
        <w:t>.</w:t>
      </w:r>
      <w:r w:rsidRPr="00D41E7B">
        <w:rPr>
          <w:rFonts w:ascii="Arial" w:hAnsi="Arial" w:cs="Arial"/>
          <w:b/>
        </w:rPr>
        <w:t xml:space="preserve"> </w:t>
      </w:r>
      <w:r w:rsidRPr="00D41E7B">
        <w:rPr>
          <w:rFonts w:ascii="Arial" w:hAnsi="Arial" w:cs="Arial"/>
        </w:rPr>
        <w:t>Predlog obima eksploatacije za period 2020-202</w:t>
      </w:r>
      <w:r w:rsidR="000E0093" w:rsidRPr="00D41E7B">
        <w:rPr>
          <w:rFonts w:ascii="Arial" w:hAnsi="Arial" w:cs="Arial"/>
        </w:rPr>
        <w:t>8</w:t>
      </w:r>
      <w:r w:rsidRPr="00D41E7B">
        <w:rPr>
          <w:rFonts w:ascii="Arial" w:hAnsi="Arial" w:cs="Arial"/>
        </w:rPr>
        <w:t xml:space="preserve"> i projekcija stanja geoloških i eksploatacionih rezervi crvenih boksita u ležištima Zagrad, Štitovo II, Biočki stan i Đurakov do I </w:t>
      </w:r>
    </w:p>
    <w:tbl>
      <w:tblPr>
        <w:tblW w:w="9297" w:type="dxa"/>
        <w:tblInd w:w="-10" w:type="dxa"/>
        <w:tblLook w:val="04A0" w:firstRow="1" w:lastRow="0" w:firstColumn="1" w:lastColumn="0" w:noHBand="0" w:noVBand="1"/>
      </w:tblPr>
      <w:tblGrid>
        <w:gridCol w:w="3774"/>
        <w:gridCol w:w="1073"/>
        <w:gridCol w:w="1079"/>
        <w:gridCol w:w="1079"/>
        <w:gridCol w:w="1097"/>
        <w:gridCol w:w="1195"/>
      </w:tblGrid>
      <w:tr w:rsidR="00714F5A" w:rsidRPr="00D41E7B" w:rsidTr="00D41E7B">
        <w:trPr>
          <w:trHeight w:val="283"/>
        </w:trPr>
        <w:tc>
          <w:tcPr>
            <w:tcW w:w="4050" w:type="dxa"/>
            <w:tcBorders>
              <w:top w:val="single" w:sz="8" w:space="0" w:color="auto"/>
              <w:left w:val="single" w:sz="8" w:space="0" w:color="auto"/>
              <w:bottom w:val="single" w:sz="8" w:space="0" w:color="auto"/>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Ležište</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Zagrad</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Štitovo II</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Biočki stan</w:t>
            </w:r>
          </w:p>
        </w:tc>
        <w:tc>
          <w:tcPr>
            <w:tcW w:w="1080" w:type="dxa"/>
            <w:tcBorders>
              <w:top w:val="single" w:sz="8" w:space="0" w:color="auto"/>
              <w:left w:val="nil"/>
              <w:bottom w:val="single" w:sz="8" w:space="0" w:color="auto"/>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Đurakov do I</w:t>
            </w:r>
          </w:p>
        </w:tc>
        <w:tc>
          <w:tcPr>
            <w:tcW w:w="1017" w:type="dxa"/>
            <w:tcBorders>
              <w:top w:val="single" w:sz="8" w:space="0" w:color="auto"/>
              <w:left w:val="nil"/>
              <w:bottom w:val="single" w:sz="8" w:space="0" w:color="auto"/>
              <w:right w:val="single" w:sz="8"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UKUPNO</w:t>
            </w:r>
          </w:p>
        </w:tc>
      </w:tr>
      <w:tr w:rsidR="00714F5A" w:rsidRPr="00D41E7B" w:rsidTr="00D41E7B">
        <w:trPr>
          <w:trHeight w:val="283"/>
        </w:trPr>
        <w:tc>
          <w:tcPr>
            <w:tcW w:w="4050" w:type="dxa"/>
            <w:tcBorders>
              <w:top w:val="nil"/>
              <w:left w:val="single" w:sz="8" w:space="0" w:color="auto"/>
              <w:bottom w:val="double" w:sz="6" w:space="0" w:color="auto"/>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Kategorija rezervi</w:t>
            </w:r>
          </w:p>
        </w:tc>
        <w:tc>
          <w:tcPr>
            <w:tcW w:w="990" w:type="dxa"/>
            <w:tcBorders>
              <w:top w:val="nil"/>
              <w:left w:val="nil"/>
              <w:bottom w:val="double" w:sz="6" w:space="0" w:color="auto"/>
              <w:right w:val="single" w:sz="8"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lang w:val="sr-Latn-CS"/>
              </w:rPr>
            </w:pPr>
            <w:r w:rsidRPr="00D41E7B">
              <w:rPr>
                <w:rFonts w:ascii="Arial" w:eastAsia="Times New Roman" w:hAnsi="Arial" w:cs="Arial"/>
                <w:bCs/>
                <w:lang w:val="sr-Latn-CS"/>
              </w:rPr>
              <w:t>A+B+C</w:t>
            </w:r>
            <w:r w:rsidRPr="00D41E7B">
              <w:rPr>
                <w:rFonts w:ascii="Arial" w:eastAsia="Times New Roman" w:hAnsi="Arial" w:cs="Arial"/>
                <w:vertAlign w:val="subscript"/>
                <w:lang w:val="sr-Latn-CS"/>
              </w:rPr>
              <w:t>1</w:t>
            </w:r>
          </w:p>
        </w:tc>
        <w:tc>
          <w:tcPr>
            <w:tcW w:w="1080" w:type="dxa"/>
            <w:tcBorders>
              <w:top w:val="nil"/>
              <w:left w:val="nil"/>
              <w:bottom w:val="double" w:sz="6"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bCs/>
                <w:lang w:val="sr-Latn-CS"/>
              </w:rPr>
              <w:t>A+B+C</w:t>
            </w:r>
            <w:r w:rsidRPr="00D41E7B">
              <w:rPr>
                <w:rFonts w:ascii="Arial" w:eastAsia="Times New Roman" w:hAnsi="Arial" w:cs="Arial"/>
                <w:vertAlign w:val="subscript"/>
                <w:lang w:val="sr-Latn-CS"/>
              </w:rPr>
              <w:t>1</w:t>
            </w:r>
          </w:p>
        </w:tc>
        <w:tc>
          <w:tcPr>
            <w:tcW w:w="1080" w:type="dxa"/>
            <w:tcBorders>
              <w:top w:val="nil"/>
              <w:left w:val="nil"/>
              <w:bottom w:val="double" w:sz="6"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bCs/>
                <w:lang w:val="sr-Latn-CS"/>
              </w:rPr>
              <w:t>A+B+C</w:t>
            </w:r>
            <w:r w:rsidRPr="00D41E7B">
              <w:rPr>
                <w:rFonts w:ascii="Arial" w:eastAsia="Times New Roman" w:hAnsi="Arial" w:cs="Arial"/>
                <w:vertAlign w:val="subscript"/>
                <w:lang w:val="sr-Latn-CS"/>
              </w:rPr>
              <w:t>1</w:t>
            </w:r>
          </w:p>
        </w:tc>
        <w:tc>
          <w:tcPr>
            <w:tcW w:w="1080" w:type="dxa"/>
            <w:tcBorders>
              <w:top w:val="nil"/>
              <w:left w:val="nil"/>
              <w:bottom w:val="double" w:sz="6" w:space="0" w:color="auto"/>
              <w:right w:val="double" w:sz="6"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bCs/>
                <w:lang w:val="sr-Latn-CS"/>
              </w:rPr>
              <w:t>A+B+C</w:t>
            </w:r>
            <w:r w:rsidRPr="00D41E7B">
              <w:rPr>
                <w:rFonts w:ascii="Arial" w:eastAsia="Times New Roman" w:hAnsi="Arial" w:cs="Arial"/>
                <w:vertAlign w:val="subscript"/>
                <w:lang w:val="sr-Latn-CS"/>
              </w:rPr>
              <w:t>1</w:t>
            </w:r>
          </w:p>
        </w:tc>
        <w:tc>
          <w:tcPr>
            <w:tcW w:w="1017" w:type="dxa"/>
            <w:tcBorders>
              <w:top w:val="nil"/>
              <w:left w:val="nil"/>
              <w:bottom w:val="double" w:sz="6"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A+B+C</w:t>
            </w:r>
            <w:r w:rsidRPr="00D41E7B">
              <w:rPr>
                <w:rFonts w:ascii="Arial" w:eastAsia="Times New Roman" w:hAnsi="Arial" w:cs="Arial"/>
                <w:b/>
                <w:bCs/>
                <w:vertAlign w:val="subscript"/>
                <w:lang w:val="sr-Latn-CS"/>
              </w:rPr>
              <w:t>1</w:t>
            </w:r>
          </w:p>
        </w:tc>
      </w:tr>
      <w:tr w:rsidR="00714F5A" w:rsidRPr="00D41E7B" w:rsidTr="00D41E7B">
        <w:trPr>
          <w:trHeight w:val="283"/>
        </w:trPr>
        <w:tc>
          <w:tcPr>
            <w:tcW w:w="4050" w:type="dxa"/>
            <w:tcBorders>
              <w:top w:val="nil"/>
              <w:left w:val="single" w:sz="8" w:space="0" w:color="auto"/>
              <w:bottom w:val="single" w:sz="8" w:space="0" w:color="auto"/>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Očekivano stanje geoloških rezervi rude na 31.12.2018. (t)</w:t>
            </w:r>
          </w:p>
        </w:tc>
        <w:tc>
          <w:tcPr>
            <w:tcW w:w="990" w:type="dxa"/>
            <w:tcBorders>
              <w:top w:val="nil"/>
              <w:left w:val="nil"/>
              <w:bottom w:val="single" w:sz="8"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bCs/>
                <w:lang w:val="sr-Latn-CS"/>
              </w:rPr>
              <w:t>1301973</w:t>
            </w:r>
          </w:p>
        </w:tc>
        <w:tc>
          <w:tcPr>
            <w:tcW w:w="1080" w:type="dxa"/>
            <w:tcBorders>
              <w:top w:val="nil"/>
              <w:left w:val="nil"/>
              <w:bottom w:val="single" w:sz="8"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bCs/>
                <w:lang w:val="sr-Latn-CS"/>
              </w:rPr>
              <w:t>4045414</w:t>
            </w:r>
          </w:p>
        </w:tc>
        <w:tc>
          <w:tcPr>
            <w:tcW w:w="1080" w:type="dxa"/>
            <w:tcBorders>
              <w:top w:val="nil"/>
              <w:left w:val="nil"/>
              <w:bottom w:val="single" w:sz="8"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bCs/>
                <w:lang w:val="sr-Latn-CS"/>
              </w:rPr>
              <w:t>7231828</w:t>
            </w:r>
          </w:p>
        </w:tc>
        <w:tc>
          <w:tcPr>
            <w:tcW w:w="1080" w:type="dxa"/>
            <w:tcBorders>
              <w:top w:val="nil"/>
              <w:left w:val="nil"/>
              <w:bottom w:val="single" w:sz="8" w:space="0" w:color="auto"/>
              <w:right w:val="double" w:sz="6"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4169480</w:t>
            </w:r>
          </w:p>
        </w:tc>
        <w:tc>
          <w:tcPr>
            <w:tcW w:w="1017" w:type="dxa"/>
            <w:tcBorders>
              <w:top w:val="nil"/>
              <w:left w:val="nil"/>
              <w:bottom w:val="single" w:sz="8"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16748695</w:t>
            </w:r>
          </w:p>
        </w:tc>
      </w:tr>
      <w:tr w:rsidR="00714F5A" w:rsidRPr="00D41E7B" w:rsidTr="00D41E7B">
        <w:trPr>
          <w:trHeight w:val="283"/>
        </w:trPr>
        <w:tc>
          <w:tcPr>
            <w:tcW w:w="4050" w:type="dxa"/>
            <w:tcBorders>
              <w:top w:val="nil"/>
              <w:left w:val="single" w:sz="8" w:space="0" w:color="auto"/>
              <w:bottom w:val="nil"/>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Predlog eksploatacije</w:t>
            </w:r>
          </w:p>
        </w:tc>
        <w:tc>
          <w:tcPr>
            <w:tcW w:w="990" w:type="dxa"/>
            <w:vMerge w:val="restart"/>
            <w:tcBorders>
              <w:top w:val="nil"/>
              <w:left w:val="double" w:sz="6"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800000</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2000000</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3000000</w:t>
            </w:r>
          </w:p>
        </w:tc>
        <w:tc>
          <w:tcPr>
            <w:tcW w:w="1080" w:type="dxa"/>
            <w:vMerge w:val="restart"/>
            <w:tcBorders>
              <w:top w:val="nil"/>
              <w:left w:val="single" w:sz="8" w:space="0" w:color="auto"/>
              <w:bottom w:val="single" w:sz="8" w:space="0" w:color="000000"/>
              <w:right w:val="double" w:sz="6"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1800000</w:t>
            </w:r>
          </w:p>
        </w:tc>
        <w:tc>
          <w:tcPr>
            <w:tcW w:w="1017" w:type="dxa"/>
            <w:vMerge w:val="restart"/>
            <w:tcBorders>
              <w:top w:val="nil"/>
              <w:left w:val="double" w:sz="6"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7600000</w:t>
            </w:r>
          </w:p>
        </w:tc>
      </w:tr>
      <w:tr w:rsidR="00714F5A" w:rsidRPr="00D41E7B" w:rsidTr="00D41E7B">
        <w:trPr>
          <w:trHeight w:val="283"/>
        </w:trPr>
        <w:tc>
          <w:tcPr>
            <w:tcW w:w="4050" w:type="dxa"/>
            <w:tcBorders>
              <w:top w:val="nil"/>
              <w:left w:val="single" w:sz="8" w:space="0" w:color="auto"/>
              <w:bottom w:val="single" w:sz="8" w:space="0" w:color="auto"/>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2019-2029. (t)</w:t>
            </w:r>
          </w:p>
        </w:tc>
        <w:tc>
          <w:tcPr>
            <w:tcW w:w="990" w:type="dxa"/>
            <w:vMerge/>
            <w:tcBorders>
              <w:top w:val="nil"/>
              <w:left w:val="double" w:sz="6"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lang w:val="sr-Latn-CS"/>
              </w:rPr>
            </w:pPr>
          </w:p>
        </w:tc>
        <w:tc>
          <w:tcPr>
            <w:tcW w:w="1080" w:type="dxa"/>
            <w:vMerge/>
            <w:tcBorders>
              <w:top w:val="nil"/>
              <w:left w:val="single" w:sz="8"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lang w:val="sr-Latn-CS"/>
              </w:rPr>
            </w:pPr>
          </w:p>
        </w:tc>
        <w:tc>
          <w:tcPr>
            <w:tcW w:w="1080" w:type="dxa"/>
            <w:vMerge/>
            <w:tcBorders>
              <w:top w:val="nil"/>
              <w:left w:val="single" w:sz="8"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lang w:val="sr-Latn-CS"/>
              </w:rPr>
            </w:pPr>
          </w:p>
        </w:tc>
        <w:tc>
          <w:tcPr>
            <w:tcW w:w="1080" w:type="dxa"/>
            <w:vMerge/>
            <w:tcBorders>
              <w:top w:val="nil"/>
              <w:left w:val="single" w:sz="8" w:space="0" w:color="auto"/>
              <w:bottom w:val="single" w:sz="8" w:space="0" w:color="000000"/>
              <w:right w:val="double" w:sz="6" w:space="0" w:color="auto"/>
            </w:tcBorders>
            <w:vAlign w:val="center"/>
            <w:hideMark/>
          </w:tcPr>
          <w:p w:rsidR="00714F5A" w:rsidRPr="00D41E7B" w:rsidRDefault="00714F5A" w:rsidP="00D41E7B">
            <w:pPr>
              <w:spacing w:after="0" w:line="240" w:lineRule="auto"/>
              <w:rPr>
                <w:rFonts w:ascii="Arial" w:eastAsia="Times New Roman" w:hAnsi="Arial" w:cs="Arial"/>
                <w:lang w:val="sr-Latn-CS"/>
              </w:rPr>
            </w:pPr>
          </w:p>
        </w:tc>
        <w:tc>
          <w:tcPr>
            <w:tcW w:w="1017" w:type="dxa"/>
            <w:vMerge/>
            <w:tcBorders>
              <w:top w:val="nil"/>
              <w:left w:val="double" w:sz="6"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r>
      <w:tr w:rsidR="00714F5A" w:rsidRPr="00D41E7B" w:rsidTr="00D41E7B">
        <w:trPr>
          <w:trHeight w:val="283"/>
        </w:trPr>
        <w:tc>
          <w:tcPr>
            <w:tcW w:w="4050" w:type="dxa"/>
            <w:tcBorders>
              <w:top w:val="nil"/>
              <w:left w:val="single" w:sz="8" w:space="0" w:color="auto"/>
              <w:bottom w:val="double" w:sz="6" w:space="0" w:color="auto"/>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lastRenderedPageBreak/>
              <w:t>Projektovani gubici (10% površinska i 33% podzemna eksplooatacija) (t)</w:t>
            </w:r>
          </w:p>
        </w:tc>
        <w:tc>
          <w:tcPr>
            <w:tcW w:w="990" w:type="dxa"/>
            <w:tcBorders>
              <w:top w:val="nil"/>
              <w:left w:val="nil"/>
              <w:bottom w:val="double" w:sz="6"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264000</w:t>
            </w:r>
          </w:p>
        </w:tc>
        <w:tc>
          <w:tcPr>
            <w:tcW w:w="1080" w:type="dxa"/>
            <w:tcBorders>
              <w:top w:val="nil"/>
              <w:left w:val="nil"/>
              <w:bottom w:val="double" w:sz="6"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132000</w:t>
            </w:r>
          </w:p>
        </w:tc>
        <w:tc>
          <w:tcPr>
            <w:tcW w:w="1080" w:type="dxa"/>
            <w:tcBorders>
              <w:top w:val="nil"/>
              <w:left w:val="nil"/>
              <w:bottom w:val="double" w:sz="6"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1584000</w:t>
            </w:r>
          </w:p>
        </w:tc>
        <w:tc>
          <w:tcPr>
            <w:tcW w:w="1080" w:type="dxa"/>
            <w:tcBorders>
              <w:top w:val="nil"/>
              <w:left w:val="nil"/>
              <w:bottom w:val="double" w:sz="6" w:space="0" w:color="auto"/>
              <w:right w:val="double" w:sz="6"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lang w:val="sr-Latn-CS"/>
              </w:rPr>
            </w:pPr>
            <w:r w:rsidRPr="00D41E7B">
              <w:rPr>
                <w:rFonts w:ascii="Arial" w:eastAsia="Times New Roman" w:hAnsi="Arial" w:cs="Arial"/>
                <w:lang w:val="sr-Latn-CS"/>
              </w:rPr>
              <w:t>567600</w:t>
            </w:r>
          </w:p>
        </w:tc>
        <w:tc>
          <w:tcPr>
            <w:tcW w:w="1017" w:type="dxa"/>
            <w:tcBorders>
              <w:top w:val="nil"/>
              <w:left w:val="nil"/>
              <w:bottom w:val="double" w:sz="6" w:space="0" w:color="auto"/>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2547600</w:t>
            </w:r>
          </w:p>
        </w:tc>
      </w:tr>
      <w:tr w:rsidR="00714F5A" w:rsidRPr="00D41E7B" w:rsidTr="00D41E7B">
        <w:trPr>
          <w:trHeight w:val="283"/>
        </w:trPr>
        <w:tc>
          <w:tcPr>
            <w:tcW w:w="4050" w:type="dxa"/>
            <w:tcBorders>
              <w:top w:val="nil"/>
              <w:left w:val="single" w:sz="8" w:space="0" w:color="auto"/>
              <w:bottom w:val="nil"/>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Preostale geološke rezerve</w:t>
            </w:r>
          </w:p>
        </w:tc>
        <w:tc>
          <w:tcPr>
            <w:tcW w:w="990" w:type="dxa"/>
            <w:vMerge w:val="restart"/>
            <w:tcBorders>
              <w:top w:val="nil"/>
              <w:left w:val="double" w:sz="6" w:space="0" w:color="auto"/>
              <w:bottom w:val="double" w:sz="6"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237973</w:t>
            </w:r>
          </w:p>
        </w:tc>
        <w:tc>
          <w:tcPr>
            <w:tcW w:w="1080" w:type="dxa"/>
            <w:vMerge w:val="restart"/>
            <w:tcBorders>
              <w:top w:val="nil"/>
              <w:left w:val="double" w:sz="6" w:space="0" w:color="auto"/>
              <w:bottom w:val="double" w:sz="6"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1913414</w:t>
            </w:r>
          </w:p>
        </w:tc>
        <w:tc>
          <w:tcPr>
            <w:tcW w:w="1080" w:type="dxa"/>
            <w:vMerge w:val="restart"/>
            <w:tcBorders>
              <w:top w:val="nil"/>
              <w:left w:val="double" w:sz="6" w:space="0" w:color="auto"/>
              <w:bottom w:val="double" w:sz="6"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2647828</w:t>
            </w:r>
          </w:p>
        </w:tc>
        <w:tc>
          <w:tcPr>
            <w:tcW w:w="1080" w:type="dxa"/>
            <w:vMerge w:val="restart"/>
            <w:tcBorders>
              <w:top w:val="nil"/>
              <w:left w:val="double" w:sz="6" w:space="0" w:color="auto"/>
              <w:bottom w:val="double" w:sz="6"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1801880</w:t>
            </w:r>
          </w:p>
        </w:tc>
        <w:tc>
          <w:tcPr>
            <w:tcW w:w="1017" w:type="dxa"/>
            <w:vMerge w:val="restart"/>
            <w:tcBorders>
              <w:top w:val="nil"/>
              <w:left w:val="double" w:sz="6" w:space="0" w:color="auto"/>
              <w:bottom w:val="double" w:sz="6"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6601095</w:t>
            </w:r>
          </w:p>
        </w:tc>
      </w:tr>
      <w:tr w:rsidR="00714F5A" w:rsidRPr="00D41E7B" w:rsidTr="00D41E7B">
        <w:trPr>
          <w:trHeight w:val="283"/>
        </w:trPr>
        <w:tc>
          <w:tcPr>
            <w:tcW w:w="4050" w:type="dxa"/>
            <w:tcBorders>
              <w:top w:val="nil"/>
              <w:left w:val="single" w:sz="8" w:space="0" w:color="auto"/>
              <w:bottom w:val="double" w:sz="6" w:space="0" w:color="auto"/>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stanje 31.12.2028. (uslovno) (t)</w:t>
            </w:r>
          </w:p>
        </w:tc>
        <w:tc>
          <w:tcPr>
            <w:tcW w:w="990" w:type="dxa"/>
            <w:vMerge/>
            <w:tcBorders>
              <w:top w:val="nil"/>
              <w:left w:val="double" w:sz="6" w:space="0" w:color="auto"/>
              <w:bottom w:val="double" w:sz="6"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c>
          <w:tcPr>
            <w:tcW w:w="1080" w:type="dxa"/>
            <w:vMerge/>
            <w:tcBorders>
              <w:top w:val="nil"/>
              <w:left w:val="double" w:sz="6" w:space="0" w:color="auto"/>
              <w:bottom w:val="double" w:sz="6"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c>
          <w:tcPr>
            <w:tcW w:w="1080" w:type="dxa"/>
            <w:vMerge/>
            <w:tcBorders>
              <w:top w:val="nil"/>
              <w:left w:val="double" w:sz="6" w:space="0" w:color="auto"/>
              <w:bottom w:val="double" w:sz="6"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c>
          <w:tcPr>
            <w:tcW w:w="1080" w:type="dxa"/>
            <w:vMerge/>
            <w:tcBorders>
              <w:top w:val="nil"/>
              <w:left w:val="double" w:sz="6" w:space="0" w:color="auto"/>
              <w:bottom w:val="double" w:sz="6"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c>
          <w:tcPr>
            <w:tcW w:w="1017" w:type="dxa"/>
            <w:vMerge/>
            <w:tcBorders>
              <w:top w:val="nil"/>
              <w:left w:val="double" w:sz="6" w:space="0" w:color="auto"/>
              <w:bottom w:val="double" w:sz="6"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r>
      <w:tr w:rsidR="00714F5A" w:rsidRPr="00D41E7B" w:rsidTr="00D41E7B">
        <w:trPr>
          <w:trHeight w:val="283"/>
        </w:trPr>
        <w:tc>
          <w:tcPr>
            <w:tcW w:w="4050" w:type="dxa"/>
            <w:tcBorders>
              <w:top w:val="nil"/>
              <w:left w:val="single" w:sz="8" w:space="0" w:color="auto"/>
              <w:bottom w:val="nil"/>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Preostale eksploatacione rezerve</w:t>
            </w:r>
          </w:p>
        </w:tc>
        <w:tc>
          <w:tcPr>
            <w:tcW w:w="990" w:type="dxa"/>
            <w:vMerge w:val="restart"/>
            <w:tcBorders>
              <w:top w:val="nil"/>
              <w:left w:val="double" w:sz="6"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159442</w:t>
            </w:r>
          </w:p>
        </w:tc>
        <w:tc>
          <w:tcPr>
            <w:tcW w:w="1080" w:type="dxa"/>
            <w:vMerge w:val="restart"/>
            <w:tcBorders>
              <w:top w:val="nil"/>
              <w:left w:val="double" w:sz="6"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1281987</w:t>
            </w:r>
          </w:p>
        </w:tc>
        <w:tc>
          <w:tcPr>
            <w:tcW w:w="1080" w:type="dxa"/>
            <w:vMerge w:val="restart"/>
            <w:tcBorders>
              <w:top w:val="nil"/>
              <w:left w:val="double" w:sz="6"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1774045</w:t>
            </w:r>
          </w:p>
        </w:tc>
        <w:tc>
          <w:tcPr>
            <w:tcW w:w="1080" w:type="dxa"/>
            <w:vMerge w:val="restart"/>
            <w:tcBorders>
              <w:top w:val="nil"/>
              <w:left w:val="double" w:sz="6"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1207260</w:t>
            </w:r>
          </w:p>
        </w:tc>
        <w:tc>
          <w:tcPr>
            <w:tcW w:w="1017" w:type="dxa"/>
            <w:vMerge w:val="restart"/>
            <w:tcBorders>
              <w:top w:val="nil"/>
              <w:left w:val="double" w:sz="6" w:space="0" w:color="auto"/>
              <w:bottom w:val="single" w:sz="8" w:space="0" w:color="000000"/>
              <w:right w:val="single" w:sz="8" w:space="0" w:color="auto"/>
            </w:tcBorders>
            <w:shd w:val="clear" w:color="auto" w:fill="auto"/>
            <w:vAlign w:val="center"/>
            <w:hideMark/>
          </w:tcPr>
          <w:p w:rsidR="00714F5A" w:rsidRPr="00D41E7B" w:rsidRDefault="00714F5A" w:rsidP="00D41E7B">
            <w:pPr>
              <w:spacing w:after="0" w:line="240" w:lineRule="auto"/>
              <w:jc w:val="right"/>
              <w:rPr>
                <w:rFonts w:ascii="Arial" w:eastAsia="Times New Roman" w:hAnsi="Arial" w:cs="Arial"/>
                <w:b/>
                <w:bCs/>
                <w:lang w:val="sr-Latn-CS"/>
              </w:rPr>
            </w:pPr>
            <w:r w:rsidRPr="00D41E7B">
              <w:rPr>
                <w:rFonts w:ascii="Arial" w:eastAsia="Times New Roman" w:hAnsi="Arial" w:cs="Arial"/>
                <w:b/>
                <w:bCs/>
                <w:lang w:val="sr-Latn-CS"/>
              </w:rPr>
              <w:t>4422734</w:t>
            </w:r>
          </w:p>
        </w:tc>
      </w:tr>
      <w:tr w:rsidR="00714F5A" w:rsidRPr="00D41E7B" w:rsidTr="00D41E7B">
        <w:trPr>
          <w:trHeight w:val="283"/>
        </w:trPr>
        <w:tc>
          <w:tcPr>
            <w:tcW w:w="4050" w:type="dxa"/>
            <w:tcBorders>
              <w:top w:val="nil"/>
              <w:left w:val="single" w:sz="8" w:space="0" w:color="auto"/>
              <w:bottom w:val="single" w:sz="8" w:space="0" w:color="auto"/>
              <w:right w:val="double" w:sz="6" w:space="0" w:color="auto"/>
            </w:tcBorders>
            <w:shd w:val="clear" w:color="auto" w:fill="auto"/>
            <w:vAlign w:val="center"/>
            <w:hideMark/>
          </w:tcPr>
          <w:p w:rsidR="00714F5A" w:rsidRPr="00D41E7B" w:rsidRDefault="00714F5A" w:rsidP="00D41E7B">
            <w:pPr>
              <w:spacing w:after="0" w:line="240" w:lineRule="auto"/>
              <w:jc w:val="center"/>
              <w:rPr>
                <w:rFonts w:ascii="Arial" w:eastAsia="Times New Roman" w:hAnsi="Arial" w:cs="Arial"/>
                <w:b/>
                <w:bCs/>
                <w:lang w:val="sr-Latn-CS"/>
              </w:rPr>
            </w:pPr>
            <w:r w:rsidRPr="00D41E7B">
              <w:rPr>
                <w:rFonts w:ascii="Arial" w:eastAsia="Times New Roman" w:hAnsi="Arial" w:cs="Arial"/>
                <w:b/>
                <w:bCs/>
                <w:lang w:val="sr-Latn-CS"/>
              </w:rPr>
              <w:t>stanje 31.12.2028. (uslovno) (t)</w:t>
            </w:r>
          </w:p>
        </w:tc>
        <w:tc>
          <w:tcPr>
            <w:tcW w:w="990" w:type="dxa"/>
            <w:vMerge/>
            <w:tcBorders>
              <w:top w:val="nil"/>
              <w:left w:val="double" w:sz="6"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c>
          <w:tcPr>
            <w:tcW w:w="1080" w:type="dxa"/>
            <w:vMerge/>
            <w:tcBorders>
              <w:top w:val="nil"/>
              <w:left w:val="double" w:sz="6"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c>
          <w:tcPr>
            <w:tcW w:w="1080" w:type="dxa"/>
            <w:vMerge/>
            <w:tcBorders>
              <w:top w:val="nil"/>
              <w:left w:val="double" w:sz="6"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c>
          <w:tcPr>
            <w:tcW w:w="1080" w:type="dxa"/>
            <w:vMerge/>
            <w:tcBorders>
              <w:top w:val="nil"/>
              <w:left w:val="double" w:sz="6"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c>
          <w:tcPr>
            <w:tcW w:w="1017" w:type="dxa"/>
            <w:vMerge/>
            <w:tcBorders>
              <w:top w:val="nil"/>
              <w:left w:val="double" w:sz="6" w:space="0" w:color="auto"/>
              <w:bottom w:val="single" w:sz="8" w:space="0" w:color="000000"/>
              <w:right w:val="single" w:sz="8" w:space="0" w:color="auto"/>
            </w:tcBorders>
            <w:vAlign w:val="center"/>
            <w:hideMark/>
          </w:tcPr>
          <w:p w:rsidR="00714F5A" w:rsidRPr="00D41E7B" w:rsidRDefault="00714F5A" w:rsidP="00D41E7B">
            <w:pPr>
              <w:spacing w:after="0" w:line="240" w:lineRule="auto"/>
              <w:rPr>
                <w:rFonts w:ascii="Arial" w:eastAsia="Times New Roman" w:hAnsi="Arial" w:cs="Arial"/>
                <w:b/>
                <w:bCs/>
                <w:lang w:val="sr-Latn-CS"/>
              </w:rPr>
            </w:pPr>
          </w:p>
        </w:tc>
      </w:tr>
    </w:tbl>
    <w:p w:rsidR="001A6083" w:rsidRPr="00D41E7B" w:rsidRDefault="001A6083" w:rsidP="00722DF4">
      <w:pPr>
        <w:autoSpaceDE w:val="0"/>
        <w:autoSpaceDN w:val="0"/>
        <w:adjustRightInd w:val="0"/>
        <w:spacing w:after="0"/>
        <w:jc w:val="both"/>
        <w:rPr>
          <w:rFonts w:ascii="Arial" w:hAnsi="Arial" w:cs="Arial"/>
          <w:i/>
          <w:iCs/>
          <w:sz w:val="24"/>
          <w:szCs w:val="24"/>
        </w:rPr>
      </w:pPr>
    </w:p>
    <w:p w:rsidR="00714F5A" w:rsidRDefault="00714F5A" w:rsidP="00D41E7B">
      <w:pPr>
        <w:spacing w:after="0"/>
        <w:jc w:val="both"/>
        <w:rPr>
          <w:rFonts w:ascii="Arial" w:hAnsi="Arial" w:cs="Arial"/>
          <w:sz w:val="24"/>
          <w:szCs w:val="24"/>
          <w:lang w:val="sr-Latn-CS"/>
        </w:rPr>
      </w:pPr>
      <w:r w:rsidRPr="00D41E7B">
        <w:rPr>
          <w:rFonts w:ascii="Arial" w:hAnsi="Arial" w:cs="Arial"/>
          <w:sz w:val="24"/>
          <w:szCs w:val="24"/>
          <w:lang w:val="sr-Latn-CS"/>
        </w:rPr>
        <w:t xml:space="preserve">Iz prikazanih podataka se vidi da će Crna Gora u 2029. godinu ući sa svega 4.4 miliona tona eksploatacionih rezervi crvenih boksita u ležištima u kojima se sada vrši eksploatacija. </w:t>
      </w:r>
    </w:p>
    <w:p w:rsidR="00FE2F15" w:rsidRPr="00D41E7B" w:rsidRDefault="00FE2F15" w:rsidP="00D41E7B">
      <w:pPr>
        <w:spacing w:after="0"/>
        <w:jc w:val="both"/>
        <w:rPr>
          <w:rFonts w:ascii="Arial" w:hAnsi="Arial" w:cs="Arial"/>
          <w:sz w:val="24"/>
          <w:szCs w:val="24"/>
          <w:lang w:val="sr-Latn-CS"/>
        </w:rPr>
      </w:pPr>
    </w:p>
    <w:p w:rsidR="00714F5A" w:rsidRDefault="00714F5A" w:rsidP="00D41E7B">
      <w:pPr>
        <w:spacing w:after="0"/>
        <w:jc w:val="both"/>
        <w:rPr>
          <w:rFonts w:ascii="Arial" w:hAnsi="Arial" w:cs="Arial"/>
          <w:sz w:val="24"/>
          <w:szCs w:val="24"/>
          <w:lang w:val="sr-Latn-CS"/>
        </w:rPr>
      </w:pPr>
      <w:r w:rsidRPr="00D41E7B">
        <w:rPr>
          <w:rFonts w:ascii="Arial" w:hAnsi="Arial" w:cs="Arial"/>
          <w:sz w:val="24"/>
          <w:szCs w:val="24"/>
          <w:lang w:val="sr-Latn-CS"/>
        </w:rPr>
        <w:t>Iz tog razloga je neophodno stvaranja uslova za intenziviranje geoloških doistraživanja postojećih ležišta i povećanje stepena istraženosti geoloških rezervi, kao i planiranje i realizacija osnovnih i detaljnih istraživanja sa ciljem utvrđivanja novih ležišta, a sve u cilju zadržavanja kontinuiteta proizvodnje.</w:t>
      </w:r>
    </w:p>
    <w:p w:rsidR="00FE2F15" w:rsidRPr="00D41E7B" w:rsidRDefault="00FE2F15" w:rsidP="00D41E7B">
      <w:pPr>
        <w:spacing w:after="0"/>
        <w:jc w:val="both"/>
        <w:rPr>
          <w:rFonts w:ascii="Arial" w:hAnsi="Arial" w:cs="Arial"/>
          <w:sz w:val="24"/>
          <w:szCs w:val="24"/>
          <w:lang w:val="sr-Latn-CS"/>
        </w:rPr>
      </w:pPr>
    </w:p>
    <w:p w:rsidR="00432775" w:rsidRDefault="00714F5A" w:rsidP="00D41E7B">
      <w:pPr>
        <w:shd w:val="clear" w:color="auto" w:fill="FFFFFF"/>
        <w:spacing w:after="0"/>
        <w:jc w:val="both"/>
        <w:textAlignment w:val="center"/>
        <w:outlineLvl w:val="3"/>
        <w:rPr>
          <w:rFonts w:ascii="Arial" w:hAnsi="Arial" w:cs="Arial"/>
          <w:sz w:val="24"/>
          <w:szCs w:val="24"/>
          <w:lang w:val="sr-Latn-CS"/>
        </w:rPr>
      </w:pPr>
      <w:r w:rsidRPr="00D41E7B">
        <w:rPr>
          <w:rFonts w:ascii="Arial" w:hAnsi="Arial" w:cs="Arial"/>
          <w:sz w:val="24"/>
          <w:szCs w:val="24"/>
          <w:lang w:val="sr-Latn-CS"/>
        </w:rPr>
        <w:t>Postojeći potencijal za buduća geološka istraživanja i eksploataciju crvenih boksita se ogleda u dokazanim  geološkim rezervama, posebno u ležištima: Liverovići, Kutsko brdo, Bršno, Crvenjaci, Bajov do, Đelov do, Dragalj i dr.</w:t>
      </w:r>
      <w:r w:rsidR="00432775" w:rsidRPr="00D41E7B">
        <w:rPr>
          <w:rFonts w:ascii="Arial" w:hAnsi="Arial" w:cs="Arial"/>
          <w:sz w:val="24"/>
          <w:szCs w:val="24"/>
          <w:lang w:val="sr-Latn-CS"/>
        </w:rPr>
        <w:t>,</w:t>
      </w:r>
      <w:r w:rsidRPr="00D41E7B">
        <w:rPr>
          <w:rFonts w:ascii="Arial" w:hAnsi="Arial" w:cs="Arial"/>
          <w:sz w:val="24"/>
          <w:szCs w:val="24"/>
          <w:lang w:val="sr-Latn-CS"/>
        </w:rPr>
        <w:t xml:space="preserve"> kao i perspektivnim rezervama na širem području Nikšićke župe, naročito na širem prostoru Kutskog brda i Podplanininika, odnosno na prostoru Blok br. 4. </w:t>
      </w:r>
      <w:r w:rsidR="00432775" w:rsidRPr="00D41E7B">
        <w:rPr>
          <w:rFonts w:ascii="Arial" w:hAnsi="Arial" w:cs="Arial"/>
          <w:sz w:val="24"/>
          <w:szCs w:val="24"/>
          <w:lang w:val="sr-Latn-CS"/>
        </w:rPr>
        <w:t xml:space="preserve"> </w:t>
      </w:r>
    </w:p>
    <w:p w:rsidR="00FE2F15" w:rsidRPr="00D41E7B" w:rsidRDefault="00FE2F15" w:rsidP="00D41E7B">
      <w:pPr>
        <w:shd w:val="clear" w:color="auto" w:fill="FFFFFF"/>
        <w:spacing w:after="0"/>
        <w:jc w:val="both"/>
        <w:textAlignment w:val="center"/>
        <w:outlineLvl w:val="3"/>
        <w:rPr>
          <w:rFonts w:ascii="Arial" w:hAnsi="Arial" w:cs="Arial"/>
          <w:sz w:val="24"/>
          <w:szCs w:val="24"/>
          <w:lang w:val="sr-Latn-CS"/>
        </w:rPr>
      </w:pPr>
    </w:p>
    <w:p w:rsidR="00432775" w:rsidRDefault="00432775" w:rsidP="00D41E7B">
      <w:pPr>
        <w:spacing w:after="0"/>
        <w:jc w:val="both"/>
        <w:rPr>
          <w:rFonts w:ascii="Arial" w:hAnsi="Arial" w:cs="Arial"/>
          <w:sz w:val="24"/>
          <w:szCs w:val="24"/>
          <w:lang w:val="sr-Latn-CS"/>
        </w:rPr>
      </w:pPr>
      <w:r w:rsidRPr="00D41E7B">
        <w:rPr>
          <w:rFonts w:ascii="Arial" w:hAnsi="Arial" w:cs="Arial"/>
          <w:sz w:val="24"/>
          <w:szCs w:val="24"/>
          <w:lang w:val="sr-Latn-CS"/>
        </w:rPr>
        <w:t xml:space="preserve">Ukupne geološke rezerve boksita slabijeg kvaliteta u rudnim rejonima: Vojnik-Maganik, Prekornica i Zapadna Crne Gora iznose oko 18.5 miliona tona, koje uz prognozirane rezerve od oko 9 miliona tona kvalitetnih boksita na prostoru „Bloka br. 4“ koji pripada terenim prvog stepena perspektivnosti, mogu činiti osnovu za planiranje buduće proizvodnje boksita. </w:t>
      </w:r>
    </w:p>
    <w:p w:rsidR="00FE2F15" w:rsidRPr="00D41E7B" w:rsidRDefault="00FE2F15" w:rsidP="00D41E7B">
      <w:pPr>
        <w:spacing w:after="0"/>
        <w:jc w:val="both"/>
        <w:rPr>
          <w:rFonts w:ascii="Arial" w:hAnsi="Arial" w:cs="Arial"/>
          <w:sz w:val="24"/>
          <w:szCs w:val="24"/>
          <w:lang w:val="sr-Latn-CS"/>
        </w:rPr>
      </w:pPr>
    </w:p>
    <w:p w:rsidR="00432775" w:rsidRPr="00D41E7B" w:rsidRDefault="00432775" w:rsidP="00D41E7B">
      <w:pPr>
        <w:spacing w:after="0"/>
        <w:jc w:val="both"/>
        <w:rPr>
          <w:rFonts w:ascii="Arial" w:hAnsi="Arial" w:cs="Arial"/>
          <w:sz w:val="24"/>
          <w:szCs w:val="24"/>
          <w:lang w:val="sr-Latn-CS"/>
        </w:rPr>
      </w:pPr>
      <w:r w:rsidRPr="00D41E7B">
        <w:rPr>
          <w:rFonts w:ascii="Arial" w:hAnsi="Arial" w:cs="Arial"/>
          <w:sz w:val="24"/>
          <w:szCs w:val="24"/>
          <w:lang w:val="sr-Latn-CS"/>
        </w:rPr>
        <w:t xml:space="preserve">Mogućnost plasmana boksita sa visokim sadržajem silicije je ograničena, u prvom redu zbog relativno niske cijene i potražnje, ali i nerazvijenih industrijskih kapaciteta za proizvodnju vatrostalnih materijala, aluminijumskih soli, cementa, abraziva i dr. No i pored toga, ne treba isključiti mogućnosti valorizacije i ovih boksita u </w:t>
      </w:r>
      <w:r w:rsidR="001546BD" w:rsidRPr="00D41E7B">
        <w:rPr>
          <w:rFonts w:ascii="Arial" w:hAnsi="Arial" w:cs="Arial"/>
          <w:sz w:val="24"/>
          <w:szCs w:val="24"/>
          <w:lang w:val="sr-Latn-CS"/>
        </w:rPr>
        <w:t>planskom periodu.</w:t>
      </w:r>
    </w:p>
    <w:p w:rsidR="00432775" w:rsidRDefault="00432775" w:rsidP="00722DF4">
      <w:pPr>
        <w:autoSpaceDE w:val="0"/>
        <w:autoSpaceDN w:val="0"/>
        <w:adjustRightInd w:val="0"/>
        <w:spacing w:after="0"/>
        <w:jc w:val="both"/>
        <w:rPr>
          <w:rFonts w:ascii="Arial" w:hAnsi="Arial" w:cs="Arial"/>
          <w:b/>
          <w:bCs/>
          <w:sz w:val="24"/>
          <w:szCs w:val="24"/>
        </w:rPr>
      </w:pPr>
    </w:p>
    <w:p w:rsidR="004D714E" w:rsidRPr="00722DF4"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Olovo i cink</w:t>
      </w:r>
    </w:p>
    <w:p w:rsidR="008914BE"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Predlog obima eksploatacije rude olova i cinka u Crnoj Gori za period 2019-202</w:t>
      </w:r>
      <w:r w:rsidR="000E0093">
        <w:rPr>
          <w:rFonts w:ascii="Arial" w:hAnsi="Arial" w:cs="Arial"/>
          <w:sz w:val="24"/>
          <w:szCs w:val="24"/>
        </w:rPr>
        <w:t>8</w:t>
      </w:r>
      <w:r w:rsidRPr="00722DF4">
        <w:rPr>
          <w:rFonts w:ascii="Arial" w:hAnsi="Arial" w:cs="Arial"/>
          <w:sz w:val="24"/>
          <w:szCs w:val="24"/>
        </w:rPr>
        <w:t xml:space="preserve">. godina baziran je na ovjerenim rezervama prikazanim u tabeli </w:t>
      </w:r>
      <w:r w:rsidR="00722DF4" w:rsidRPr="00722DF4">
        <w:rPr>
          <w:rFonts w:ascii="Arial" w:hAnsi="Arial" w:cs="Arial"/>
          <w:sz w:val="24"/>
          <w:szCs w:val="24"/>
        </w:rPr>
        <w:t>1.</w:t>
      </w:r>
      <w:r w:rsidRPr="00722DF4">
        <w:rPr>
          <w:rFonts w:ascii="Arial" w:hAnsi="Arial" w:cs="Arial"/>
          <w:sz w:val="24"/>
          <w:szCs w:val="24"/>
        </w:rPr>
        <w:t>4</w:t>
      </w:r>
      <w:r w:rsidR="00722DF4" w:rsidRPr="00722DF4">
        <w:rPr>
          <w:rFonts w:ascii="Arial" w:hAnsi="Arial" w:cs="Arial"/>
          <w:sz w:val="24"/>
          <w:szCs w:val="24"/>
        </w:rPr>
        <w:t>.</w:t>
      </w:r>
      <w:r w:rsidRPr="00722DF4">
        <w:rPr>
          <w:rFonts w:ascii="Arial" w:hAnsi="Arial" w:cs="Arial"/>
          <w:sz w:val="24"/>
          <w:szCs w:val="24"/>
        </w:rPr>
        <w:t xml:space="preserve"> i postojećim kapacitetima rudnika Šuplja stijena.</w:t>
      </w:r>
    </w:p>
    <w:p w:rsidR="00FE2F15" w:rsidRDefault="00FE2F15" w:rsidP="00722DF4">
      <w:pPr>
        <w:autoSpaceDE w:val="0"/>
        <w:autoSpaceDN w:val="0"/>
        <w:adjustRightInd w:val="0"/>
        <w:spacing w:after="0"/>
        <w:jc w:val="both"/>
        <w:rPr>
          <w:rFonts w:ascii="Arial" w:hAnsi="Arial" w:cs="Arial"/>
          <w:sz w:val="24"/>
          <w:szCs w:val="24"/>
        </w:rPr>
      </w:pPr>
    </w:p>
    <w:p w:rsidR="00FE2F15" w:rsidRDefault="00FE2F15" w:rsidP="00722DF4">
      <w:pPr>
        <w:autoSpaceDE w:val="0"/>
        <w:autoSpaceDN w:val="0"/>
        <w:adjustRightInd w:val="0"/>
        <w:spacing w:after="0"/>
        <w:jc w:val="both"/>
        <w:rPr>
          <w:rFonts w:ascii="Arial" w:hAnsi="Arial" w:cs="Arial"/>
          <w:sz w:val="24"/>
          <w:szCs w:val="24"/>
        </w:rPr>
      </w:pPr>
    </w:p>
    <w:p w:rsidR="000E0093" w:rsidRPr="00C21B56" w:rsidRDefault="000E0093" w:rsidP="00722DF4">
      <w:pPr>
        <w:autoSpaceDE w:val="0"/>
        <w:autoSpaceDN w:val="0"/>
        <w:adjustRightInd w:val="0"/>
        <w:spacing w:after="0"/>
        <w:jc w:val="both"/>
        <w:rPr>
          <w:rFonts w:ascii="Arial" w:hAnsi="Arial" w:cs="Arial"/>
        </w:rPr>
      </w:pPr>
    </w:p>
    <w:p w:rsidR="001B3B6D" w:rsidRDefault="001B3B6D" w:rsidP="00722DF4">
      <w:pPr>
        <w:autoSpaceDE w:val="0"/>
        <w:autoSpaceDN w:val="0"/>
        <w:adjustRightInd w:val="0"/>
        <w:spacing w:after="0"/>
        <w:jc w:val="both"/>
        <w:rPr>
          <w:rFonts w:ascii="Arial" w:hAnsi="Arial" w:cs="Arial"/>
          <w:iCs/>
        </w:rPr>
      </w:pPr>
      <w:r w:rsidRPr="00C21B56">
        <w:rPr>
          <w:rFonts w:ascii="Arial" w:hAnsi="Arial" w:cs="Arial"/>
          <w:b/>
          <w:bCs/>
        </w:rPr>
        <w:t xml:space="preserve">Tabela </w:t>
      </w:r>
      <w:r w:rsidR="00432775">
        <w:rPr>
          <w:rFonts w:ascii="Arial" w:hAnsi="Arial" w:cs="Arial"/>
          <w:b/>
          <w:bCs/>
        </w:rPr>
        <w:t>1.4</w:t>
      </w:r>
      <w:r w:rsidR="00722DF4" w:rsidRPr="00C21B56">
        <w:rPr>
          <w:rFonts w:ascii="Arial" w:hAnsi="Arial" w:cs="Arial"/>
          <w:b/>
          <w:bCs/>
        </w:rPr>
        <w:t>.</w:t>
      </w:r>
      <w:r w:rsidRPr="00C21B56">
        <w:rPr>
          <w:rFonts w:ascii="Arial" w:hAnsi="Arial" w:cs="Arial"/>
          <w:b/>
          <w:bCs/>
        </w:rPr>
        <w:t xml:space="preserve"> </w:t>
      </w:r>
      <w:r w:rsidRPr="00C21B56">
        <w:rPr>
          <w:rFonts w:ascii="Arial" w:hAnsi="Arial" w:cs="Arial"/>
          <w:iCs/>
        </w:rPr>
        <w:t>Ovjerene geološke rezerve rude olova i cinka u ležištu Šuplja Stijena</w:t>
      </w:r>
    </w:p>
    <w:tbl>
      <w:tblPr>
        <w:tblW w:w="50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6"/>
        <w:gridCol w:w="1276"/>
        <w:gridCol w:w="1214"/>
        <w:gridCol w:w="686"/>
        <w:gridCol w:w="707"/>
        <w:gridCol w:w="833"/>
        <w:gridCol w:w="938"/>
        <w:gridCol w:w="938"/>
        <w:gridCol w:w="1140"/>
      </w:tblGrid>
      <w:tr w:rsidR="001546BD" w:rsidRPr="00D1785F" w:rsidTr="00D41E7B">
        <w:tc>
          <w:tcPr>
            <w:tcW w:w="943" w:type="pct"/>
            <w:vMerge w:val="restar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Revir</w:t>
            </w:r>
          </w:p>
        </w:tc>
        <w:tc>
          <w:tcPr>
            <w:tcW w:w="670" w:type="pct"/>
            <w:vMerge w:val="restar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Kategorija</w:t>
            </w:r>
          </w:p>
        </w:tc>
        <w:tc>
          <w:tcPr>
            <w:tcW w:w="637" w:type="pct"/>
            <w:vMerge w:val="restar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Rezerve</w:t>
            </w:r>
          </w:p>
        </w:tc>
        <w:tc>
          <w:tcPr>
            <w:tcW w:w="1168" w:type="pct"/>
            <w:gridSpan w:val="3"/>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Sadržaj metala</w:t>
            </w:r>
          </w:p>
        </w:tc>
        <w:tc>
          <w:tcPr>
            <w:tcW w:w="1583" w:type="pct"/>
            <w:gridSpan w:val="3"/>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Količina metala</w:t>
            </w:r>
          </w:p>
        </w:tc>
      </w:tr>
      <w:tr w:rsidR="001546BD" w:rsidRPr="00D1785F" w:rsidTr="00D41E7B">
        <w:tc>
          <w:tcPr>
            <w:tcW w:w="943" w:type="pct"/>
            <w:vMerge/>
            <w:vAlign w:val="center"/>
          </w:tcPr>
          <w:p w:rsidR="001546BD" w:rsidRPr="00D1785F" w:rsidRDefault="001546BD" w:rsidP="00D41E7B">
            <w:pPr>
              <w:spacing w:after="0" w:line="240" w:lineRule="auto"/>
              <w:jc w:val="center"/>
              <w:rPr>
                <w:rFonts w:ascii="Arial" w:hAnsi="Arial" w:cs="Arial"/>
                <w:b/>
                <w:sz w:val="18"/>
                <w:szCs w:val="18"/>
              </w:rPr>
            </w:pPr>
          </w:p>
        </w:tc>
        <w:tc>
          <w:tcPr>
            <w:tcW w:w="670" w:type="pct"/>
            <w:vMerge/>
            <w:vAlign w:val="center"/>
          </w:tcPr>
          <w:p w:rsidR="001546BD" w:rsidRPr="00D1785F" w:rsidRDefault="001546BD" w:rsidP="00D41E7B">
            <w:pPr>
              <w:spacing w:after="0" w:line="240" w:lineRule="auto"/>
              <w:jc w:val="center"/>
              <w:rPr>
                <w:rFonts w:ascii="Arial" w:hAnsi="Arial" w:cs="Arial"/>
                <w:b/>
                <w:sz w:val="18"/>
                <w:szCs w:val="18"/>
              </w:rPr>
            </w:pPr>
          </w:p>
        </w:tc>
        <w:tc>
          <w:tcPr>
            <w:tcW w:w="637" w:type="pct"/>
            <w:vMerge/>
            <w:vAlign w:val="center"/>
          </w:tcPr>
          <w:p w:rsidR="001546BD" w:rsidRPr="00D1785F" w:rsidRDefault="001546BD" w:rsidP="00D41E7B">
            <w:pPr>
              <w:spacing w:after="0" w:line="240" w:lineRule="auto"/>
              <w:jc w:val="center"/>
              <w:rPr>
                <w:rFonts w:ascii="Arial" w:hAnsi="Arial" w:cs="Arial"/>
                <w:b/>
                <w:sz w:val="18"/>
                <w:szCs w:val="18"/>
              </w:rPr>
            </w:pPr>
          </w:p>
        </w:tc>
        <w:tc>
          <w:tcPr>
            <w:tcW w:w="360" w:type="pc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Pb</w:t>
            </w:r>
          </w:p>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w:t>
            </w:r>
          </w:p>
        </w:tc>
        <w:tc>
          <w:tcPr>
            <w:tcW w:w="371" w:type="pc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Zn %</w:t>
            </w:r>
          </w:p>
        </w:tc>
        <w:tc>
          <w:tcPr>
            <w:tcW w:w="437" w:type="pc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Ag (g/t)</w:t>
            </w:r>
          </w:p>
        </w:tc>
        <w:tc>
          <w:tcPr>
            <w:tcW w:w="492" w:type="pc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Pb (t)</w:t>
            </w:r>
          </w:p>
        </w:tc>
        <w:tc>
          <w:tcPr>
            <w:tcW w:w="492" w:type="pc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Zn (t)</w:t>
            </w:r>
          </w:p>
        </w:tc>
        <w:tc>
          <w:tcPr>
            <w:tcW w:w="599" w:type="pct"/>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Ag (kg)</w:t>
            </w:r>
          </w:p>
        </w:tc>
      </w:tr>
      <w:tr w:rsidR="001546BD" w:rsidRPr="00D1785F" w:rsidTr="00D41E7B">
        <w:tc>
          <w:tcPr>
            <w:tcW w:w="943" w:type="pct"/>
            <w:vAlign w:val="center"/>
          </w:tcPr>
          <w:p w:rsidR="001546BD" w:rsidRPr="00D1785F" w:rsidRDefault="001546BD" w:rsidP="00D41E7B">
            <w:pPr>
              <w:spacing w:after="0" w:line="240" w:lineRule="auto"/>
              <w:rPr>
                <w:rFonts w:ascii="Arial" w:hAnsi="Arial" w:cs="Arial"/>
                <w:b/>
                <w:sz w:val="18"/>
                <w:szCs w:val="18"/>
              </w:rPr>
            </w:pPr>
            <w:r w:rsidRPr="00D1785F">
              <w:rPr>
                <w:rFonts w:ascii="Arial" w:hAnsi="Arial" w:cs="Arial"/>
                <w:b/>
                <w:sz w:val="18"/>
                <w:szCs w:val="18"/>
              </w:rPr>
              <w:t>Istočna struktura</w:t>
            </w:r>
          </w:p>
        </w:tc>
        <w:tc>
          <w:tcPr>
            <w:tcW w:w="670" w:type="pct"/>
            <w:vAlign w:val="center"/>
          </w:tcPr>
          <w:p w:rsidR="001546BD" w:rsidRPr="00D1785F" w:rsidRDefault="001546BD" w:rsidP="00D41E7B">
            <w:pPr>
              <w:spacing w:after="0" w:line="240" w:lineRule="auto"/>
              <w:jc w:val="center"/>
              <w:rPr>
                <w:rFonts w:ascii="Arial" w:hAnsi="Arial" w:cs="Arial"/>
                <w:sz w:val="18"/>
                <w:szCs w:val="18"/>
                <w:vertAlign w:val="subscript"/>
              </w:rPr>
            </w:pPr>
            <w:r w:rsidRPr="00D1785F">
              <w:rPr>
                <w:rFonts w:ascii="Arial" w:hAnsi="Arial" w:cs="Arial"/>
                <w:sz w:val="18"/>
                <w:szCs w:val="18"/>
              </w:rPr>
              <w:t>B+C</w:t>
            </w:r>
            <w:r w:rsidRPr="00D1785F">
              <w:rPr>
                <w:rFonts w:ascii="Arial" w:hAnsi="Arial" w:cs="Arial"/>
                <w:sz w:val="18"/>
                <w:szCs w:val="18"/>
                <w:vertAlign w:val="subscript"/>
              </w:rPr>
              <w:t>1</w:t>
            </w:r>
          </w:p>
        </w:tc>
        <w:tc>
          <w:tcPr>
            <w:tcW w:w="637" w:type="pct"/>
            <w:vAlign w:val="center"/>
          </w:tcPr>
          <w:p w:rsidR="001546BD" w:rsidRPr="00D1785F" w:rsidRDefault="001546BD" w:rsidP="00D41E7B">
            <w:pPr>
              <w:spacing w:after="0" w:line="240" w:lineRule="auto"/>
              <w:jc w:val="right"/>
              <w:rPr>
                <w:rFonts w:ascii="Arial" w:hAnsi="Arial" w:cs="Arial"/>
                <w:sz w:val="18"/>
                <w:szCs w:val="18"/>
              </w:rPr>
            </w:pPr>
            <w:r w:rsidRPr="00D1785F">
              <w:rPr>
                <w:rFonts w:ascii="Arial" w:hAnsi="Arial" w:cs="Arial"/>
                <w:sz w:val="18"/>
                <w:szCs w:val="18"/>
              </w:rPr>
              <w:t>7.338.321</w:t>
            </w:r>
          </w:p>
        </w:tc>
        <w:tc>
          <w:tcPr>
            <w:tcW w:w="360"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0,38</w:t>
            </w:r>
          </w:p>
        </w:tc>
        <w:tc>
          <w:tcPr>
            <w:tcW w:w="371"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1,65</w:t>
            </w:r>
          </w:p>
        </w:tc>
        <w:tc>
          <w:tcPr>
            <w:tcW w:w="437"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16,15</w:t>
            </w:r>
          </w:p>
        </w:tc>
        <w:tc>
          <w:tcPr>
            <w:tcW w:w="492"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27.954</w:t>
            </w:r>
          </w:p>
        </w:tc>
        <w:tc>
          <w:tcPr>
            <w:tcW w:w="492"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121.400</w:t>
            </w:r>
          </w:p>
        </w:tc>
        <w:tc>
          <w:tcPr>
            <w:tcW w:w="599"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118.804</w:t>
            </w:r>
          </w:p>
        </w:tc>
      </w:tr>
      <w:tr w:rsidR="001546BD" w:rsidRPr="00D1785F" w:rsidTr="00D41E7B">
        <w:tc>
          <w:tcPr>
            <w:tcW w:w="943" w:type="pct"/>
            <w:vAlign w:val="center"/>
          </w:tcPr>
          <w:p w:rsidR="001546BD" w:rsidRPr="00D1785F" w:rsidRDefault="001546BD" w:rsidP="00D41E7B">
            <w:pPr>
              <w:spacing w:after="0" w:line="240" w:lineRule="auto"/>
              <w:rPr>
                <w:rFonts w:ascii="Arial" w:hAnsi="Arial" w:cs="Arial"/>
                <w:b/>
                <w:sz w:val="18"/>
                <w:szCs w:val="18"/>
              </w:rPr>
            </w:pPr>
            <w:r w:rsidRPr="00D1785F">
              <w:rPr>
                <w:rFonts w:ascii="Arial" w:hAnsi="Arial" w:cs="Arial"/>
                <w:b/>
                <w:sz w:val="18"/>
                <w:szCs w:val="18"/>
              </w:rPr>
              <w:t>Stara jama</w:t>
            </w:r>
          </w:p>
        </w:tc>
        <w:tc>
          <w:tcPr>
            <w:tcW w:w="670" w:type="pct"/>
            <w:vAlign w:val="center"/>
          </w:tcPr>
          <w:p w:rsidR="001546BD" w:rsidRPr="00D1785F" w:rsidRDefault="001546BD" w:rsidP="00D41E7B">
            <w:pPr>
              <w:spacing w:after="0" w:line="240" w:lineRule="auto"/>
              <w:jc w:val="center"/>
              <w:rPr>
                <w:rFonts w:ascii="Arial" w:hAnsi="Arial" w:cs="Arial"/>
                <w:sz w:val="18"/>
                <w:szCs w:val="18"/>
                <w:vertAlign w:val="subscript"/>
              </w:rPr>
            </w:pPr>
            <w:r w:rsidRPr="00D1785F">
              <w:rPr>
                <w:rFonts w:ascii="Arial" w:hAnsi="Arial" w:cs="Arial"/>
                <w:sz w:val="18"/>
                <w:szCs w:val="18"/>
              </w:rPr>
              <w:t>B+C</w:t>
            </w:r>
            <w:r w:rsidRPr="00D1785F">
              <w:rPr>
                <w:rFonts w:ascii="Arial" w:hAnsi="Arial" w:cs="Arial"/>
                <w:sz w:val="18"/>
                <w:szCs w:val="18"/>
                <w:vertAlign w:val="subscript"/>
              </w:rPr>
              <w:t>1</w:t>
            </w:r>
          </w:p>
        </w:tc>
        <w:tc>
          <w:tcPr>
            <w:tcW w:w="637" w:type="pct"/>
            <w:vAlign w:val="center"/>
          </w:tcPr>
          <w:p w:rsidR="001546BD" w:rsidRPr="00D1785F" w:rsidRDefault="001546BD" w:rsidP="00D41E7B">
            <w:pPr>
              <w:spacing w:after="0" w:line="240" w:lineRule="auto"/>
              <w:jc w:val="right"/>
              <w:rPr>
                <w:rFonts w:ascii="Arial" w:hAnsi="Arial" w:cs="Arial"/>
                <w:sz w:val="18"/>
                <w:szCs w:val="18"/>
              </w:rPr>
            </w:pPr>
            <w:r w:rsidRPr="00D1785F">
              <w:rPr>
                <w:rFonts w:ascii="Arial" w:hAnsi="Arial" w:cs="Arial"/>
                <w:sz w:val="18"/>
                <w:szCs w:val="18"/>
              </w:rPr>
              <w:t>5.303.798</w:t>
            </w:r>
          </w:p>
        </w:tc>
        <w:tc>
          <w:tcPr>
            <w:tcW w:w="360"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2,60</w:t>
            </w:r>
          </w:p>
        </w:tc>
        <w:tc>
          <w:tcPr>
            <w:tcW w:w="371"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1,50</w:t>
            </w:r>
          </w:p>
        </w:tc>
        <w:tc>
          <w:tcPr>
            <w:tcW w:w="437"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16,44</w:t>
            </w:r>
          </w:p>
        </w:tc>
        <w:tc>
          <w:tcPr>
            <w:tcW w:w="492"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132.499</w:t>
            </w:r>
          </w:p>
        </w:tc>
        <w:tc>
          <w:tcPr>
            <w:tcW w:w="492"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76.915</w:t>
            </w:r>
          </w:p>
        </w:tc>
        <w:tc>
          <w:tcPr>
            <w:tcW w:w="599" w:type="pct"/>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87.194</w:t>
            </w:r>
          </w:p>
        </w:tc>
      </w:tr>
      <w:tr w:rsidR="001546BD" w:rsidRPr="00D1785F" w:rsidTr="00D41E7B">
        <w:tc>
          <w:tcPr>
            <w:tcW w:w="943" w:type="pct"/>
            <w:tcBorders>
              <w:bottom w:val="double" w:sz="4" w:space="0" w:color="auto"/>
            </w:tcBorders>
            <w:vAlign w:val="center"/>
          </w:tcPr>
          <w:p w:rsidR="001546BD" w:rsidRPr="00D1785F" w:rsidRDefault="001546BD" w:rsidP="00D41E7B">
            <w:pPr>
              <w:spacing w:after="0" w:line="240" w:lineRule="auto"/>
              <w:rPr>
                <w:rFonts w:ascii="Arial" w:hAnsi="Arial" w:cs="Arial"/>
                <w:b/>
                <w:sz w:val="18"/>
                <w:szCs w:val="18"/>
              </w:rPr>
            </w:pPr>
            <w:r w:rsidRPr="00D1785F">
              <w:rPr>
                <w:rFonts w:ascii="Arial" w:hAnsi="Arial" w:cs="Arial"/>
                <w:b/>
                <w:sz w:val="18"/>
                <w:szCs w:val="18"/>
              </w:rPr>
              <w:t>Zapadna struktura</w:t>
            </w:r>
          </w:p>
        </w:tc>
        <w:tc>
          <w:tcPr>
            <w:tcW w:w="670" w:type="pct"/>
            <w:tcBorders>
              <w:bottom w:val="double" w:sz="4" w:space="0" w:color="auto"/>
            </w:tcBorders>
            <w:vAlign w:val="center"/>
          </w:tcPr>
          <w:p w:rsidR="001546BD" w:rsidRPr="00D1785F" w:rsidRDefault="001546BD" w:rsidP="00D41E7B">
            <w:pPr>
              <w:spacing w:after="0" w:line="240" w:lineRule="auto"/>
              <w:jc w:val="center"/>
              <w:rPr>
                <w:rFonts w:ascii="Arial" w:hAnsi="Arial" w:cs="Arial"/>
                <w:sz w:val="18"/>
                <w:szCs w:val="18"/>
                <w:vertAlign w:val="subscript"/>
              </w:rPr>
            </w:pPr>
            <w:r w:rsidRPr="00D1785F">
              <w:rPr>
                <w:rFonts w:ascii="Arial" w:hAnsi="Arial" w:cs="Arial"/>
                <w:sz w:val="18"/>
                <w:szCs w:val="18"/>
              </w:rPr>
              <w:t>B+C</w:t>
            </w:r>
            <w:r w:rsidRPr="00D1785F">
              <w:rPr>
                <w:rFonts w:ascii="Arial" w:hAnsi="Arial" w:cs="Arial"/>
                <w:sz w:val="18"/>
                <w:szCs w:val="18"/>
                <w:vertAlign w:val="subscript"/>
              </w:rPr>
              <w:t>1</w:t>
            </w:r>
          </w:p>
        </w:tc>
        <w:tc>
          <w:tcPr>
            <w:tcW w:w="637" w:type="pct"/>
            <w:tcBorders>
              <w:bottom w:val="double" w:sz="4" w:space="0" w:color="auto"/>
            </w:tcBorders>
            <w:vAlign w:val="center"/>
          </w:tcPr>
          <w:p w:rsidR="001546BD" w:rsidRPr="00D1785F" w:rsidRDefault="001546BD" w:rsidP="00D41E7B">
            <w:pPr>
              <w:spacing w:after="0" w:line="240" w:lineRule="auto"/>
              <w:jc w:val="right"/>
              <w:rPr>
                <w:rFonts w:ascii="Arial" w:hAnsi="Arial" w:cs="Arial"/>
                <w:sz w:val="18"/>
                <w:szCs w:val="18"/>
              </w:rPr>
            </w:pPr>
            <w:r w:rsidRPr="00D1785F">
              <w:rPr>
                <w:rFonts w:ascii="Arial" w:hAnsi="Arial" w:cs="Arial"/>
                <w:sz w:val="18"/>
                <w:szCs w:val="18"/>
              </w:rPr>
              <w:t>3.814.607</w:t>
            </w:r>
          </w:p>
        </w:tc>
        <w:tc>
          <w:tcPr>
            <w:tcW w:w="360" w:type="pct"/>
            <w:tcBorders>
              <w:bottom w:val="double" w:sz="4" w:space="0" w:color="auto"/>
            </w:tcBorders>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1,55</w:t>
            </w:r>
          </w:p>
        </w:tc>
        <w:tc>
          <w:tcPr>
            <w:tcW w:w="371" w:type="pct"/>
            <w:tcBorders>
              <w:bottom w:val="double" w:sz="4" w:space="0" w:color="auto"/>
            </w:tcBorders>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2,32</w:t>
            </w:r>
          </w:p>
        </w:tc>
        <w:tc>
          <w:tcPr>
            <w:tcW w:w="437" w:type="pct"/>
            <w:tcBorders>
              <w:bottom w:val="double" w:sz="4" w:space="0" w:color="auto"/>
            </w:tcBorders>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16,17</w:t>
            </w:r>
          </w:p>
        </w:tc>
        <w:tc>
          <w:tcPr>
            <w:tcW w:w="492" w:type="pct"/>
            <w:tcBorders>
              <w:bottom w:val="double" w:sz="4" w:space="0" w:color="auto"/>
            </w:tcBorders>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52.433</w:t>
            </w:r>
          </w:p>
        </w:tc>
        <w:tc>
          <w:tcPr>
            <w:tcW w:w="492" w:type="pct"/>
            <w:tcBorders>
              <w:bottom w:val="double" w:sz="4" w:space="0" w:color="auto"/>
            </w:tcBorders>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79.810</w:t>
            </w:r>
          </w:p>
        </w:tc>
        <w:tc>
          <w:tcPr>
            <w:tcW w:w="599" w:type="pct"/>
            <w:tcBorders>
              <w:bottom w:val="double" w:sz="4" w:space="0" w:color="auto"/>
            </w:tcBorders>
            <w:vAlign w:val="center"/>
          </w:tcPr>
          <w:p w:rsidR="001546BD" w:rsidRPr="00D1785F" w:rsidRDefault="001546BD" w:rsidP="00D41E7B">
            <w:pPr>
              <w:spacing w:after="0" w:line="240" w:lineRule="auto"/>
              <w:jc w:val="center"/>
              <w:rPr>
                <w:rFonts w:ascii="Arial" w:hAnsi="Arial" w:cs="Arial"/>
                <w:sz w:val="18"/>
                <w:szCs w:val="18"/>
              </w:rPr>
            </w:pPr>
            <w:r w:rsidRPr="00D1785F">
              <w:rPr>
                <w:rFonts w:ascii="Arial" w:hAnsi="Arial" w:cs="Arial"/>
                <w:sz w:val="18"/>
                <w:szCs w:val="18"/>
              </w:rPr>
              <w:t>58.452</w:t>
            </w:r>
          </w:p>
        </w:tc>
      </w:tr>
      <w:tr w:rsidR="001546BD" w:rsidRPr="00D1785F" w:rsidTr="00D41E7B">
        <w:trPr>
          <w:trHeight w:val="451"/>
        </w:trPr>
        <w:tc>
          <w:tcPr>
            <w:tcW w:w="943" w:type="pct"/>
            <w:tcBorders>
              <w:top w:val="double" w:sz="4" w:space="0" w:color="auto"/>
            </w:tcBorders>
            <w:vAlign w:val="center"/>
          </w:tcPr>
          <w:p w:rsidR="001546BD" w:rsidRPr="00D1785F" w:rsidRDefault="001546BD" w:rsidP="00D41E7B">
            <w:pPr>
              <w:spacing w:after="0" w:line="240" w:lineRule="auto"/>
              <w:rPr>
                <w:rFonts w:ascii="Arial" w:hAnsi="Arial" w:cs="Arial"/>
                <w:b/>
                <w:sz w:val="18"/>
                <w:szCs w:val="18"/>
              </w:rPr>
            </w:pPr>
            <w:r w:rsidRPr="00D1785F">
              <w:rPr>
                <w:rFonts w:ascii="Arial" w:hAnsi="Arial" w:cs="Arial"/>
                <w:b/>
                <w:sz w:val="18"/>
                <w:szCs w:val="18"/>
              </w:rPr>
              <w:t>UKUPNO</w:t>
            </w:r>
          </w:p>
        </w:tc>
        <w:tc>
          <w:tcPr>
            <w:tcW w:w="670" w:type="pct"/>
            <w:tcBorders>
              <w:top w:val="double" w:sz="4" w:space="0" w:color="auto"/>
            </w:tcBorders>
            <w:vAlign w:val="center"/>
          </w:tcPr>
          <w:p w:rsidR="001546BD" w:rsidRPr="00D1785F" w:rsidRDefault="001546BD" w:rsidP="00D41E7B">
            <w:pPr>
              <w:spacing w:after="0" w:line="240" w:lineRule="auto"/>
              <w:jc w:val="center"/>
              <w:rPr>
                <w:rFonts w:ascii="Arial" w:hAnsi="Arial" w:cs="Arial"/>
                <w:b/>
                <w:sz w:val="18"/>
                <w:szCs w:val="18"/>
                <w:vertAlign w:val="subscript"/>
              </w:rPr>
            </w:pPr>
            <w:r w:rsidRPr="00D1785F">
              <w:rPr>
                <w:rFonts w:ascii="Arial" w:hAnsi="Arial" w:cs="Arial"/>
                <w:b/>
                <w:sz w:val="18"/>
                <w:szCs w:val="18"/>
              </w:rPr>
              <w:t>B+C</w:t>
            </w:r>
            <w:r w:rsidRPr="00D1785F">
              <w:rPr>
                <w:rFonts w:ascii="Arial" w:hAnsi="Arial" w:cs="Arial"/>
                <w:b/>
                <w:sz w:val="18"/>
                <w:szCs w:val="18"/>
                <w:vertAlign w:val="subscript"/>
              </w:rPr>
              <w:t>1</w:t>
            </w:r>
          </w:p>
        </w:tc>
        <w:tc>
          <w:tcPr>
            <w:tcW w:w="637" w:type="pct"/>
            <w:tcBorders>
              <w:top w:val="double" w:sz="4" w:space="0" w:color="auto"/>
            </w:tcBorders>
            <w:vAlign w:val="center"/>
          </w:tcPr>
          <w:p w:rsidR="001546BD" w:rsidRPr="00D1785F" w:rsidRDefault="001546BD" w:rsidP="00D41E7B">
            <w:pPr>
              <w:spacing w:after="0" w:line="240" w:lineRule="auto"/>
              <w:jc w:val="right"/>
              <w:rPr>
                <w:rFonts w:ascii="Arial" w:hAnsi="Arial" w:cs="Arial"/>
                <w:b/>
                <w:sz w:val="18"/>
                <w:szCs w:val="18"/>
              </w:rPr>
            </w:pPr>
            <w:r w:rsidRPr="00D1785F">
              <w:rPr>
                <w:rFonts w:ascii="Arial" w:hAnsi="Arial" w:cs="Arial"/>
                <w:b/>
                <w:sz w:val="18"/>
                <w:szCs w:val="18"/>
              </w:rPr>
              <w:t>16.256.926</w:t>
            </w:r>
          </w:p>
        </w:tc>
        <w:tc>
          <w:tcPr>
            <w:tcW w:w="360" w:type="pct"/>
            <w:tcBorders>
              <w:top w:val="double" w:sz="4" w:space="0" w:color="auto"/>
            </w:tcBorders>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1,21</w:t>
            </w:r>
          </w:p>
        </w:tc>
        <w:tc>
          <w:tcPr>
            <w:tcW w:w="371" w:type="pct"/>
            <w:tcBorders>
              <w:top w:val="double" w:sz="4" w:space="0" w:color="auto"/>
            </w:tcBorders>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1,75</w:t>
            </w:r>
          </w:p>
        </w:tc>
        <w:tc>
          <w:tcPr>
            <w:tcW w:w="437" w:type="pct"/>
            <w:tcBorders>
              <w:top w:val="double" w:sz="4" w:space="0" w:color="auto"/>
            </w:tcBorders>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16,25</w:t>
            </w:r>
          </w:p>
        </w:tc>
        <w:tc>
          <w:tcPr>
            <w:tcW w:w="492" w:type="pct"/>
            <w:tcBorders>
              <w:top w:val="double" w:sz="4" w:space="0" w:color="auto"/>
            </w:tcBorders>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240.262</w:t>
            </w:r>
          </w:p>
        </w:tc>
        <w:tc>
          <w:tcPr>
            <w:tcW w:w="492" w:type="pct"/>
            <w:tcBorders>
              <w:top w:val="double" w:sz="4" w:space="0" w:color="auto"/>
            </w:tcBorders>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278.125</w:t>
            </w:r>
          </w:p>
        </w:tc>
        <w:tc>
          <w:tcPr>
            <w:tcW w:w="599" w:type="pct"/>
            <w:tcBorders>
              <w:top w:val="double" w:sz="4" w:space="0" w:color="auto"/>
            </w:tcBorders>
            <w:vAlign w:val="center"/>
          </w:tcPr>
          <w:p w:rsidR="001546BD" w:rsidRPr="00D1785F" w:rsidRDefault="001546BD" w:rsidP="00D41E7B">
            <w:pPr>
              <w:spacing w:after="0" w:line="240" w:lineRule="auto"/>
              <w:jc w:val="center"/>
              <w:rPr>
                <w:rFonts w:ascii="Arial" w:hAnsi="Arial" w:cs="Arial"/>
                <w:b/>
                <w:sz w:val="18"/>
                <w:szCs w:val="18"/>
              </w:rPr>
            </w:pPr>
            <w:r w:rsidRPr="00D1785F">
              <w:rPr>
                <w:rFonts w:ascii="Arial" w:hAnsi="Arial" w:cs="Arial"/>
                <w:b/>
                <w:sz w:val="18"/>
                <w:szCs w:val="18"/>
              </w:rPr>
              <w:t>264.450</w:t>
            </w:r>
          </w:p>
        </w:tc>
      </w:tr>
    </w:tbl>
    <w:p w:rsidR="008914BE" w:rsidRDefault="008914BE" w:rsidP="00722DF4">
      <w:pPr>
        <w:autoSpaceDE w:val="0"/>
        <w:autoSpaceDN w:val="0"/>
        <w:adjustRightInd w:val="0"/>
        <w:spacing w:after="0"/>
        <w:jc w:val="both"/>
        <w:rPr>
          <w:rFonts w:ascii="Arial" w:hAnsi="Arial" w:cs="Arial"/>
          <w:sz w:val="24"/>
          <w:szCs w:val="24"/>
        </w:rPr>
      </w:pPr>
    </w:p>
    <w:p w:rsidR="008914BE"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Eksploatacija rude cinka i olova na rudniku Šuplja Stijena obavlja se površinskim putem i u narednom periodu će se odvijati u tri faze: I faza je zahvat kopa u centralnom dijelu postojećeg kopa, u nastavku trenutnih radova, II faza predstavlja širenje trenutnog površinskog kopa u sjeverozapadnom dijelu i planirana je kao prelazna faza do jedinstvene završne konture površinskog kopa Šuplja Stijena, dok III faza predstavlja finalno proširenje kopa nakon prethodne, to jest završnu konturu jedinstvenog površinskog kopa Šuplja Stijena. Godišnji kapacitet na eksploataciji rude iznosi 510.000 tona, dok je minimalan kvalitet rude na ulazu u proces predkoncentracije 2,5-2,6%</w:t>
      </w:r>
      <w:r w:rsidR="00D41E7B">
        <w:rPr>
          <w:rFonts w:ascii="Arial" w:hAnsi="Arial" w:cs="Arial"/>
          <w:sz w:val="24"/>
          <w:szCs w:val="24"/>
        </w:rPr>
        <w:t xml:space="preserve"> </w:t>
      </w:r>
      <w:r w:rsidRPr="00722DF4">
        <w:rPr>
          <w:rFonts w:ascii="Arial" w:hAnsi="Arial" w:cs="Arial"/>
          <w:sz w:val="24"/>
          <w:szCs w:val="24"/>
        </w:rPr>
        <w:t>Zn+Pb.</w:t>
      </w:r>
    </w:p>
    <w:p w:rsidR="00C21B56" w:rsidRPr="00722DF4" w:rsidRDefault="00C21B56" w:rsidP="00722DF4">
      <w:pPr>
        <w:autoSpaceDE w:val="0"/>
        <w:autoSpaceDN w:val="0"/>
        <w:adjustRightInd w:val="0"/>
        <w:spacing w:after="0"/>
        <w:jc w:val="both"/>
        <w:rPr>
          <w:rFonts w:ascii="Arial" w:hAnsi="Arial" w:cs="Arial"/>
          <w:sz w:val="24"/>
          <w:szCs w:val="24"/>
        </w:rPr>
      </w:pPr>
    </w:p>
    <w:p w:rsidR="00AE60FB"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Planirana je eksploatacija rude za narednih 10 godina koja iznosi 5.100.000 t</w:t>
      </w:r>
      <w:r w:rsidR="00053EDC" w:rsidRPr="00722DF4">
        <w:rPr>
          <w:rFonts w:ascii="Arial" w:hAnsi="Arial" w:cs="Arial"/>
          <w:sz w:val="24"/>
          <w:szCs w:val="24"/>
        </w:rPr>
        <w:t>ona</w:t>
      </w:r>
      <w:r w:rsidRPr="00722DF4">
        <w:rPr>
          <w:rFonts w:ascii="Arial" w:hAnsi="Arial" w:cs="Arial"/>
          <w:sz w:val="24"/>
          <w:szCs w:val="24"/>
        </w:rPr>
        <w:t>. U slučaju zadržavanja istog kapaciteta proizvodnje u narednom periodu, što u prvom redu zavisi od tržišnih uslova odnosno cijene koncentrata i metala, preostale geološke rezerve ležišta Šuplja stijena će iznositi oko 7.5 miliona tona.</w:t>
      </w:r>
    </w:p>
    <w:p w:rsidR="00AE60FB" w:rsidRPr="00C21B56" w:rsidRDefault="00AE60FB" w:rsidP="00C21B56">
      <w:pPr>
        <w:tabs>
          <w:tab w:val="left" w:pos="630"/>
        </w:tabs>
        <w:spacing w:after="0" w:line="240" w:lineRule="auto"/>
        <w:jc w:val="both"/>
        <w:rPr>
          <w:rFonts w:ascii="Arial" w:hAnsi="Arial" w:cs="Arial"/>
          <w:b/>
        </w:rPr>
      </w:pPr>
    </w:p>
    <w:p w:rsidR="00AE60FB" w:rsidRPr="00C21B56" w:rsidRDefault="00AE60FB" w:rsidP="00C21B56">
      <w:pPr>
        <w:tabs>
          <w:tab w:val="left" w:pos="630"/>
        </w:tabs>
        <w:spacing w:after="0" w:line="240" w:lineRule="auto"/>
        <w:jc w:val="both"/>
        <w:rPr>
          <w:rFonts w:ascii="Arial" w:hAnsi="Arial" w:cs="Arial"/>
        </w:rPr>
      </w:pPr>
      <w:r w:rsidRPr="00C21B56">
        <w:rPr>
          <w:rFonts w:ascii="Arial" w:hAnsi="Arial" w:cs="Arial"/>
          <w:b/>
        </w:rPr>
        <w:t xml:space="preserve">Tabela </w:t>
      </w:r>
      <w:r w:rsidR="001A6083" w:rsidRPr="00C21B56">
        <w:rPr>
          <w:rFonts w:ascii="Arial" w:hAnsi="Arial" w:cs="Arial"/>
          <w:b/>
        </w:rPr>
        <w:t>1</w:t>
      </w:r>
      <w:r w:rsidR="00F145EC">
        <w:rPr>
          <w:rFonts w:ascii="Arial" w:hAnsi="Arial" w:cs="Arial"/>
          <w:b/>
        </w:rPr>
        <w:t>.5</w:t>
      </w:r>
      <w:r w:rsidR="000E0093" w:rsidRPr="00C21B56">
        <w:rPr>
          <w:rFonts w:ascii="Arial" w:hAnsi="Arial" w:cs="Arial"/>
          <w:b/>
        </w:rPr>
        <w:t xml:space="preserve">. </w:t>
      </w:r>
      <w:r w:rsidRPr="00C21B56">
        <w:rPr>
          <w:rFonts w:ascii="Arial" w:hAnsi="Arial" w:cs="Arial"/>
        </w:rPr>
        <w:t>Prikaz predloga eksploatacije rude olova i cinka za period 2019-202</w:t>
      </w:r>
      <w:r w:rsidR="000E0093" w:rsidRPr="00C21B56">
        <w:rPr>
          <w:rFonts w:ascii="Arial" w:hAnsi="Arial" w:cs="Arial"/>
        </w:rPr>
        <w:t>8</w:t>
      </w:r>
      <w:r w:rsidR="00C21B56">
        <w:rPr>
          <w:rFonts w:ascii="Arial" w:hAnsi="Arial" w:cs="Arial"/>
        </w:rPr>
        <w:t>, r</w:t>
      </w:r>
      <w:r w:rsidRPr="00C21B56">
        <w:rPr>
          <w:rFonts w:ascii="Arial" w:hAnsi="Arial" w:cs="Arial"/>
        </w:rPr>
        <w:t xml:space="preserve">udnik „Šuplja Stijena“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1"/>
        <w:gridCol w:w="1282"/>
        <w:gridCol w:w="1429"/>
        <w:gridCol w:w="1568"/>
        <w:gridCol w:w="1462"/>
        <w:gridCol w:w="606"/>
        <w:gridCol w:w="606"/>
        <w:gridCol w:w="894"/>
      </w:tblGrid>
      <w:tr w:rsidR="00AE60FB" w:rsidRPr="00C14311" w:rsidTr="00C11AC4">
        <w:trPr>
          <w:trHeight w:val="283"/>
          <w:jc w:val="center"/>
        </w:trPr>
        <w:tc>
          <w:tcPr>
            <w:tcW w:w="882" w:type="pct"/>
            <w:vMerge w:val="restart"/>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Ležište</w:t>
            </w:r>
          </w:p>
        </w:tc>
        <w:tc>
          <w:tcPr>
            <w:tcW w:w="673" w:type="pct"/>
            <w:vMerge w:val="restart"/>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Kategorija rezervi</w:t>
            </w:r>
          </w:p>
          <w:p w:rsidR="00AE60FB" w:rsidRPr="00C14311" w:rsidRDefault="00AE60FB" w:rsidP="00C11AC4">
            <w:pPr>
              <w:spacing w:after="0" w:line="240" w:lineRule="auto"/>
              <w:jc w:val="center"/>
              <w:rPr>
                <w:rFonts w:ascii="Arial" w:hAnsi="Arial" w:cs="Arial"/>
                <w:b/>
                <w:bCs/>
                <w:sz w:val="18"/>
                <w:szCs w:val="18"/>
              </w:rPr>
            </w:pPr>
          </w:p>
        </w:tc>
        <w:tc>
          <w:tcPr>
            <w:tcW w:w="750" w:type="pct"/>
            <w:vMerge w:val="restart"/>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Rezerve rude, 2018. (t)</w:t>
            </w:r>
          </w:p>
        </w:tc>
        <w:tc>
          <w:tcPr>
            <w:tcW w:w="823" w:type="pct"/>
            <w:vMerge w:val="restart"/>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Predlog eksploatacije</w:t>
            </w:r>
          </w:p>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2019-2029.</w:t>
            </w:r>
            <w:r w:rsidR="00DA1AAF" w:rsidRPr="00C14311">
              <w:rPr>
                <w:rFonts w:ascii="Arial" w:hAnsi="Arial" w:cs="Arial"/>
                <w:b/>
                <w:bCs/>
                <w:sz w:val="18"/>
                <w:szCs w:val="18"/>
              </w:rPr>
              <w:t xml:space="preserve"> (t)</w:t>
            </w:r>
          </w:p>
        </w:tc>
        <w:tc>
          <w:tcPr>
            <w:tcW w:w="767" w:type="pct"/>
            <w:vMerge w:val="restart"/>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Preostale rezerve</w:t>
            </w:r>
          </w:p>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stanje 2029.</w:t>
            </w:r>
          </w:p>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(uslovno)</w:t>
            </w:r>
            <w:r w:rsidR="00DA1AAF" w:rsidRPr="00C14311">
              <w:rPr>
                <w:rFonts w:ascii="Arial" w:hAnsi="Arial" w:cs="Arial"/>
                <w:b/>
                <w:bCs/>
                <w:sz w:val="18"/>
                <w:szCs w:val="18"/>
              </w:rPr>
              <w:t xml:space="preserve"> (t)</w:t>
            </w:r>
          </w:p>
        </w:tc>
        <w:tc>
          <w:tcPr>
            <w:tcW w:w="1105" w:type="pct"/>
            <w:gridSpan w:val="3"/>
            <w:vAlign w:val="center"/>
          </w:tcPr>
          <w:p w:rsidR="00AE60FB" w:rsidRPr="00C14311" w:rsidRDefault="00AE60FB" w:rsidP="00C11AC4">
            <w:pPr>
              <w:spacing w:after="0" w:line="240" w:lineRule="auto"/>
              <w:jc w:val="center"/>
              <w:rPr>
                <w:rFonts w:ascii="Arial" w:hAnsi="Arial" w:cs="Arial"/>
                <w:b/>
                <w:bCs/>
                <w:i/>
                <w:sz w:val="18"/>
                <w:szCs w:val="18"/>
              </w:rPr>
            </w:pPr>
            <w:r w:rsidRPr="00C14311">
              <w:rPr>
                <w:rFonts w:ascii="Arial" w:hAnsi="Arial" w:cs="Arial"/>
                <w:b/>
                <w:bCs/>
                <w:i/>
                <w:sz w:val="18"/>
                <w:szCs w:val="18"/>
              </w:rPr>
              <w:t>Sadržaj metala (uslovno)</w:t>
            </w:r>
          </w:p>
        </w:tc>
      </w:tr>
      <w:tr w:rsidR="00AE60FB" w:rsidRPr="00C14311" w:rsidTr="00C11AC4">
        <w:trPr>
          <w:trHeight w:val="283"/>
          <w:jc w:val="center"/>
        </w:trPr>
        <w:tc>
          <w:tcPr>
            <w:tcW w:w="882" w:type="pct"/>
            <w:vMerge/>
            <w:vAlign w:val="center"/>
          </w:tcPr>
          <w:p w:rsidR="00AE60FB" w:rsidRPr="00C14311" w:rsidRDefault="00AE60FB" w:rsidP="00C11AC4">
            <w:pPr>
              <w:spacing w:after="0" w:line="240" w:lineRule="auto"/>
              <w:jc w:val="center"/>
              <w:rPr>
                <w:rFonts w:ascii="Arial" w:hAnsi="Arial" w:cs="Arial"/>
                <w:b/>
                <w:bCs/>
                <w:sz w:val="18"/>
                <w:szCs w:val="18"/>
              </w:rPr>
            </w:pPr>
          </w:p>
        </w:tc>
        <w:tc>
          <w:tcPr>
            <w:tcW w:w="673" w:type="pct"/>
            <w:vMerge/>
            <w:vAlign w:val="center"/>
          </w:tcPr>
          <w:p w:rsidR="00AE60FB" w:rsidRPr="00C14311" w:rsidRDefault="00AE60FB" w:rsidP="00C11AC4">
            <w:pPr>
              <w:spacing w:after="0" w:line="240" w:lineRule="auto"/>
              <w:jc w:val="center"/>
              <w:rPr>
                <w:rFonts w:ascii="Arial" w:hAnsi="Arial" w:cs="Arial"/>
                <w:b/>
                <w:bCs/>
                <w:sz w:val="18"/>
                <w:szCs w:val="18"/>
              </w:rPr>
            </w:pPr>
          </w:p>
        </w:tc>
        <w:tc>
          <w:tcPr>
            <w:tcW w:w="750" w:type="pct"/>
            <w:vMerge/>
            <w:vAlign w:val="center"/>
          </w:tcPr>
          <w:p w:rsidR="00AE60FB" w:rsidRPr="00C14311" w:rsidRDefault="00AE60FB" w:rsidP="00C11AC4">
            <w:pPr>
              <w:spacing w:after="0" w:line="240" w:lineRule="auto"/>
              <w:jc w:val="center"/>
              <w:rPr>
                <w:rFonts w:ascii="Arial" w:hAnsi="Arial" w:cs="Arial"/>
                <w:b/>
                <w:bCs/>
                <w:sz w:val="18"/>
                <w:szCs w:val="18"/>
              </w:rPr>
            </w:pPr>
          </w:p>
        </w:tc>
        <w:tc>
          <w:tcPr>
            <w:tcW w:w="823" w:type="pct"/>
            <w:vMerge/>
            <w:vAlign w:val="center"/>
          </w:tcPr>
          <w:p w:rsidR="00AE60FB" w:rsidRPr="00C14311" w:rsidRDefault="00AE60FB" w:rsidP="00C11AC4">
            <w:pPr>
              <w:spacing w:after="0" w:line="240" w:lineRule="auto"/>
              <w:jc w:val="center"/>
              <w:rPr>
                <w:rFonts w:ascii="Arial" w:hAnsi="Arial" w:cs="Arial"/>
                <w:b/>
                <w:bCs/>
                <w:sz w:val="18"/>
                <w:szCs w:val="18"/>
              </w:rPr>
            </w:pPr>
          </w:p>
        </w:tc>
        <w:tc>
          <w:tcPr>
            <w:tcW w:w="767" w:type="pct"/>
            <w:vMerge/>
            <w:vAlign w:val="center"/>
          </w:tcPr>
          <w:p w:rsidR="00AE60FB" w:rsidRPr="00C14311" w:rsidRDefault="00AE60FB" w:rsidP="00C11AC4">
            <w:pPr>
              <w:spacing w:after="0" w:line="240" w:lineRule="auto"/>
              <w:jc w:val="center"/>
              <w:rPr>
                <w:rFonts w:ascii="Arial" w:hAnsi="Arial" w:cs="Arial"/>
                <w:b/>
                <w:bCs/>
                <w:sz w:val="18"/>
                <w:szCs w:val="18"/>
              </w:rPr>
            </w:pPr>
          </w:p>
        </w:tc>
        <w:tc>
          <w:tcPr>
            <w:tcW w:w="318" w:type="pct"/>
            <w:vAlign w:val="center"/>
          </w:tcPr>
          <w:p w:rsidR="00AE60FB" w:rsidRPr="00C14311" w:rsidRDefault="00AE60FB" w:rsidP="00C11AC4">
            <w:pPr>
              <w:spacing w:after="0" w:line="240" w:lineRule="auto"/>
              <w:jc w:val="center"/>
              <w:rPr>
                <w:rFonts w:ascii="Arial" w:hAnsi="Arial" w:cs="Arial"/>
                <w:b/>
                <w:bCs/>
                <w:i/>
                <w:sz w:val="18"/>
                <w:szCs w:val="18"/>
              </w:rPr>
            </w:pPr>
            <w:r w:rsidRPr="00C14311">
              <w:rPr>
                <w:rFonts w:ascii="Arial" w:hAnsi="Arial" w:cs="Arial"/>
                <w:b/>
                <w:bCs/>
                <w:i/>
                <w:sz w:val="18"/>
                <w:szCs w:val="18"/>
              </w:rPr>
              <w:t>Pb (%)</w:t>
            </w:r>
          </w:p>
        </w:tc>
        <w:tc>
          <w:tcPr>
            <w:tcW w:w="318" w:type="pct"/>
            <w:vAlign w:val="center"/>
          </w:tcPr>
          <w:p w:rsidR="00AE60FB" w:rsidRPr="00C14311" w:rsidRDefault="00AE60FB" w:rsidP="00C11AC4">
            <w:pPr>
              <w:spacing w:after="0" w:line="240" w:lineRule="auto"/>
              <w:jc w:val="center"/>
              <w:rPr>
                <w:rFonts w:ascii="Arial" w:hAnsi="Arial" w:cs="Arial"/>
                <w:b/>
                <w:bCs/>
                <w:i/>
                <w:sz w:val="18"/>
                <w:szCs w:val="18"/>
              </w:rPr>
            </w:pPr>
            <w:r w:rsidRPr="00C14311">
              <w:rPr>
                <w:rFonts w:ascii="Arial" w:hAnsi="Arial" w:cs="Arial"/>
                <w:b/>
                <w:bCs/>
                <w:i/>
                <w:sz w:val="18"/>
                <w:szCs w:val="18"/>
              </w:rPr>
              <w:t>Zn (%)</w:t>
            </w:r>
          </w:p>
        </w:tc>
        <w:tc>
          <w:tcPr>
            <w:tcW w:w="469" w:type="pct"/>
            <w:vAlign w:val="center"/>
          </w:tcPr>
          <w:p w:rsidR="00AE60FB" w:rsidRPr="00C14311" w:rsidRDefault="00AE60FB" w:rsidP="00C11AC4">
            <w:pPr>
              <w:spacing w:after="0" w:line="240" w:lineRule="auto"/>
              <w:jc w:val="center"/>
              <w:rPr>
                <w:rFonts w:ascii="Arial" w:hAnsi="Arial" w:cs="Arial"/>
                <w:b/>
                <w:bCs/>
                <w:i/>
                <w:sz w:val="18"/>
                <w:szCs w:val="18"/>
              </w:rPr>
            </w:pPr>
            <w:r w:rsidRPr="00C14311">
              <w:rPr>
                <w:rFonts w:ascii="Arial" w:hAnsi="Arial" w:cs="Arial"/>
                <w:b/>
                <w:bCs/>
                <w:i/>
                <w:sz w:val="18"/>
                <w:szCs w:val="18"/>
              </w:rPr>
              <w:t>Ag (g/t)</w:t>
            </w:r>
          </w:p>
        </w:tc>
      </w:tr>
      <w:tr w:rsidR="00AE60FB" w:rsidRPr="00C14311" w:rsidTr="00C11AC4">
        <w:trPr>
          <w:trHeight w:val="283"/>
          <w:jc w:val="center"/>
        </w:trPr>
        <w:tc>
          <w:tcPr>
            <w:tcW w:w="882" w:type="pct"/>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Istočna stuktura</w:t>
            </w:r>
          </w:p>
        </w:tc>
        <w:tc>
          <w:tcPr>
            <w:tcW w:w="673" w:type="pct"/>
            <w:vAlign w:val="center"/>
          </w:tcPr>
          <w:p w:rsidR="00AE60FB" w:rsidRPr="00C14311" w:rsidRDefault="00AE60FB" w:rsidP="00C11AC4">
            <w:pPr>
              <w:spacing w:after="0" w:line="240" w:lineRule="auto"/>
              <w:jc w:val="center"/>
              <w:rPr>
                <w:rFonts w:ascii="Arial" w:hAnsi="Arial" w:cs="Arial"/>
                <w:sz w:val="18"/>
                <w:szCs w:val="18"/>
              </w:rPr>
            </w:pPr>
            <w:r w:rsidRPr="00C14311">
              <w:rPr>
                <w:rFonts w:ascii="Arial" w:hAnsi="Arial" w:cs="Arial"/>
                <w:bCs/>
                <w:sz w:val="18"/>
                <w:szCs w:val="18"/>
              </w:rPr>
              <w:t>B+C</w:t>
            </w:r>
            <w:r w:rsidRPr="00C14311">
              <w:rPr>
                <w:rFonts w:ascii="Arial" w:hAnsi="Arial" w:cs="Arial"/>
                <w:bCs/>
                <w:sz w:val="18"/>
                <w:szCs w:val="18"/>
                <w:vertAlign w:val="subscript"/>
              </w:rPr>
              <w:t>1</w:t>
            </w:r>
          </w:p>
        </w:tc>
        <w:tc>
          <w:tcPr>
            <w:tcW w:w="750" w:type="pct"/>
            <w:vAlign w:val="center"/>
          </w:tcPr>
          <w:p w:rsidR="00AE60FB" w:rsidRPr="00C14311" w:rsidRDefault="00AE60FB" w:rsidP="00C11AC4">
            <w:pPr>
              <w:pStyle w:val="ListParagraph"/>
              <w:spacing w:after="0" w:line="240" w:lineRule="auto"/>
              <w:ind w:left="0"/>
              <w:jc w:val="right"/>
              <w:rPr>
                <w:rFonts w:ascii="Arial" w:hAnsi="Arial" w:cs="Arial"/>
                <w:sz w:val="18"/>
                <w:szCs w:val="18"/>
              </w:rPr>
            </w:pPr>
            <w:r w:rsidRPr="00C14311">
              <w:rPr>
                <w:rFonts w:ascii="Arial" w:hAnsi="Arial" w:cs="Arial"/>
                <w:sz w:val="18"/>
                <w:szCs w:val="18"/>
              </w:rPr>
              <w:t>4.898.494</w:t>
            </w:r>
          </w:p>
        </w:tc>
        <w:tc>
          <w:tcPr>
            <w:tcW w:w="823" w:type="pct"/>
            <w:vAlign w:val="center"/>
          </w:tcPr>
          <w:p w:rsidR="00AE60FB" w:rsidRPr="00C14311" w:rsidRDefault="00AE60FB" w:rsidP="00C11AC4">
            <w:pPr>
              <w:tabs>
                <w:tab w:val="left" w:pos="2835"/>
              </w:tabs>
              <w:spacing w:after="0" w:line="240" w:lineRule="auto"/>
              <w:jc w:val="center"/>
              <w:rPr>
                <w:rFonts w:ascii="Arial" w:hAnsi="Arial" w:cs="Arial"/>
                <w:sz w:val="18"/>
                <w:szCs w:val="18"/>
              </w:rPr>
            </w:pPr>
          </w:p>
        </w:tc>
        <w:tc>
          <w:tcPr>
            <w:tcW w:w="767" w:type="pct"/>
            <w:vAlign w:val="center"/>
          </w:tcPr>
          <w:p w:rsidR="00AE60FB" w:rsidRPr="00C14311" w:rsidRDefault="00AE60FB" w:rsidP="00C11AC4">
            <w:pPr>
              <w:tabs>
                <w:tab w:val="left" w:pos="2835"/>
              </w:tabs>
              <w:spacing w:after="0" w:line="240" w:lineRule="auto"/>
              <w:jc w:val="center"/>
              <w:rPr>
                <w:rFonts w:ascii="Arial" w:hAnsi="Arial" w:cs="Arial"/>
                <w:sz w:val="18"/>
                <w:szCs w:val="18"/>
              </w:rPr>
            </w:pPr>
          </w:p>
        </w:tc>
        <w:tc>
          <w:tcPr>
            <w:tcW w:w="318" w:type="pct"/>
            <w:vAlign w:val="center"/>
          </w:tcPr>
          <w:p w:rsidR="00AE60FB" w:rsidRPr="00C14311" w:rsidRDefault="00AE60FB" w:rsidP="00C11AC4">
            <w:pPr>
              <w:tabs>
                <w:tab w:val="left" w:pos="2835"/>
              </w:tabs>
              <w:spacing w:after="0" w:line="240" w:lineRule="auto"/>
              <w:jc w:val="center"/>
              <w:rPr>
                <w:rFonts w:ascii="Arial" w:hAnsi="Arial" w:cs="Arial"/>
                <w:i/>
                <w:sz w:val="18"/>
                <w:szCs w:val="18"/>
              </w:rPr>
            </w:pPr>
            <w:r w:rsidRPr="00C14311">
              <w:rPr>
                <w:rFonts w:ascii="Arial" w:hAnsi="Arial" w:cs="Arial"/>
                <w:i/>
                <w:sz w:val="18"/>
                <w:szCs w:val="18"/>
              </w:rPr>
              <w:t>0,38</w:t>
            </w:r>
          </w:p>
        </w:tc>
        <w:tc>
          <w:tcPr>
            <w:tcW w:w="318" w:type="pct"/>
            <w:vAlign w:val="center"/>
          </w:tcPr>
          <w:p w:rsidR="00AE60FB" w:rsidRPr="00C14311" w:rsidRDefault="00AE60FB" w:rsidP="00C11AC4">
            <w:pPr>
              <w:tabs>
                <w:tab w:val="left" w:pos="2835"/>
              </w:tabs>
              <w:spacing w:after="0" w:line="240" w:lineRule="auto"/>
              <w:jc w:val="center"/>
              <w:rPr>
                <w:rFonts w:ascii="Arial" w:hAnsi="Arial" w:cs="Arial"/>
                <w:i/>
                <w:sz w:val="18"/>
                <w:szCs w:val="18"/>
              </w:rPr>
            </w:pPr>
            <w:r w:rsidRPr="00C14311">
              <w:rPr>
                <w:rFonts w:ascii="Arial" w:hAnsi="Arial" w:cs="Arial"/>
                <w:i/>
                <w:sz w:val="18"/>
                <w:szCs w:val="18"/>
              </w:rPr>
              <w:t>1,65</w:t>
            </w:r>
          </w:p>
        </w:tc>
        <w:tc>
          <w:tcPr>
            <w:tcW w:w="469" w:type="pct"/>
            <w:vAlign w:val="center"/>
          </w:tcPr>
          <w:p w:rsidR="00AE60FB" w:rsidRPr="00C14311" w:rsidRDefault="00AE60FB" w:rsidP="00C11AC4">
            <w:pPr>
              <w:tabs>
                <w:tab w:val="left" w:pos="2835"/>
              </w:tabs>
              <w:spacing w:after="0" w:line="240" w:lineRule="auto"/>
              <w:jc w:val="center"/>
              <w:rPr>
                <w:rFonts w:ascii="Arial" w:hAnsi="Arial" w:cs="Arial"/>
                <w:i/>
                <w:sz w:val="18"/>
                <w:szCs w:val="18"/>
              </w:rPr>
            </w:pPr>
            <w:r w:rsidRPr="00C14311">
              <w:rPr>
                <w:rFonts w:ascii="Arial" w:hAnsi="Arial" w:cs="Arial"/>
                <w:i/>
                <w:sz w:val="18"/>
                <w:szCs w:val="18"/>
              </w:rPr>
              <w:t>16,15</w:t>
            </w:r>
          </w:p>
        </w:tc>
      </w:tr>
      <w:tr w:rsidR="00AE60FB" w:rsidRPr="00C14311" w:rsidTr="00C11AC4">
        <w:trPr>
          <w:trHeight w:val="283"/>
          <w:jc w:val="center"/>
        </w:trPr>
        <w:tc>
          <w:tcPr>
            <w:tcW w:w="882" w:type="pct"/>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Stara jama</w:t>
            </w:r>
          </w:p>
        </w:tc>
        <w:tc>
          <w:tcPr>
            <w:tcW w:w="673" w:type="pct"/>
            <w:vAlign w:val="center"/>
          </w:tcPr>
          <w:p w:rsidR="00AE60FB" w:rsidRPr="00C14311" w:rsidRDefault="00AE60FB" w:rsidP="00C11AC4">
            <w:pPr>
              <w:spacing w:after="0" w:line="240" w:lineRule="auto"/>
              <w:jc w:val="center"/>
              <w:rPr>
                <w:rFonts w:ascii="Arial" w:hAnsi="Arial" w:cs="Arial"/>
                <w:sz w:val="18"/>
                <w:szCs w:val="18"/>
              </w:rPr>
            </w:pPr>
            <w:r w:rsidRPr="00C14311">
              <w:rPr>
                <w:rFonts w:ascii="Arial" w:hAnsi="Arial" w:cs="Arial"/>
                <w:bCs/>
                <w:sz w:val="18"/>
                <w:szCs w:val="18"/>
              </w:rPr>
              <w:t>B+C</w:t>
            </w:r>
            <w:r w:rsidRPr="00C14311">
              <w:rPr>
                <w:rFonts w:ascii="Arial" w:hAnsi="Arial" w:cs="Arial"/>
                <w:bCs/>
                <w:sz w:val="18"/>
                <w:szCs w:val="18"/>
                <w:vertAlign w:val="subscript"/>
              </w:rPr>
              <w:t>1</w:t>
            </w:r>
          </w:p>
        </w:tc>
        <w:tc>
          <w:tcPr>
            <w:tcW w:w="750" w:type="pct"/>
            <w:vAlign w:val="center"/>
          </w:tcPr>
          <w:p w:rsidR="00AE60FB" w:rsidRPr="00C14311" w:rsidRDefault="00AE60FB" w:rsidP="00C11AC4">
            <w:pPr>
              <w:pStyle w:val="ListParagraph"/>
              <w:spacing w:after="0" w:line="240" w:lineRule="auto"/>
              <w:ind w:left="0"/>
              <w:jc w:val="right"/>
              <w:rPr>
                <w:rFonts w:ascii="Arial" w:hAnsi="Arial" w:cs="Arial"/>
                <w:sz w:val="18"/>
                <w:szCs w:val="18"/>
              </w:rPr>
            </w:pPr>
            <w:r w:rsidRPr="00C14311">
              <w:rPr>
                <w:rFonts w:ascii="Arial" w:hAnsi="Arial" w:cs="Arial"/>
                <w:sz w:val="18"/>
                <w:szCs w:val="18"/>
              </w:rPr>
              <w:t>4.083.369</w:t>
            </w:r>
          </w:p>
        </w:tc>
        <w:tc>
          <w:tcPr>
            <w:tcW w:w="823" w:type="pct"/>
            <w:vAlign w:val="center"/>
          </w:tcPr>
          <w:p w:rsidR="00AE60FB" w:rsidRPr="00C14311" w:rsidRDefault="00AE60FB" w:rsidP="00C11AC4">
            <w:pPr>
              <w:spacing w:after="0" w:line="240" w:lineRule="auto"/>
              <w:jc w:val="center"/>
              <w:rPr>
                <w:rFonts w:ascii="Arial" w:hAnsi="Arial" w:cs="Arial"/>
                <w:sz w:val="18"/>
                <w:szCs w:val="18"/>
              </w:rPr>
            </w:pPr>
          </w:p>
        </w:tc>
        <w:tc>
          <w:tcPr>
            <w:tcW w:w="767" w:type="pct"/>
            <w:vAlign w:val="center"/>
          </w:tcPr>
          <w:p w:rsidR="00AE60FB" w:rsidRPr="00C14311" w:rsidRDefault="00AE60FB" w:rsidP="00C11AC4">
            <w:pPr>
              <w:spacing w:after="0" w:line="240" w:lineRule="auto"/>
              <w:jc w:val="center"/>
              <w:rPr>
                <w:rFonts w:ascii="Arial" w:hAnsi="Arial" w:cs="Arial"/>
                <w:sz w:val="18"/>
                <w:szCs w:val="18"/>
              </w:rPr>
            </w:pPr>
          </w:p>
        </w:tc>
        <w:tc>
          <w:tcPr>
            <w:tcW w:w="318" w:type="pct"/>
            <w:vAlign w:val="center"/>
          </w:tcPr>
          <w:p w:rsidR="00AE60FB" w:rsidRPr="00C14311" w:rsidRDefault="00AE60FB" w:rsidP="00C11AC4">
            <w:pPr>
              <w:spacing w:after="0" w:line="240" w:lineRule="auto"/>
              <w:jc w:val="center"/>
              <w:rPr>
                <w:rFonts w:ascii="Arial" w:hAnsi="Arial" w:cs="Arial"/>
                <w:i/>
                <w:sz w:val="18"/>
                <w:szCs w:val="18"/>
              </w:rPr>
            </w:pPr>
            <w:r w:rsidRPr="00C14311">
              <w:rPr>
                <w:rFonts w:ascii="Arial" w:hAnsi="Arial" w:cs="Arial"/>
                <w:i/>
                <w:sz w:val="18"/>
                <w:szCs w:val="18"/>
              </w:rPr>
              <w:t>2,60</w:t>
            </w:r>
          </w:p>
        </w:tc>
        <w:tc>
          <w:tcPr>
            <w:tcW w:w="318" w:type="pct"/>
            <w:vAlign w:val="center"/>
          </w:tcPr>
          <w:p w:rsidR="00AE60FB" w:rsidRPr="00C14311" w:rsidRDefault="00AE60FB" w:rsidP="00C11AC4">
            <w:pPr>
              <w:spacing w:after="0" w:line="240" w:lineRule="auto"/>
              <w:jc w:val="center"/>
              <w:rPr>
                <w:rFonts w:ascii="Arial" w:hAnsi="Arial" w:cs="Arial"/>
                <w:i/>
                <w:sz w:val="18"/>
                <w:szCs w:val="18"/>
              </w:rPr>
            </w:pPr>
            <w:r w:rsidRPr="00C14311">
              <w:rPr>
                <w:rFonts w:ascii="Arial" w:hAnsi="Arial" w:cs="Arial"/>
                <w:i/>
                <w:sz w:val="18"/>
                <w:szCs w:val="18"/>
              </w:rPr>
              <w:t>1,50</w:t>
            </w:r>
          </w:p>
        </w:tc>
        <w:tc>
          <w:tcPr>
            <w:tcW w:w="469" w:type="pct"/>
            <w:vAlign w:val="center"/>
          </w:tcPr>
          <w:p w:rsidR="00AE60FB" w:rsidRPr="00C14311" w:rsidRDefault="00AE60FB" w:rsidP="00C11AC4">
            <w:pPr>
              <w:spacing w:after="0" w:line="240" w:lineRule="auto"/>
              <w:jc w:val="center"/>
              <w:rPr>
                <w:rFonts w:ascii="Arial" w:hAnsi="Arial" w:cs="Arial"/>
                <w:i/>
                <w:sz w:val="18"/>
                <w:szCs w:val="18"/>
              </w:rPr>
            </w:pPr>
            <w:r w:rsidRPr="00C14311">
              <w:rPr>
                <w:rFonts w:ascii="Arial" w:hAnsi="Arial" w:cs="Arial"/>
                <w:i/>
                <w:sz w:val="18"/>
                <w:szCs w:val="18"/>
              </w:rPr>
              <w:t>16,44</w:t>
            </w:r>
          </w:p>
        </w:tc>
      </w:tr>
      <w:tr w:rsidR="00AE60FB" w:rsidRPr="00C14311" w:rsidTr="00C11AC4">
        <w:trPr>
          <w:trHeight w:val="283"/>
          <w:jc w:val="center"/>
        </w:trPr>
        <w:tc>
          <w:tcPr>
            <w:tcW w:w="882" w:type="pct"/>
            <w:tcBorders>
              <w:bottom w:val="double" w:sz="4" w:space="0" w:color="auto"/>
            </w:tcBorders>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Zapadna struktura</w:t>
            </w:r>
          </w:p>
        </w:tc>
        <w:tc>
          <w:tcPr>
            <w:tcW w:w="673" w:type="pct"/>
            <w:tcBorders>
              <w:bottom w:val="double" w:sz="4" w:space="0" w:color="auto"/>
            </w:tcBorders>
            <w:vAlign w:val="center"/>
          </w:tcPr>
          <w:p w:rsidR="00AE60FB" w:rsidRPr="00C14311" w:rsidRDefault="00AE60FB" w:rsidP="00C11AC4">
            <w:pPr>
              <w:spacing w:after="0" w:line="240" w:lineRule="auto"/>
              <w:jc w:val="center"/>
              <w:rPr>
                <w:rFonts w:ascii="Arial" w:hAnsi="Arial" w:cs="Arial"/>
                <w:sz w:val="18"/>
                <w:szCs w:val="18"/>
              </w:rPr>
            </w:pPr>
            <w:r w:rsidRPr="00C14311">
              <w:rPr>
                <w:rFonts w:ascii="Arial" w:hAnsi="Arial" w:cs="Arial"/>
                <w:bCs/>
                <w:sz w:val="18"/>
                <w:szCs w:val="18"/>
              </w:rPr>
              <w:t>B+C</w:t>
            </w:r>
            <w:r w:rsidRPr="00C14311">
              <w:rPr>
                <w:rFonts w:ascii="Arial" w:hAnsi="Arial" w:cs="Arial"/>
                <w:bCs/>
                <w:sz w:val="18"/>
                <w:szCs w:val="18"/>
                <w:vertAlign w:val="subscript"/>
              </w:rPr>
              <w:t>1</w:t>
            </w:r>
          </w:p>
        </w:tc>
        <w:tc>
          <w:tcPr>
            <w:tcW w:w="750" w:type="pct"/>
            <w:tcBorders>
              <w:bottom w:val="double" w:sz="4" w:space="0" w:color="auto"/>
            </w:tcBorders>
            <w:vAlign w:val="center"/>
          </w:tcPr>
          <w:p w:rsidR="00AE60FB" w:rsidRPr="00C14311" w:rsidRDefault="00AE60FB" w:rsidP="00C11AC4">
            <w:pPr>
              <w:pStyle w:val="ListParagraph"/>
              <w:spacing w:after="0" w:line="240" w:lineRule="auto"/>
              <w:ind w:left="0"/>
              <w:jc w:val="right"/>
              <w:rPr>
                <w:rFonts w:ascii="Arial" w:hAnsi="Arial" w:cs="Arial"/>
                <w:sz w:val="18"/>
                <w:szCs w:val="18"/>
              </w:rPr>
            </w:pPr>
            <w:r w:rsidRPr="00C14311">
              <w:rPr>
                <w:rFonts w:ascii="Arial" w:hAnsi="Arial" w:cs="Arial"/>
                <w:sz w:val="18"/>
                <w:szCs w:val="18"/>
              </w:rPr>
              <w:t>3.614.807</w:t>
            </w:r>
          </w:p>
        </w:tc>
        <w:tc>
          <w:tcPr>
            <w:tcW w:w="823" w:type="pct"/>
            <w:tcBorders>
              <w:bottom w:val="double" w:sz="4" w:space="0" w:color="auto"/>
            </w:tcBorders>
            <w:vAlign w:val="center"/>
          </w:tcPr>
          <w:p w:rsidR="00AE60FB" w:rsidRPr="00C14311" w:rsidRDefault="00AE60FB" w:rsidP="00C11AC4">
            <w:pPr>
              <w:spacing w:after="0" w:line="240" w:lineRule="auto"/>
              <w:jc w:val="center"/>
              <w:rPr>
                <w:rFonts w:ascii="Arial" w:hAnsi="Arial" w:cs="Arial"/>
                <w:sz w:val="18"/>
                <w:szCs w:val="18"/>
              </w:rPr>
            </w:pPr>
          </w:p>
        </w:tc>
        <w:tc>
          <w:tcPr>
            <w:tcW w:w="767" w:type="pct"/>
            <w:tcBorders>
              <w:bottom w:val="double" w:sz="4" w:space="0" w:color="auto"/>
            </w:tcBorders>
            <w:vAlign w:val="center"/>
          </w:tcPr>
          <w:p w:rsidR="00AE60FB" w:rsidRPr="00C14311" w:rsidRDefault="00AE60FB" w:rsidP="00C11AC4">
            <w:pPr>
              <w:spacing w:after="0" w:line="240" w:lineRule="auto"/>
              <w:jc w:val="center"/>
              <w:rPr>
                <w:rFonts w:ascii="Arial" w:hAnsi="Arial" w:cs="Arial"/>
                <w:sz w:val="18"/>
                <w:szCs w:val="18"/>
              </w:rPr>
            </w:pPr>
          </w:p>
        </w:tc>
        <w:tc>
          <w:tcPr>
            <w:tcW w:w="318" w:type="pct"/>
            <w:tcBorders>
              <w:bottom w:val="double" w:sz="4" w:space="0" w:color="auto"/>
            </w:tcBorders>
            <w:vAlign w:val="center"/>
          </w:tcPr>
          <w:p w:rsidR="00AE60FB" w:rsidRPr="00C14311" w:rsidRDefault="00AE60FB" w:rsidP="00C11AC4">
            <w:pPr>
              <w:spacing w:after="0" w:line="240" w:lineRule="auto"/>
              <w:jc w:val="center"/>
              <w:rPr>
                <w:rFonts w:ascii="Arial" w:hAnsi="Arial" w:cs="Arial"/>
                <w:i/>
                <w:sz w:val="18"/>
                <w:szCs w:val="18"/>
              </w:rPr>
            </w:pPr>
            <w:r w:rsidRPr="00C14311">
              <w:rPr>
                <w:rFonts w:ascii="Arial" w:hAnsi="Arial" w:cs="Arial"/>
                <w:i/>
                <w:sz w:val="18"/>
                <w:szCs w:val="18"/>
              </w:rPr>
              <w:t>1,55</w:t>
            </w:r>
          </w:p>
        </w:tc>
        <w:tc>
          <w:tcPr>
            <w:tcW w:w="318" w:type="pct"/>
            <w:tcBorders>
              <w:bottom w:val="double" w:sz="4" w:space="0" w:color="auto"/>
            </w:tcBorders>
            <w:vAlign w:val="center"/>
          </w:tcPr>
          <w:p w:rsidR="00AE60FB" w:rsidRPr="00C14311" w:rsidRDefault="00AE60FB" w:rsidP="00C11AC4">
            <w:pPr>
              <w:spacing w:after="0" w:line="240" w:lineRule="auto"/>
              <w:jc w:val="center"/>
              <w:rPr>
                <w:rFonts w:ascii="Arial" w:hAnsi="Arial" w:cs="Arial"/>
                <w:i/>
                <w:sz w:val="18"/>
                <w:szCs w:val="18"/>
              </w:rPr>
            </w:pPr>
            <w:r w:rsidRPr="00C14311">
              <w:rPr>
                <w:rFonts w:ascii="Arial" w:hAnsi="Arial" w:cs="Arial"/>
                <w:i/>
                <w:sz w:val="18"/>
                <w:szCs w:val="18"/>
              </w:rPr>
              <w:t>2,32</w:t>
            </w:r>
          </w:p>
        </w:tc>
        <w:tc>
          <w:tcPr>
            <w:tcW w:w="469" w:type="pct"/>
            <w:tcBorders>
              <w:bottom w:val="double" w:sz="4" w:space="0" w:color="auto"/>
            </w:tcBorders>
            <w:vAlign w:val="center"/>
          </w:tcPr>
          <w:p w:rsidR="00AE60FB" w:rsidRPr="00C14311" w:rsidRDefault="00AE60FB" w:rsidP="00C11AC4">
            <w:pPr>
              <w:spacing w:after="0" w:line="240" w:lineRule="auto"/>
              <w:jc w:val="center"/>
              <w:rPr>
                <w:rFonts w:ascii="Arial" w:hAnsi="Arial" w:cs="Arial"/>
                <w:i/>
                <w:sz w:val="18"/>
                <w:szCs w:val="18"/>
              </w:rPr>
            </w:pPr>
            <w:r w:rsidRPr="00C14311">
              <w:rPr>
                <w:rFonts w:ascii="Arial" w:hAnsi="Arial" w:cs="Arial"/>
                <w:i/>
                <w:sz w:val="18"/>
                <w:szCs w:val="18"/>
              </w:rPr>
              <w:t>16,17</w:t>
            </w:r>
          </w:p>
        </w:tc>
      </w:tr>
      <w:tr w:rsidR="00AE60FB" w:rsidRPr="00C14311" w:rsidTr="00C11AC4">
        <w:trPr>
          <w:trHeight w:val="684"/>
          <w:jc w:val="center"/>
        </w:trPr>
        <w:tc>
          <w:tcPr>
            <w:tcW w:w="882" w:type="pct"/>
            <w:tcBorders>
              <w:top w:val="double" w:sz="4" w:space="0" w:color="auto"/>
            </w:tcBorders>
            <w:vAlign w:val="center"/>
          </w:tcPr>
          <w:p w:rsidR="00AE60FB" w:rsidRPr="00C14311" w:rsidRDefault="00AE60FB" w:rsidP="00C11AC4">
            <w:pPr>
              <w:spacing w:after="0" w:line="240" w:lineRule="auto"/>
              <w:jc w:val="center"/>
              <w:rPr>
                <w:rFonts w:ascii="Arial" w:hAnsi="Arial" w:cs="Arial"/>
                <w:b/>
                <w:bCs/>
                <w:sz w:val="18"/>
                <w:szCs w:val="18"/>
              </w:rPr>
            </w:pPr>
            <w:r w:rsidRPr="00C14311">
              <w:rPr>
                <w:rFonts w:ascii="Arial" w:hAnsi="Arial" w:cs="Arial"/>
                <w:b/>
                <w:bCs/>
                <w:sz w:val="18"/>
                <w:szCs w:val="18"/>
              </w:rPr>
              <w:t>Šuplja stijena ukupno</w:t>
            </w:r>
          </w:p>
        </w:tc>
        <w:tc>
          <w:tcPr>
            <w:tcW w:w="673" w:type="pct"/>
            <w:tcBorders>
              <w:top w:val="double" w:sz="4" w:space="0" w:color="auto"/>
            </w:tcBorders>
            <w:vAlign w:val="center"/>
          </w:tcPr>
          <w:p w:rsidR="00AE60FB" w:rsidRPr="00C14311" w:rsidRDefault="00AE60FB" w:rsidP="00C11AC4">
            <w:pPr>
              <w:spacing w:after="0" w:line="240" w:lineRule="auto"/>
              <w:jc w:val="center"/>
              <w:rPr>
                <w:rFonts w:ascii="Arial" w:hAnsi="Arial" w:cs="Arial"/>
                <w:sz w:val="18"/>
                <w:szCs w:val="18"/>
              </w:rPr>
            </w:pPr>
            <w:r w:rsidRPr="00C14311">
              <w:rPr>
                <w:rFonts w:ascii="Arial" w:hAnsi="Arial" w:cs="Arial"/>
                <w:b/>
                <w:bCs/>
                <w:sz w:val="18"/>
                <w:szCs w:val="18"/>
              </w:rPr>
              <w:t>B+C</w:t>
            </w:r>
            <w:r w:rsidRPr="00C14311">
              <w:rPr>
                <w:rFonts w:ascii="Arial" w:hAnsi="Arial" w:cs="Arial"/>
                <w:b/>
                <w:bCs/>
                <w:sz w:val="18"/>
                <w:szCs w:val="18"/>
                <w:vertAlign w:val="subscript"/>
              </w:rPr>
              <w:t>1</w:t>
            </w:r>
          </w:p>
        </w:tc>
        <w:tc>
          <w:tcPr>
            <w:tcW w:w="750" w:type="pct"/>
            <w:tcBorders>
              <w:top w:val="double" w:sz="4" w:space="0" w:color="auto"/>
            </w:tcBorders>
            <w:vAlign w:val="center"/>
          </w:tcPr>
          <w:p w:rsidR="00AE60FB" w:rsidRPr="00C14311" w:rsidRDefault="00AE60FB" w:rsidP="00C11AC4">
            <w:pPr>
              <w:pStyle w:val="ListParagraph"/>
              <w:spacing w:after="0" w:line="240" w:lineRule="auto"/>
              <w:ind w:left="0"/>
              <w:jc w:val="right"/>
              <w:rPr>
                <w:rFonts w:ascii="Arial" w:hAnsi="Arial" w:cs="Arial"/>
                <w:b/>
                <w:sz w:val="18"/>
                <w:szCs w:val="18"/>
              </w:rPr>
            </w:pPr>
            <w:r w:rsidRPr="00C14311">
              <w:rPr>
                <w:rFonts w:ascii="Arial" w:hAnsi="Arial" w:cs="Arial"/>
                <w:b/>
                <w:sz w:val="18"/>
                <w:szCs w:val="18"/>
              </w:rPr>
              <w:t>12.596.671</w:t>
            </w:r>
          </w:p>
        </w:tc>
        <w:tc>
          <w:tcPr>
            <w:tcW w:w="823" w:type="pct"/>
            <w:tcBorders>
              <w:top w:val="double" w:sz="4" w:space="0" w:color="auto"/>
            </w:tcBorders>
            <w:vAlign w:val="center"/>
          </w:tcPr>
          <w:p w:rsidR="00AE60FB" w:rsidRPr="00C14311" w:rsidRDefault="00AE60FB" w:rsidP="00C11AC4">
            <w:pPr>
              <w:spacing w:after="0" w:line="240" w:lineRule="auto"/>
              <w:jc w:val="center"/>
              <w:rPr>
                <w:rFonts w:ascii="Arial" w:hAnsi="Arial" w:cs="Arial"/>
                <w:b/>
                <w:sz w:val="18"/>
                <w:szCs w:val="18"/>
              </w:rPr>
            </w:pPr>
            <w:r w:rsidRPr="00C14311">
              <w:rPr>
                <w:rFonts w:ascii="Arial" w:hAnsi="Arial" w:cs="Arial"/>
                <w:b/>
                <w:sz w:val="18"/>
                <w:szCs w:val="18"/>
              </w:rPr>
              <w:t>5.100.000</w:t>
            </w:r>
          </w:p>
        </w:tc>
        <w:tc>
          <w:tcPr>
            <w:tcW w:w="767" w:type="pct"/>
            <w:tcBorders>
              <w:top w:val="double" w:sz="4" w:space="0" w:color="auto"/>
            </w:tcBorders>
            <w:vAlign w:val="center"/>
          </w:tcPr>
          <w:p w:rsidR="00AE60FB" w:rsidRPr="00C14311" w:rsidRDefault="00AE60FB" w:rsidP="00C11AC4">
            <w:pPr>
              <w:spacing w:after="0" w:line="240" w:lineRule="auto"/>
              <w:jc w:val="center"/>
              <w:rPr>
                <w:rFonts w:ascii="Arial" w:hAnsi="Arial" w:cs="Arial"/>
                <w:b/>
                <w:sz w:val="18"/>
                <w:szCs w:val="18"/>
              </w:rPr>
            </w:pPr>
            <w:r w:rsidRPr="00C14311">
              <w:rPr>
                <w:rFonts w:ascii="Arial" w:hAnsi="Arial" w:cs="Arial"/>
                <w:b/>
                <w:sz w:val="18"/>
                <w:szCs w:val="18"/>
              </w:rPr>
              <w:t>7.496.671</w:t>
            </w:r>
          </w:p>
        </w:tc>
        <w:tc>
          <w:tcPr>
            <w:tcW w:w="318" w:type="pct"/>
            <w:tcBorders>
              <w:top w:val="double" w:sz="4" w:space="0" w:color="auto"/>
            </w:tcBorders>
            <w:vAlign w:val="center"/>
          </w:tcPr>
          <w:p w:rsidR="00AE60FB" w:rsidRPr="00C14311" w:rsidRDefault="00AE60FB" w:rsidP="00C11AC4">
            <w:pPr>
              <w:spacing w:after="0" w:line="240" w:lineRule="auto"/>
              <w:jc w:val="center"/>
              <w:rPr>
                <w:rFonts w:ascii="Arial" w:hAnsi="Arial" w:cs="Arial"/>
                <w:b/>
                <w:i/>
                <w:sz w:val="18"/>
                <w:szCs w:val="18"/>
              </w:rPr>
            </w:pPr>
            <w:r w:rsidRPr="00C14311">
              <w:rPr>
                <w:rFonts w:ascii="Arial" w:hAnsi="Arial" w:cs="Arial"/>
                <w:b/>
                <w:i/>
                <w:sz w:val="18"/>
                <w:szCs w:val="18"/>
              </w:rPr>
              <w:t>1,43</w:t>
            </w:r>
          </w:p>
        </w:tc>
        <w:tc>
          <w:tcPr>
            <w:tcW w:w="318" w:type="pct"/>
            <w:tcBorders>
              <w:top w:val="double" w:sz="4" w:space="0" w:color="auto"/>
            </w:tcBorders>
            <w:vAlign w:val="center"/>
          </w:tcPr>
          <w:p w:rsidR="00AE60FB" w:rsidRPr="00C14311" w:rsidRDefault="00AE60FB" w:rsidP="00C11AC4">
            <w:pPr>
              <w:spacing w:after="0" w:line="240" w:lineRule="auto"/>
              <w:jc w:val="center"/>
              <w:rPr>
                <w:rFonts w:ascii="Arial" w:hAnsi="Arial" w:cs="Arial"/>
                <w:b/>
                <w:i/>
                <w:sz w:val="18"/>
                <w:szCs w:val="18"/>
              </w:rPr>
            </w:pPr>
            <w:r w:rsidRPr="00C14311">
              <w:rPr>
                <w:rFonts w:ascii="Arial" w:hAnsi="Arial" w:cs="Arial"/>
                <w:b/>
                <w:i/>
                <w:sz w:val="18"/>
                <w:szCs w:val="18"/>
              </w:rPr>
              <w:t>1,79</w:t>
            </w:r>
          </w:p>
        </w:tc>
        <w:tc>
          <w:tcPr>
            <w:tcW w:w="469" w:type="pct"/>
            <w:tcBorders>
              <w:top w:val="double" w:sz="4" w:space="0" w:color="auto"/>
            </w:tcBorders>
            <w:vAlign w:val="center"/>
          </w:tcPr>
          <w:p w:rsidR="00AE60FB" w:rsidRPr="00C14311" w:rsidRDefault="00AE60FB" w:rsidP="00C11AC4">
            <w:pPr>
              <w:spacing w:after="0" w:line="240" w:lineRule="auto"/>
              <w:jc w:val="center"/>
              <w:rPr>
                <w:rFonts w:ascii="Arial" w:hAnsi="Arial" w:cs="Arial"/>
                <w:b/>
                <w:i/>
                <w:sz w:val="18"/>
                <w:szCs w:val="18"/>
              </w:rPr>
            </w:pPr>
            <w:r w:rsidRPr="00C14311">
              <w:rPr>
                <w:rFonts w:ascii="Arial" w:hAnsi="Arial" w:cs="Arial"/>
                <w:b/>
                <w:i/>
                <w:sz w:val="18"/>
                <w:szCs w:val="18"/>
              </w:rPr>
              <w:t>16,25</w:t>
            </w:r>
          </w:p>
        </w:tc>
      </w:tr>
    </w:tbl>
    <w:p w:rsidR="00AE60FB" w:rsidRPr="00C14311" w:rsidRDefault="00AE60FB" w:rsidP="00AE60FB">
      <w:pPr>
        <w:spacing w:after="0" w:line="240" w:lineRule="auto"/>
        <w:jc w:val="both"/>
        <w:rPr>
          <w:rFonts w:ascii="Book Antiqua" w:hAnsi="Book Antiqua"/>
          <w:b/>
          <w:sz w:val="24"/>
          <w:szCs w:val="24"/>
        </w:rPr>
      </w:pPr>
    </w:p>
    <w:p w:rsidR="00C21B56" w:rsidRDefault="00C21B56" w:rsidP="00C21B56">
      <w:pPr>
        <w:tabs>
          <w:tab w:val="left" w:pos="630"/>
        </w:tabs>
        <w:spacing w:after="0" w:line="240" w:lineRule="auto"/>
        <w:rPr>
          <w:rFonts w:ascii="Arial" w:hAnsi="Arial" w:cs="Arial"/>
          <w:b/>
        </w:rPr>
      </w:pPr>
    </w:p>
    <w:p w:rsidR="00FE2F15" w:rsidRDefault="00FE2F15" w:rsidP="00C21B56">
      <w:pPr>
        <w:tabs>
          <w:tab w:val="left" w:pos="630"/>
        </w:tabs>
        <w:spacing w:after="0" w:line="240" w:lineRule="auto"/>
        <w:rPr>
          <w:rFonts w:ascii="Arial" w:hAnsi="Arial" w:cs="Arial"/>
          <w:b/>
        </w:rPr>
      </w:pPr>
    </w:p>
    <w:p w:rsidR="00FE2F15" w:rsidRDefault="00FE2F15" w:rsidP="00C21B56">
      <w:pPr>
        <w:tabs>
          <w:tab w:val="left" w:pos="630"/>
        </w:tabs>
        <w:spacing w:after="0" w:line="240" w:lineRule="auto"/>
        <w:rPr>
          <w:rFonts w:ascii="Arial" w:hAnsi="Arial" w:cs="Arial"/>
          <w:b/>
        </w:rPr>
      </w:pPr>
    </w:p>
    <w:p w:rsidR="00FE2F15" w:rsidRDefault="00FE2F15" w:rsidP="00C21B56">
      <w:pPr>
        <w:tabs>
          <w:tab w:val="left" w:pos="630"/>
        </w:tabs>
        <w:spacing w:after="0" w:line="240" w:lineRule="auto"/>
        <w:rPr>
          <w:rFonts w:ascii="Arial" w:hAnsi="Arial" w:cs="Arial"/>
          <w:b/>
        </w:rPr>
      </w:pPr>
    </w:p>
    <w:p w:rsidR="00FE2F15" w:rsidRDefault="00FE2F15" w:rsidP="00C21B56">
      <w:pPr>
        <w:tabs>
          <w:tab w:val="left" w:pos="630"/>
        </w:tabs>
        <w:spacing w:after="0" w:line="240" w:lineRule="auto"/>
        <w:rPr>
          <w:rFonts w:ascii="Arial" w:hAnsi="Arial" w:cs="Arial"/>
          <w:b/>
        </w:rPr>
      </w:pPr>
    </w:p>
    <w:p w:rsidR="00FE2F15" w:rsidRDefault="00FE2F15" w:rsidP="00C21B56">
      <w:pPr>
        <w:tabs>
          <w:tab w:val="left" w:pos="630"/>
        </w:tabs>
        <w:spacing w:after="0" w:line="240" w:lineRule="auto"/>
        <w:rPr>
          <w:rFonts w:ascii="Arial" w:hAnsi="Arial" w:cs="Arial"/>
          <w:b/>
        </w:rPr>
      </w:pPr>
    </w:p>
    <w:p w:rsidR="00FE2F15" w:rsidRDefault="00FE2F15" w:rsidP="00C21B56">
      <w:pPr>
        <w:tabs>
          <w:tab w:val="left" w:pos="630"/>
        </w:tabs>
        <w:spacing w:after="0" w:line="240" w:lineRule="auto"/>
        <w:rPr>
          <w:rFonts w:ascii="Arial" w:hAnsi="Arial" w:cs="Arial"/>
          <w:b/>
        </w:rPr>
      </w:pPr>
    </w:p>
    <w:p w:rsidR="00AE60FB" w:rsidRPr="00C21B56" w:rsidRDefault="001A6083" w:rsidP="00C21B56">
      <w:pPr>
        <w:tabs>
          <w:tab w:val="left" w:pos="630"/>
        </w:tabs>
        <w:spacing w:after="0" w:line="240" w:lineRule="auto"/>
        <w:rPr>
          <w:rFonts w:ascii="Arial" w:hAnsi="Arial" w:cs="Arial"/>
        </w:rPr>
      </w:pPr>
      <w:r w:rsidRPr="00C21B56">
        <w:rPr>
          <w:rFonts w:ascii="Arial" w:hAnsi="Arial" w:cs="Arial"/>
          <w:b/>
        </w:rPr>
        <w:lastRenderedPageBreak/>
        <w:t>Tabela 1</w:t>
      </w:r>
      <w:r w:rsidR="00AE60FB" w:rsidRPr="00C21B56">
        <w:rPr>
          <w:rFonts w:ascii="Arial" w:hAnsi="Arial" w:cs="Arial"/>
          <w:b/>
        </w:rPr>
        <w:t>.</w:t>
      </w:r>
      <w:r w:rsidR="00322D01">
        <w:rPr>
          <w:rFonts w:ascii="Arial" w:hAnsi="Arial" w:cs="Arial"/>
          <w:b/>
        </w:rPr>
        <w:t>6</w:t>
      </w:r>
      <w:r w:rsidR="00AE60FB" w:rsidRPr="00C21B56">
        <w:rPr>
          <w:rFonts w:ascii="Arial" w:hAnsi="Arial" w:cs="Arial"/>
          <w:b/>
        </w:rPr>
        <w:t xml:space="preserve">: </w:t>
      </w:r>
      <w:r w:rsidR="00AE60FB" w:rsidRPr="00C21B56">
        <w:rPr>
          <w:rFonts w:ascii="Arial" w:hAnsi="Arial" w:cs="Arial"/>
        </w:rPr>
        <w:t>Projekcija eksploatacije r</w:t>
      </w:r>
      <w:r w:rsidR="00ED5665">
        <w:rPr>
          <w:rFonts w:ascii="Arial" w:hAnsi="Arial" w:cs="Arial"/>
        </w:rPr>
        <w:t>ude olova i cinka za period 2019</w:t>
      </w:r>
      <w:r w:rsidR="00AE60FB" w:rsidRPr="00C21B56">
        <w:rPr>
          <w:rFonts w:ascii="Arial" w:hAnsi="Arial" w:cs="Arial"/>
        </w:rPr>
        <w:t>-202</w:t>
      </w:r>
      <w:r w:rsidR="000E0093" w:rsidRPr="00C21B56">
        <w:rPr>
          <w:rFonts w:ascii="Arial" w:hAnsi="Arial" w:cs="Arial"/>
        </w:rPr>
        <w:t>8</w:t>
      </w:r>
      <w:r w:rsidR="00C21B56" w:rsidRPr="00C21B56">
        <w:rPr>
          <w:rFonts w:ascii="Arial" w:hAnsi="Arial" w:cs="Arial"/>
        </w:rPr>
        <w:t>, r</w:t>
      </w:r>
      <w:r w:rsidR="00AE60FB" w:rsidRPr="00C21B56">
        <w:rPr>
          <w:rFonts w:ascii="Arial" w:hAnsi="Arial" w:cs="Arial"/>
        </w:rPr>
        <w:t>udnik „Šuplja Stijena“, po godinama</w:t>
      </w:r>
      <w:r w:rsidR="00135132" w:rsidRPr="00C21B56">
        <w:rPr>
          <w:rFonts w:ascii="Arial" w:hAnsi="Arial" w:cs="Arial"/>
        </w:rPr>
        <w:t xml:space="preserve"> </w:t>
      </w:r>
      <w:r w:rsidR="00943010" w:rsidRPr="00D41E7B">
        <w:rPr>
          <w:rFonts w:ascii="Arial" w:eastAsia="Times New Roman" w:hAnsi="Arial" w:cs="Arial"/>
        </w:rPr>
        <w:t>(</w:t>
      </w:r>
      <w:r w:rsidR="00135132" w:rsidRPr="00D41E7B">
        <w:rPr>
          <w:rFonts w:ascii="Arial" w:eastAsia="Times New Roman" w:hAnsi="Arial" w:cs="Arial"/>
        </w:rPr>
        <w:t>10</w:t>
      </w:r>
      <w:r w:rsidR="00135132" w:rsidRPr="00D41E7B">
        <w:rPr>
          <w:rFonts w:ascii="Arial" w:eastAsia="Times New Roman" w:hAnsi="Arial" w:cs="Arial"/>
          <w:vertAlign w:val="superscript"/>
        </w:rPr>
        <w:t>3</w:t>
      </w:r>
      <w:r w:rsidR="00C14311" w:rsidRPr="00D41E7B">
        <w:rPr>
          <w:rFonts w:ascii="Arial" w:eastAsia="Times New Roman" w:hAnsi="Arial" w:cs="Arial"/>
        </w:rPr>
        <w:t>t)</w:t>
      </w: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617"/>
        <w:gridCol w:w="617"/>
        <w:gridCol w:w="617"/>
        <w:gridCol w:w="617"/>
        <w:gridCol w:w="617"/>
        <w:gridCol w:w="617"/>
        <w:gridCol w:w="617"/>
        <w:gridCol w:w="617"/>
        <w:gridCol w:w="617"/>
        <w:gridCol w:w="617"/>
        <w:gridCol w:w="590"/>
        <w:gridCol w:w="587"/>
        <w:gridCol w:w="670"/>
      </w:tblGrid>
      <w:tr w:rsidR="00AE60FB" w:rsidRPr="00C14311" w:rsidTr="00C14311">
        <w:trPr>
          <w:trHeight w:val="150"/>
        </w:trPr>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LEŽIŠTE</w:t>
            </w: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2019.</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2020.</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2021.</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2022.</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2023.</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2024.</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2025.</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2026.</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2027.</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restart"/>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2028.</w:t>
            </w:r>
          </w:p>
          <w:p w:rsidR="00AE60FB" w:rsidRPr="00C14311" w:rsidRDefault="00AE60FB" w:rsidP="00C11AC4">
            <w:pPr>
              <w:spacing w:after="0" w:line="240" w:lineRule="auto"/>
              <w:jc w:val="center"/>
              <w:rPr>
                <w:rFonts w:ascii="Arial" w:eastAsia="Times New Roman" w:hAnsi="Arial" w:cs="Arial"/>
                <w:b/>
                <w:sz w:val="16"/>
                <w:szCs w:val="16"/>
              </w:rPr>
            </w:pPr>
          </w:p>
        </w:tc>
        <w:tc>
          <w:tcPr>
            <w:tcW w:w="0" w:type="auto"/>
            <w:gridSpan w:val="3"/>
            <w:vAlign w:val="center"/>
          </w:tcPr>
          <w:p w:rsidR="00AE60FB" w:rsidRPr="00C14311" w:rsidRDefault="00AE60FB" w:rsidP="00C11AC4">
            <w:pPr>
              <w:spacing w:after="0" w:line="240" w:lineRule="auto"/>
              <w:jc w:val="center"/>
              <w:rPr>
                <w:rFonts w:ascii="Arial" w:hAnsi="Arial" w:cs="Arial"/>
                <w:b/>
                <w:bCs/>
                <w:sz w:val="16"/>
                <w:szCs w:val="16"/>
              </w:rPr>
            </w:pPr>
            <w:r w:rsidRPr="00C14311">
              <w:rPr>
                <w:rFonts w:ascii="Arial" w:hAnsi="Arial" w:cs="Arial"/>
                <w:b/>
                <w:bCs/>
                <w:i/>
                <w:sz w:val="16"/>
                <w:szCs w:val="16"/>
              </w:rPr>
              <w:t>Sadržaj metala (uslovno)</w:t>
            </w:r>
          </w:p>
        </w:tc>
      </w:tr>
      <w:tr w:rsidR="00AE60FB" w:rsidRPr="00C14311" w:rsidTr="00C14311">
        <w:trPr>
          <w:trHeight w:val="270"/>
        </w:trPr>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Merge/>
            <w:vAlign w:val="center"/>
          </w:tcPr>
          <w:p w:rsidR="00AE60FB" w:rsidRPr="00C14311" w:rsidRDefault="00AE60FB" w:rsidP="00C11AC4">
            <w:pPr>
              <w:spacing w:after="0" w:line="240" w:lineRule="auto"/>
              <w:jc w:val="center"/>
              <w:rPr>
                <w:rFonts w:ascii="Arial" w:eastAsia="Times New Roman" w:hAnsi="Arial" w:cs="Arial"/>
                <w:b/>
                <w:sz w:val="16"/>
                <w:szCs w:val="16"/>
              </w:rPr>
            </w:pPr>
          </w:p>
        </w:tc>
        <w:tc>
          <w:tcPr>
            <w:tcW w:w="0" w:type="auto"/>
            <w:vAlign w:val="center"/>
          </w:tcPr>
          <w:p w:rsidR="00AE60FB" w:rsidRPr="00C14311" w:rsidRDefault="00AE60FB" w:rsidP="00C11AC4">
            <w:pPr>
              <w:spacing w:after="0" w:line="240" w:lineRule="auto"/>
              <w:jc w:val="center"/>
              <w:rPr>
                <w:rFonts w:ascii="Arial" w:hAnsi="Arial" w:cs="Arial"/>
                <w:b/>
                <w:bCs/>
                <w:sz w:val="16"/>
                <w:szCs w:val="16"/>
              </w:rPr>
            </w:pPr>
            <w:r w:rsidRPr="00C14311">
              <w:rPr>
                <w:rFonts w:ascii="Arial" w:hAnsi="Arial" w:cs="Arial"/>
                <w:b/>
                <w:bCs/>
                <w:sz w:val="16"/>
                <w:szCs w:val="16"/>
              </w:rPr>
              <w:t>Pb (%)</w:t>
            </w:r>
          </w:p>
        </w:tc>
        <w:tc>
          <w:tcPr>
            <w:tcW w:w="0" w:type="auto"/>
            <w:vAlign w:val="center"/>
          </w:tcPr>
          <w:p w:rsidR="00AE60FB" w:rsidRPr="00C14311" w:rsidRDefault="00AE60FB" w:rsidP="00C11AC4">
            <w:pPr>
              <w:spacing w:after="0" w:line="240" w:lineRule="auto"/>
              <w:jc w:val="center"/>
              <w:rPr>
                <w:rFonts w:ascii="Arial" w:hAnsi="Arial" w:cs="Arial"/>
                <w:b/>
                <w:bCs/>
                <w:sz w:val="16"/>
                <w:szCs w:val="16"/>
              </w:rPr>
            </w:pPr>
            <w:r w:rsidRPr="00C14311">
              <w:rPr>
                <w:rFonts w:ascii="Arial" w:hAnsi="Arial" w:cs="Arial"/>
                <w:b/>
                <w:bCs/>
                <w:sz w:val="16"/>
                <w:szCs w:val="16"/>
              </w:rPr>
              <w:t>Zn (%)</w:t>
            </w:r>
          </w:p>
        </w:tc>
        <w:tc>
          <w:tcPr>
            <w:tcW w:w="0" w:type="auto"/>
            <w:vAlign w:val="center"/>
          </w:tcPr>
          <w:p w:rsidR="00AE60FB" w:rsidRPr="00C14311" w:rsidRDefault="00AE60FB" w:rsidP="00C11AC4">
            <w:pPr>
              <w:spacing w:after="0" w:line="240" w:lineRule="auto"/>
              <w:jc w:val="center"/>
              <w:rPr>
                <w:rFonts w:ascii="Arial" w:hAnsi="Arial" w:cs="Arial"/>
                <w:b/>
                <w:bCs/>
                <w:sz w:val="16"/>
                <w:szCs w:val="16"/>
              </w:rPr>
            </w:pPr>
            <w:r w:rsidRPr="00C14311">
              <w:rPr>
                <w:rFonts w:ascii="Arial" w:hAnsi="Arial" w:cs="Arial"/>
                <w:b/>
                <w:bCs/>
                <w:sz w:val="16"/>
                <w:szCs w:val="16"/>
              </w:rPr>
              <w:t>Ag (g/t)</w:t>
            </w:r>
          </w:p>
        </w:tc>
      </w:tr>
      <w:tr w:rsidR="00AE60FB" w:rsidRPr="00C14311" w:rsidTr="00C14311">
        <w:trPr>
          <w:trHeight w:val="411"/>
        </w:trPr>
        <w:tc>
          <w:tcPr>
            <w:tcW w:w="0" w:type="auto"/>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Šuplja stijena</w:t>
            </w:r>
          </w:p>
          <w:p w:rsidR="00AE60FB" w:rsidRPr="00C14311" w:rsidRDefault="00AE60FB" w:rsidP="00C11AC4">
            <w:pPr>
              <w:spacing w:after="0" w:line="240" w:lineRule="auto"/>
              <w:jc w:val="center"/>
              <w:rPr>
                <w:rFonts w:ascii="Arial" w:eastAsia="Times New Roman" w:hAnsi="Arial" w:cs="Arial"/>
                <w:sz w:val="16"/>
                <w:szCs w:val="16"/>
              </w:rPr>
            </w:pPr>
            <w:r w:rsidRPr="00C14311">
              <w:rPr>
                <w:rFonts w:ascii="Arial" w:eastAsia="Times New Roman" w:hAnsi="Arial" w:cs="Arial"/>
                <w:sz w:val="16"/>
                <w:szCs w:val="16"/>
              </w:rPr>
              <w:t xml:space="preserve">Rudni reviri: </w:t>
            </w:r>
            <w:r w:rsidRPr="00C14311">
              <w:rPr>
                <w:rFonts w:ascii="Arial" w:hAnsi="Arial" w:cs="Arial"/>
                <w:bCs/>
                <w:sz w:val="16"/>
                <w:szCs w:val="16"/>
              </w:rPr>
              <w:t>Istočna stuktura, Stara jama i Zapadna struktura</w:t>
            </w:r>
          </w:p>
        </w:tc>
        <w:tc>
          <w:tcPr>
            <w:tcW w:w="0" w:type="auto"/>
            <w:vAlign w:val="center"/>
          </w:tcPr>
          <w:p w:rsidR="00AE60FB" w:rsidRPr="00C14311" w:rsidRDefault="00AE60FB" w:rsidP="00C11AC4">
            <w:pPr>
              <w:spacing w:after="0" w:line="240" w:lineRule="auto"/>
              <w:jc w:val="center"/>
              <w:rPr>
                <w:rFonts w:ascii="Arial" w:eastAsia="Times New Roman" w:hAnsi="Arial" w:cs="Arial"/>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b/>
                <w:sz w:val="16"/>
                <w:szCs w:val="16"/>
              </w:rPr>
            </w:pPr>
            <w:r w:rsidRPr="00C14311">
              <w:rPr>
                <w:rFonts w:ascii="Arial" w:eastAsia="Times New Roman" w:hAnsi="Arial" w:cs="Arial"/>
                <w:b/>
                <w:sz w:val="16"/>
                <w:szCs w:val="16"/>
              </w:rPr>
              <w:t>510</w:t>
            </w:r>
          </w:p>
        </w:tc>
        <w:tc>
          <w:tcPr>
            <w:tcW w:w="0" w:type="auto"/>
            <w:vAlign w:val="center"/>
          </w:tcPr>
          <w:p w:rsidR="00AE60FB" w:rsidRPr="00C14311" w:rsidRDefault="00AE60FB" w:rsidP="00C11AC4">
            <w:pPr>
              <w:spacing w:after="0" w:line="240" w:lineRule="auto"/>
              <w:jc w:val="center"/>
              <w:rPr>
                <w:rFonts w:ascii="Arial" w:hAnsi="Arial" w:cs="Arial"/>
                <w:b/>
                <w:sz w:val="16"/>
                <w:szCs w:val="16"/>
              </w:rPr>
            </w:pPr>
            <w:r w:rsidRPr="00C14311">
              <w:rPr>
                <w:rFonts w:ascii="Arial" w:hAnsi="Arial" w:cs="Arial"/>
                <w:b/>
                <w:sz w:val="16"/>
                <w:szCs w:val="16"/>
              </w:rPr>
              <w:t>1,43</w:t>
            </w:r>
          </w:p>
        </w:tc>
        <w:tc>
          <w:tcPr>
            <w:tcW w:w="0" w:type="auto"/>
            <w:vAlign w:val="center"/>
          </w:tcPr>
          <w:p w:rsidR="00AE60FB" w:rsidRPr="00C14311" w:rsidRDefault="00AE60FB" w:rsidP="00C11AC4">
            <w:pPr>
              <w:spacing w:after="0" w:line="240" w:lineRule="auto"/>
              <w:jc w:val="center"/>
              <w:rPr>
                <w:rFonts w:ascii="Arial" w:hAnsi="Arial" w:cs="Arial"/>
                <w:b/>
                <w:sz w:val="16"/>
                <w:szCs w:val="16"/>
              </w:rPr>
            </w:pPr>
            <w:r w:rsidRPr="00C14311">
              <w:rPr>
                <w:rFonts w:ascii="Arial" w:hAnsi="Arial" w:cs="Arial"/>
                <w:b/>
                <w:sz w:val="16"/>
                <w:szCs w:val="16"/>
              </w:rPr>
              <w:t>1,79</w:t>
            </w:r>
          </w:p>
        </w:tc>
        <w:tc>
          <w:tcPr>
            <w:tcW w:w="0" w:type="auto"/>
            <w:vAlign w:val="center"/>
          </w:tcPr>
          <w:p w:rsidR="00AE60FB" w:rsidRPr="00C14311" w:rsidRDefault="00AE60FB" w:rsidP="00C11AC4">
            <w:pPr>
              <w:spacing w:after="0" w:line="240" w:lineRule="auto"/>
              <w:jc w:val="center"/>
              <w:rPr>
                <w:rFonts w:ascii="Arial" w:hAnsi="Arial" w:cs="Arial"/>
                <w:b/>
                <w:sz w:val="16"/>
                <w:szCs w:val="16"/>
              </w:rPr>
            </w:pPr>
            <w:r w:rsidRPr="00C14311">
              <w:rPr>
                <w:rFonts w:ascii="Arial" w:hAnsi="Arial" w:cs="Arial"/>
                <w:b/>
                <w:sz w:val="16"/>
                <w:szCs w:val="16"/>
              </w:rPr>
              <w:t>16,25</w:t>
            </w:r>
          </w:p>
        </w:tc>
      </w:tr>
    </w:tbl>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Cjelokupna proizvodnja koncentrata se izvozi u Poljsku. Trajno skladištenje flotacijske jalovine obavlja se na jal</w:t>
      </w:r>
      <w:r w:rsidR="0070374B">
        <w:rPr>
          <w:rFonts w:ascii="Arial" w:hAnsi="Arial" w:cs="Arial"/>
          <w:sz w:val="24"/>
          <w:szCs w:val="24"/>
        </w:rPr>
        <w:t>ovištu lociranom na lokalitetu Pekina glavica</w:t>
      </w:r>
      <w:r w:rsidRPr="00722DF4">
        <w:rPr>
          <w:rFonts w:ascii="Arial" w:hAnsi="Arial" w:cs="Arial"/>
          <w:sz w:val="24"/>
          <w:szCs w:val="24"/>
        </w:rPr>
        <w:t>, neposredno uz postrojenja za pripremu rude.</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 osnovu prikazanog stepena istraženosti ostalih ležišta olova i cinka (i pratećih metala koji se u njima javljaju) u Crnoj Gori, kao i intezivnih istraživačkih aktivnosti koje se sprovode na prostoru bivšeg rudnika Brskova u rudnom rejonu Bjelasice, može se očekivati da se, tokom perioda koji obuhvata ovaj planski dokument, stvore neophodni uslovi za eksploataciju i preradu polimetalične sulfidne rude iz ležišta Žuta Prla i Višnjica, a vjerovatno u narednoj fazi i iz ležišta Brskovo. </w:t>
      </w:r>
    </w:p>
    <w:p w:rsidR="004F57D2" w:rsidRDefault="004F57D2" w:rsidP="00722DF4">
      <w:pPr>
        <w:autoSpaceDE w:val="0"/>
        <w:autoSpaceDN w:val="0"/>
        <w:adjustRightInd w:val="0"/>
        <w:spacing w:after="0"/>
        <w:jc w:val="both"/>
        <w:rPr>
          <w:rFonts w:ascii="Arial" w:hAnsi="Arial" w:cs="Arial"/>
          <w:sz w:val="24"/>
          <w:szCs w:val="24"/>
        </w:rPr>
      </w:pPr>
    </w:p>
    <w:p w:rsidR="003F7A04" w:rsidRPr="004F57D2" w:rsidRDefault="004F57D2" w:rsidP="00722DF4">
      <w:pPr>
        <w:autoSpaceDE w:val="0"/>
        <w:autoSpaceDN w:val="0"/>
        <w:adjustRightInd w:val="0"/>
        <w:spacing w:after="0"/>
        <w:jc w:val="both"/>
        <w:rPr>
          <w:rFonts w:ascii="Arial" w:hAnsi="Arial" w:cs="Arial"/>
          <w:b/>
          <w:sz w:val="24"/>
          <w:szCs w:val="24"/>
        </w:rPr>
      </w:pPr>
      <w:r w:rsidRPr="004F57D2">
        <w:rPr>
          <w:rFonts w:ascii="Arial" w:hAnsi="Arial" w:cs="Arial"/>
          <w:b/>
          <w:sz w:val="24"/>
          <w:szCs w:val="24"/>
        </w:rPr>
        <w:t>U području Brskova, d</w:t>
      </w:r>
      <w:r w:rsidR="003F7A04" w:rsidRPr="004F57D2">
        <w:rPr>
          <w:rFonts w:ascii="Arial" w:hAnsi="Arial" w:cs="Arial"/>
          <w:b/>
          <w:sz w:val="24"/>
          <w:szCs w:val="24"/>
        </w:rPr>
        <w:t>etaljna ekonomska ocjena trenutno nije moguća, pa je samim tim nemoguće procjeniti</w:t>
      </w:r>
      <w:r w:rsidRPr="004F57D2">
        <w:rPr>
          <w:rFonts w:ascii="Arial" w:hAnsi="Arial" w:cs="Arial"/>
          <w:b/>
          <w:sz w:val="24"/>
          <w:szCs w:val="24"/>
        </w:rPr>
        <w:t xml:space="preserve"> </w:t>
      </w:r>
      <w:r w:rsidR="003F7A04" w:rsidRPr="004F57D2">
        <w:rPr>
          <w:rFonts w:ascii="Arial" w:hAnsi="Arial" w:cs="Arial"/>
          <w:b/>
          <w:sz w:val="24"/>
          <w:szCs w:val="24"/>
        </w:rPr>
        <w:t>mogućnosti i vrijeme valorizacije ovog mineralnog resursa.</w:t>
      </w:r>
    </w:p>
    <w:p w:rsidR="003F7A04" w:rsidRDefault="003F7A04" w:rsidP="00722DF4">
      <w:pPr>
        <w:autoSpaceDE w:val="0"/>
        <w:autoSpaceDN w:val="0"/>
        <w:adjustRightInd w:val="0"/>
        <w:spacing w:after="0"/>
        <w:jc w:val="both"/>
        <w:rPr>
          <w:rFonts w:ascii="Arial" w:hAnsi="Arial" w:cs="Arial"/>
          <w:sz w:val="24"/>
          <w:szCs w:val="24"/>
        </w:rPr>
      </w:pPr>
    </w:p>
    <w:p w:rsidR="003F7A04" w:rsidRPr="004F57D2" w:rsidRDefault="003F7A04" w:rsidP="00722DF4">
      <w:pPr>
        <w:autoSpaceDE w:val="0"/>
        <w:autoSpaceDN w:val="0"/>
        <w:adjustRightInd w:val="0"/>
        <w:spacing w:after="0"/>
        <w:jc w:val="both"/>
        <w:rPr>
          <w:rFonts w:ascii="Arial" w:hAnsi="Arial" w:cs="Arial"/>
          <w:b/>
          <w:sz w:val="24"/>
          <w:szCs w:val="24"/>
        </w:rPr>
      </w:pPr>
      <w:r w:rsidRPr="004F57D2">
        <w:rPr>
          <w:rFonts w:ascii="Arial" w:hAnsi="Arial" w:cs="Arial"/>
          <w:b/>
          <w:sz w:val="24"/>
          <w:szCs w:val="24"/>
        </w:rPr>
        <w:t>Plan nije precizno definisao da li će se u vrijeme trajana plana pokrenuti proizvodnja polimetalične rude i koncentrata metala.</w:t>
      </w:r>
    </w:p>
    <w:p w:rsidR="004F57D2" w:rsidRPr="00722DF4" w:rsidRDefault="004F57D2" w:rsidP="00722DF4">
      <w:pPr>
        <w:autoSpaceDE w:val="0"/>
        <w:autoSpaceDN w:val="0"/>
        <w:adjustRightInd w:val="0"/>
        <w:spacing w:after="0"/>
        <w:jc w:val="both"/>
        <w:rPr>
          <w:rFonts w:ascii="Arial" w:hAnsi="Arial" w:cs="Arial"/>
          <w:sz w:val="24"/>
          <w:szCs w:val="24"/>
        </w:rPr>
      </w:pPr>
    </w:p>
    <w:p w:rsidR="001B3B6D" w:rsidRPr="00722DF4" w:rsidRDefault="001B3B6D" w:rsidP="00722DF4">
      <w:pPr>
        <w:autoSpaceDE w:val="0"/>
        <w:autoSpaceDN w:val="0"/>
        <w:adjustRightInd w:val="0"/>
        <w:spacing w:after="0"/>
        <w:jc w:val="both"/>
        <w:rPr>
          <w:rFonts w:ascii="Arial" w:hAnsi="Arial" w:cs="Arial"/>
          <w:b/>
          <w:bCs/>
          <w:sz w:val="24"/>
          <w:szCs w:val="24"/>
        </w:rPr>
      </w:pPr>
      <w:r w:rsidRPr="003F7A04">
        <w:rPr>
          <w:rFonts w:ascii="Arial" w:hAnsi="Arial" w:cs="Arial"/>
          <w:b/>
          <w:bCs/>
          <w:sz w:val="24"/>
          <w:szCs w:val="24"/>
        </w:rPr>
        <w:t>Bakar</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Istraživanju bakra u Crnoj Gori posvećena je znatna pažnja u okviru geoloških istraživanja polimetalične (olovo-cinkove) mineralizacije na čitavom prostoru metalogenetske oblasti sjeveroistočne Crne Gore. Sve hemijske analize uzoraka sa olovo-cinkovim orudnjenjem, kako iz rudnika tako i brojnih pojava (a bilo ih je najmanje preko 100 hiljada, obavezno su rađene na Pb, Zn i Cu. Posebno je detaljno ispitivan sadržaj bakra u l</w:t>
      </w:r>
      <w:r w:rsidR="0070374B">
        <w:rPr>
          <w:rFonts w:ascii="Arial" w:hAnsi="Arial" w:cs="Arial"/>
          <w:sz w:val="24"/>
          <w:szCs w:val="24"/>
        </w:rPr>
        <w:t>ežištima rudnika olova i cinka Šuplja stijena i Brskovo</w:t>
      </w:r>
      <w:r w:rsidRPr="00722DF4">
        <w:rPr>
          <w:rFonts w:ascii="Arial" w:hAnsi="Arial" w:cs="Arial"/>
          <w:sz w:val="24"/>
          <w:szCs w:val="24"/>
        </w:rPr>
        <w:t>.</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Ležište Varine je povremeno istraživano od 1962</w:t>
      </w:r>
      <w:r w:rsidR="0070374B">
        <w:rPr>
          <w:rFonts w:ascii="Arial" w:hAnsi="Arial" w:cs="Arial"/>
          <w:sz w:val="24"/>
          <w:szCs w:val="24"/>
        </w:rPr>
        <w:t>.</w:t>
      </w:r>
      <w:r w:rsidRPr="00722DF4">
        <w:rPr>
          <w:rFonts w:ascii="Arial" w:hAnsi="Arial" w:cs="Arial"/>
          <w:sz w:val="24"/>
          <w:szCs w:val="24"/>
        </w:rPr>
        <w:t xml:space="preserve"> do 1985. godine različitim metodama istraživanja. Na osnovu rezultata bušenja i drugih ispitivanja, 1985. godine proračunate su rezerve (za jamsku eksploataciju) od oko 7,3 miliona tona r</w:t>
      </w:r>
      <w:r w:rsidR="00D41E7B">
        <w:rPr>
          <w:rFonts w:ascii="Arial" w:hAnsi="Arial" w:cs="Arial"/>
          <w:sz w:val="24"/>
          <w:szCs w:val="24"/>
        </w:rPr>
        <w:t xml:space="preserve">ude, C1+C2 kategorije, sa 0,77% </w:t>
      </w:r>
      <w:r w:rsidRPr="00722DF4">
        <w:rPr>
          <w:rFonts w:ascii="Arial" w:hAnsi="Arial" w:cs="Arial"/>
          <w:sz w:val="24"/>
          <w:szCs w:val="24"/>
        </w:rPr>
        <w:t>Cu. Perspektivne rudne rezerve u Varinama (za površinsku eksploataciju) proračunate su u iznosu od oko 24,3 miliona tona, C2+C1 kategorije, sa 0,29%</w:t>
      </w:r>
      <w:r w:rsidR="00D41E7B">
        <w:rPr>
          <w:rFonts w:ascii="Arial" w:hAnsi="Arial" w:cs="Arial"/>
          <w:sz w:val="24"/>
          <w:szCs w:val="24"/>
        </w:rPr>
        <w:t xml:space="preserve"> </w:t>
      </w:r>
      <w:r w:rsidRPr="00722DF4">
        <w:rPr>
          <w:rFonts w:ascii="Arial" w:hAnsi="Arial" w:cs="Arial"/>
          <w:sz w:val="24"/>
          <w:szCs w:val="24"/>
        </w:rPr>
        <w:t>Cu.</w:t>
      </w:r>
    </w:p>
    <w:p w:rsidR="008914BE" w:rsidRDefault="008914BE" w:rsidP="00722DF4">
      <w:pPr>
        <w:autoSpaceDE w:val="0"/>
        <w:autoSpaceDN w:val="0"/>
        <w:adjustRightInd w:val="0"/>
        <w:spacing w:after="0"/>
        <w:jc w:val="both"/>
        <w:rPr>
          <w:rFonts w:ascii="Arial" w:hAnsi="Arial" w:cs="Arial"/>
          <w:sz w:val="24"/>
          <w:szCs w:val="24"/>
        </w:rPr>
      </w:pPr>
    </w:p>
    <w:p w:rsidR="00231FAD" w:rsidRPr="004F57D2" w:rsidRDefault="003F7A04" w:rsidP="00722DF4">
      <w:pPr>
        <w:autoSpaceDE w:val="0"/>
        <w:autoSpaceDN w:val="0"/>
        <w:adjustRightInd w:val="0"/>
        <w:spacing w:after="0"/>
        <w:jc w:val="both"/>
        <w:rPr>
          <w:rFonts w:ascii="Arial" w:hAnsi="Arial" w:cs="Arial"/>
          <w:b/>
          <w:sz w:val="24"/>
          <w:szCs w:val="24"/>
        </w:rPr>
      </w:pPr>
      <w:r w:rsidRPr="004F57D2">
        <w:rPr>
          <w:rFonts w:ascii="Arial" w:hAnsi="Arial" w:cs="Arial"/>
          <w:b/>
          <w:sz w:val="24"/>
          <w:szCs w:val="24"/>
        </w:rPr>
        <w:lastRenderedPageBreak/>
        <w:t>Koncesija za detaljna geološka istraživanja i eksploataciju ležišta Varine nije dodjeljena. Planom nije definisana mogućnost proizvodnje, ali proizvodnja nije isključena.</w:t>
      </w:r>
    </w:p>
    <w:p w:rsidR="001B3B6D" w:rsidRDefault="00B6390F" w:rsidP="008914BE">
      <w:pPr>
        <w:pStyle w:val="Heading3"/>
        <w:numPr>
          <w:ilvl w:val="0"/>
          <w:numId w:val="0"/>
        </w:numPr>
        <w:rPr>
          <w:lang w:val="sr-Latn-CS"/>
        </w:rPr>
      </w:pPr>
      <w:bookmarkStart w:id="11" w:name="_Toc6172807"/>
      <w:r>
        <w:t>1.3.</w:t>
      </w:r>
      <w:r>
        <w:rPr>
          <w:lang w:val="sr-Latn-CS"/>
        </w:rPr>
        <w:t>2</w:t>
      </w:r>
      <w:r w:rsidR="008914BE">
        <w:t xml:space="preserve">. </w:t>
      </w:r>
      <w:r w:rsidR="001B3B6D" w:rsidRPr="00722DF4">
        <w:t>Nemetalične mineralne sirovine</w:t>
      </w:r>
      <w:bookmarkEnd w:id="11"/>
    </w:p>
    <w:p w:rsidR="008914BE" w:rsidRPr="008914BE" w:rsidRDefault="008914BE" w:rsidP="008914BE">
      <w:pPr>
        <w:rPr>
          <w:lang w:val="sr-Latn-CS"/>
        </w:rPr>
      </w:pPr>
    </w:p>
    <w:p w:rsidR="008914BE"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posebnim poglavljima plana detaljno su prikazani potencijali, postojeće stanje i projekcije geoloških istraživanja i eksploatacije nemetaličnih mineralnih sirovina po vrstama u Crnoj Gori, za planski period od deset godina. </w:t>
      </w:r>
    </w:p>
    <w:p w:rsidR="004F57D2" w:rsidRPr="00722DF4" w:rsidRDefault="004F57D2" w:rsidP="00722DF4">
      <w:pPr>
        <w:autoSpaceDE w:val="0"/>
        <w:autoSpaceDN w:val="0"/>
        <w:adjustRightInd w:val="0"/>
        <w:spacing w:after="0"/>
        <w:jc w:val="both"/>
        <w:rPr>
          <w:rFonts w:ascii="Arial" w:hAnsi="Arial" w:cs="Arial"/>
          <w:sz w:val="24"/>
          <w:szCs w:val="24"/>
        </w:rPr>
      </w:pPr>
    </w:p>
    <w:p w:rsidR="00D41E7B" w:rsidRDefault="00D41E7B" w:rsidP="00722DF4">
      <w:pPr>
        <w:autoSpaceDE w:val="0"/>
        <w:autoSpaceDN w:val="0"/>
        <w:adjustRightInd w:val="0"/>
        <w:spacing w:after="0"/>
        <w:jc w:val="both"/>
        <w:rPr>
          <w:rFonts w:ascii="Arial" w:hAnsi="Arial" w:cs="Arial"/>
          <w:b/>
          <w:bCs/>
          <w:sz w:val="24"/>
          <w:szCs w:val="24"/>
        </w:rPr>
      </w:pPr>
    </w:p>
    <w:p w:rsidR="001B3B6D" w:rsidRPr="00722DF4"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Arhitektonsko-građevinski kamen</w:t>
      </w:r>
    </w:p>
    <w:p w:rsidR="001B3B6D" w:rsidRPr="00C14311"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Do sada je u Crnoj Gori otkriveno 21 ležište arhitektonsko-građevinskog kamena sa dokazanim bilansim rezervama stijenske mase A+B+C1 kategorije u iznosu od 20.531.681 m</w:t>
      </w:r>
      <w:r w:rsidRPr="00C14311">
        <w:rPr>
          <w:rFonts w:ascii="Arial" w:hAnsi="Arial" w:cs="Arial"/>
          <w:sz w:val="24"/>
          <w:szCs w:val="24"/>
          <w:vertAlign w:val="superscript"/>
        </w:rPr>
        <w:t>3</w:t>
      </w:r>
      <w:r w:rsidR="00135132" w:rsidRPr="00C14311">
        <w:rPr>
          <w:rFonts w:ascii="Arial" w:hAnsi="Arial" w:cs="Arial"/>
          <w:sz w:val="24"/>
          <w:szCs w:val="24"/>
        </w:rPr>
        <w:t>č.s.m</w:t>
      </w:r>
      <w:r w:rsidRPr="00C14311">
        <w:rPr>
          <w:rFonts w:ascii="Arial" w:hAnsi="Arial" w:cs="Arial"/>
          <w:sz w:val="24"/>
          <w:szCs w:val="24"/>
        </w:rPr>
        <w:t>. Od toga rezervama A</w:t>
      </w:r>
      <w:r w:rsidR="0070374B" w:rsidRPr="00C14311">
        <w:rPr>
          <w:rFonts w:ascii="Arial" w:hAnsi="Arial" w:cs="Arial"/>
          <w:sz w:val="24"/>
          <w:szCs w:val="24"/>
        </w:rPr>
        <w:t xml:space="preserve"> kategorije pripada 2 703 661 m</w:t>
      </w:r>
      <w:r w:rsidR="0070374B" w:rsidRPr="00C14311">
        <w:rPr>
          <w:rFonts w:ascii="Arial" w:hAnsi="Arial" w:cs="Arial"/>
          <w:sz w:val="24"/>
          <w:szCs w:val="24"/>
          <w:vertAlign w:val="superscript"/>
        </w:rPr>
        <w:t>3</w:t>
      </w:r>
      <w:r w:rsidR="00135132" w:rsidRPr="00C14311">
        <w:rPr>
          <w:rFonts w:ascii="Arial" w:hAnsi="Arial" w:cs="Arial"/>
          <w:sz w:val="24"/>
          <w:szCs w:val="24"/>
        </w:rPr>
        <w:t>č.s.m</w:t>
      </w:r>
      <w:r w:rsidRPr="00C14311">
        <w:rPr>
          <w:rFonts w:ascii="Arial" w:hAnsi="Arial" w:cs="Arial"/>
          <w:sz w:val="24"/>
          <w:szCs w:val="24"/>
        </w:rPr>
        <w:t>, rezervama B kategorije 8.500.089 m</w:t>
      </w:r>
      <w:r w:rsidR="00135132" w:rsidRPr="00C14311">
        <w:rPr>
          <w:rFonts w:ascii="Arial" w:hAnsi="Arial" w:cs="Arial"/>
          <w:sz w:val="24"/>
          <w:szCs w:val="24"/>
          <w:vertAlign w:val="superscript"/>
        </w:rPr>
        <w:t>3</w:t>
      </w:r>
      <w:r w:rsidR="00135132" w:rsidRPr="00C14311">
        <w:rPr>
          <w:rFonts w:ascii="Arial" w:hAnsi="Arial" w:cs="Arial"/>
          <w:sz w:val="24"/>
          <w:szCs w:val="24"/>
        </w:rPr>
        <w:t>č.s.m</w:t>
      </w:r>
      <w:r w:rsidRPr="00C14311">
        <w:rPr>
          <w:rFonts w:ascii="Arial" w:hAnsi="Arial" w:cs="Arial"/>
          <w:sz w:val="24"/>
          <w:szCs w:val="24"/>
        </w:rPr>
        <w:t>, a rezervama C1 kategorije 9.326.932 m</w:t>
      </w:r>
      <w:r w:rsidRPr="00C14311">
        <w:rPr>
          <w:rFonts w:ascii="Arial" w:hAnsi="Arial" w:cs="Arial"/>
          <w:sz w:val="24"/>
          <w:szCs w:val="24"/>
          <w:vertAlign w:val="superscript"/>
        </w:rPr>
        <w:t>3</w:t>
      </w:r>
      <w:r w:rsidR="00135132" w:rsidRPr="00C14311">
        <w:rPr>
          <w:rFonts w:ascii="Arial" w:hAnsi="Arial" w:cs="Arial"/>
          <w:sz w:val="24"/>
          <w:szCs w:val="24"/>
        </w:rPr>
        <w:t>č.s.m</w:t>
      </w:r>
      <w:r w:rsidRPr="00C14311">
        <w:rPr>
          <w:rFonts w:ascii="Arial" w:hAnsi="Arial" w:cs="Arial"/>
          <w:sz w:val="24"/>
          <w:szCs w:val="24"/>
        </w:rPr>
        <w:t>. Ukupne rezerve blok mase uzimajući iskorišćenje koje se kreće od 12% (ležište Bobik) do 31% (ležište Vukići) iznose 2.401.060 m</w:t>
      </w:r>
      <w:r w:rsidRPr="00C14311">
        <w:rPr>
          <w:rFonts w:ascii="Arial" w:hAnsi="Arial" w:cs="Arial"/>
          <w:sz w:val="24"/>
          <w:szCs w:val="24"/>
          <w:vertAlign w:val="superscript"/>
        </w:rPr>
        <w:t>3</w:t>
      </w:r>
      <w:r w:rsidR="00135132" w:rsidRPr="00C14311">
        <w:rPr>
          <w:rFonts w:ascii="Arial" w:hAnsi="Arial" w:cs="Arial"/>
          <w:sz w:val="24"/>
          <w:szCs w:val="24"/>
        </w:rPr>
        <w:t>č.s.m</w:t>
      </w:r>
      <w:r w:rsidRPr="00C14311">
        <w:rPr>
          <w:rFonts w:ascii="Arial" w:hAnsi="Arial" w:cs="Arial"/>
          <w:sz w:val="24"/>
          <w:szCs w:val="24"/>
        </w:rPr>
        <w:t>.</w:t>
      </w:r>
    </w:p>
    <w:p w:rsidR="008914BE" w:rsidRPr="00C14311" w:rsidRDefault="008914BE" w:rsidP="00722DF4">
      <w:pPr>
        <w:autoSpaceDE w:val="0"/>
        <w:autoSpaceDN w:val="0"/>
        <w:adjustRightInd w:val="0"/>
        <w:spacing w:after="0"/>
        <w:jc w:val="both"/>
        <w:rPr>
          <w:rFonts w:ascii="Arial" w:hAnsi="Arial" w:cs="Arial"/>
          <w:sz w:val="24"/>
          <w:szCs w:val="24"/>
        </w:rPr>
      </w:pPr>
    </w:p>
    <w:p w:rsidR="00CA53FC"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Mineragenetskim istraživanjima perspektivnih rudnih polja dokazane su rezerve stijenske mase “bokita“ od 9</w:t>
      </w:r>
      <w:r w:rsidR="00135132" w:rsidRPr="00C14311">
        <w:rPr>
          <w:rFonts w:ascii="Arial" w:hAnsi="Arial" w:cs="Arial"/>
          <w:sz w:val="24"/>
          <w:szCs w:val="24"/>
        </w:rPr>
        <w:t>.</w:t>
      </w:r>
      <w:r w:rsidRPr="00C14311">
        <w:rPr>
          <w:rFonts w:ascii="Arial" w:hAnsi="Arial" w:cs="Arial"/>
          <w:sz w:val="24"/>
          <w:szCs w:val="24"/>
        </w:rPr>
        <w:t>747</w:t>
      </w:r>
      <w:r w:rsidR="00135132" w:rsidRPr="00C14311">
        <w:rPr>
          <w:rFonts w:ascii="Arial" w:hAnsi="Arial" w:cs="Arial"/>
          <w:sz w:val="24"/>
          <w:szCs w:val="24"/>
        </w:rPr>
        <w:t>.</w:t>
      </w:r>
      <w:r w:rsidRPr="00C14311">
        <w:rPr>
          <w:rFonts w:ascii="Arial" w:hAnsi="Arial" w:cs="Arial"/>
          <w:sz w:val="24"/>
          <w:szCs w:val="24"/>
        </w:rPr>
        <w:t>000</w:t>
      </w:r>
      <w:r w:rsidR="00C21B56">
        <w:rPr>
          <w:rFonts w:ascii="Arial" w:hAnsi="Arial" w:cs="Arial"/>
          <w:sz w:val="24"/>
          <w:szCs w:val="24"/>
        </w:rPr>
        <w:t xml:space="preserve"> </w:t>
      </w:r>
      <w:r w:rsidRPr="00C14311">
        <w:rPr>
          <w:rFonts w:ascii="Arial" w:hAnsi="Arial" w:cs="Arial"/>
          <w:sz w:val="24"/>
          <w:szCs w:val="24"/>
        </w:rPr>
        <w:t>m</w:t>
      </w:r>
      <w:r w:rsidRPr="00C14311">
        <w:rPr>
          <w:rFonts w:ascii="Arial" w:hAnsi="Arial" w:cs="Arial"/>
          <w:sz w:val="24"/>
          <w:szCs w:val="24"/>
          <w:vertAlign w:val="superscript"/>
        </w:rPr>
        <w:t>3</w:t>
      </w:r>
      <w:r w:rsidR="00135132" w:rsidRPr="00C14311">
        <w:rPr>
          <w:rFonts w:ascii="Arial" w:hAnsi="Arial" w:cs="Arial"/>
          <w:sz w:val="24"/>
          <w:szCs w:val="24"/>
        </w:rPr>
        <w:t>č.s.m</w:t>
      </w:r>
      <w:r w:rsidRPr="00C14311">
        <w:rPr>
          <w:rFonts w:ascii="Arial" w:hAnsi="Arial" w:cs="Arial"/>
          <w:sz w:val="24"/>
          <w:szCs w:val="24"/>
        </w:rPr>
        <w:t xml:space="preserve">. </w:t>
      </w:r>
      <w:r w:rsidRPr="00D41E7B">
        <w:rPr>
          <w:rFonts w:ascii="Arial" w:hAnsi="Arial" w:cs="Arial"/>
          <w:sz w:val="24"/>
          <w:szCs w:val="24"/>
        </w:rPr>
        <w:t>Ekonomski najznačajnija ležišta</w:t>
      </w:r>
      <w:r w:rsidR="007C0AC8" w:rsidRPr="00D41E7B">
        <w:rPr>
          <w:rFonts w:ascii="Arial" w:hAnsi="Arial" w:cs="Arial"/>
          <w:sz w:val="24"/>
          <w:szCs w:val="24"/>
        </w:rPr>
        <w:t>, ovog specifičnog tipa ukrasnog kamena</w:t>
      </w:r>
      <w:r w:rsidR="00670504" w:rsidRPr="00D41E7B">
        <w:rPr>
          <w:rFonts w:ascii="Arial" w:hAnsi="Arial" w:cs="Arial"/>
          <w:sz w:val="24"/>
          <w:szCs w:val="24"/>
        </w:rPr>
        <w:t xml:space="preserve"> crnogorskog primorja</w:t>
      </w:r>
      <w:r w:rsidR="007C0AC8" w:rsidRPr="00D41E7B">
        <w:rPr>
          <w:rFonts w:ascii="Arial" w:hAnsi="Arial" w:cs="Arial"/>
          <w:sz w:val="24"/>
          <w:szCs w:val="24"/>
        </w:rPr>
        <w:t>,</w:t>
      </w:r>
      <w:r w:rsidRPr="00D41E7B">
        <w:rPr>
          <w:rFonts w:ascii="Arial" w:hAnsi="Arial" w:cs="Arial"/>
          <w:sz w:val="24"/>
          <w:szCs w:val="24"/>
        </w:rPr>
        <w:t xml:space="preserve"> crvenog i sivog “bokita”</w:t>
      </w:r>
      <w:r w:rsidR="007C0AC8" w:rsidRPr="00D41E7B">
        <w:rPr>
          <w:rFonts w:ascii="Arial" w:hAnsi="Arial" w:cs="Arial"/>
          <w:sz w:val="24"/>
          <w:szCs w:val="24"/>
        </w:rPr>
        <w:t xml:space="preserve"> su</w:t>
      </w:r>
      <w:r w:rsidRPr="00D41E7B">
        <w:rPr>
          <w:rFonts w:ascii="Arial" w:hAnsi="Arial" w:cs="Arial"/>
          <w:sz w:val="24"/>
          <w:szCs w:val="24"/>
        </w:rPr>
        <w:t>:</w:t>
      </w:r>
      <w:r w:rsidRPr="00C14311">
        <w:rPr>
          <w:rFonts w:ascii="Arial" w:hAnsi="Arial" w:cs="Arial"/>
          <w:sz w:val="24"/>
          <w:szCs w:val="24"/>
        </w:rPr>
        <w:t xml:space="preserve"> Kamenari, Ploče (Gornja Lastva) i Čanj, kao i ležište sivog varijeteta Žlijebi.</w:t>
      </w:r>
      <w:r w:rsidR="00CA53FC">
        <w:rPr>
          <w:rFonts w:ascii="Arial" w:hAnsi="Arial" w:cs="Arial"/>
          <w:sz w:val="24"/>
          <w:szCs w:val="24"/>
        </w:rPr>
        <w:t xml:space="preserve"> </w:t>
      </w:r>
      <w:r w:rsidRPr="00C14311">
        <w:rPr>
          <w:rFonts w:ascii="Arial" w:hAnsi="Arial" w:cs="Arial"/>
          <w:sz w:val="24"/>
          <w:szCs w:val="24"/>
        </w:rPr>
        <w:t>Dokazane geološke rezerve bo</w:t>
      </w:r>
      <w:r w:rsidR="0070374B" w:rsidRPr="00C14311">
        <w:rPr>
          <w:rFonts w:ascii="Arial" w:hAnsi="Arial" w:cs="Arial"/>
          <w:sz w:val="24"/>
          <w:szCs w:val="24"/>
        </w:rPr>
        <w:t>kita B+C1 kategorije u ležištu Dubovica</w:t>
      </w:r>
      <w:r w:rsidRPr="00C14311">
        <w:rPr>
          <w:rFonts w:ascii="Arial" w:hAnsi="Arial" w:cs="Arial"/>
          <w:sz w:val="24"/>
          <w:szCs w:val="24"/>
        </w:rPr>
        <w:t xml:space="preserve"> kod Čanja iznose 1.038.057 m</w:t>
      </w:r>
      <w:r w:rsidRPr="00C14311">
        <w:rPr>
          <w:rFonts w:ascii="Arial" w:hAnsi="Arial" w:cs="Arial"/>
          <w:sz w:val="24"/>
          <w:szCs w:val="24"/>
          <w:vertAlign w:val="superscript"/>
        </w:rPr>
        <w:t>3</w:t>
      </w:r>
      <w:r w:rsidR="00135132" w:rsidRPr="00C14311">
        <w:rPr>
          <w:rFonts w:ascii="Arial" w:hAnsi="Arial" w:cs="Arial"/>
          <w:sz w:val="24"/>
          <w:szCs w:val="24"/>
        </w:rPr>
        <w:t>č.s.m</w:t>
      </w:r>
      <w:r w:rsidRPr="00C14311">
        <w:rPr>
          <w:rFonts w:ascii="Arial" w:hAnsi="Arial" w:cs="Arial"/>
          <w:sz w:val="24"/>
          <w:szCs w:val="24"/>
        </w:rPr>
        <w:t xml:space="preserve"> a eksploatacione rezerve iznose 604.869 m</w:t>
      </w:r>
      <w:r w:rsidRPr="00C14311">
        <w:rPr>
          <w:rFonts w:ascii="Arial" w:hAnsi="Arial" w:cs="Arial"/>
          <w:sz w:val="24"/>
          <w:szCs w:val="24"/>
          <w:vertAlign w:val="superscript"/>
        </w:rPr>
        <w:t>3</w:t>
      </w:r>
      <w:r w:rsidR="00135132" w:rsidRPr="00C14311">
        <w:rPr>
          <w:rFonts w:ascii="Arial" w:hAnsi="Arial" w:cs="Arial"/>
          <w:sz w:val="24"/>
          <w:szCs w:val="24"/>
        </w:rPr>
        <w:t>č.s.m</w:t>
      </w:r>
      <w:r w:rsidRPr="00C14311">
        <w:rPr>
          <w:rFonts w:ascii="Arial" w:hAnsi="Arial" w:cs="Arial"/>
          <w:sz w:val="24"/>
          <w:szCs w:val="24"/>
        </w:rPr>
        <w:t>.</w:t>
      </w:r>
    </w:p>
    <w:p w:rsidR="00CA53FC" w:rsidRPr="00722DF4" w:rsidRDefault="00CA53FC" w:rsidP="00722DF4">
      <w:pPr>
        <w:autoSpaceDE w:val="0"/>
        <w:autoSpaceDN w:val="0"/>
        <w:adjustRightInd w:val="0"/>
        <w:spacing w:after="0"/>
        <w:jc w:val="both"/>
        <w:rPr>
          <w:rFonts w:ascii="Arial" w:hAnsi="Arial" w:cs="Arial"/>
          <w:sz w:val="24"/>
          <w:szCs w:val="24"/>
        </w:rPr>
      </w:pPr>
    </w:p>
    <w:p w:rsidR="007C0AC8" w:rsidRDefault="007C0AC8" w:rsidP="007C0AC8">
      <w:pPr>
        <w:spacing w:before="120" w:after="0" w:line="240" w:lineRule="auto"/>
        <w:jc w:val="both"/>
        <w:rPr>
          <w:rFonts w:ascii="Arial" w:hAnsi="Arial" w:cs="Arial"/>
          <w:sz w:val="24"/>
          <w:szCs w:val="24"/>
        </w:rPr>
      </w:pPr>
      <w:r w:rsidRPr="004E4D35">
        <w:rPr>
          <w:rFonts w:ascii="Arial" w:hAnsi="Arial" w:cs="Arial"/>
          <w:sz w:val="24"/>
          <w:szCs w:val="24"/>
        </w:rPr>
        <w:t xml:space="preserve">Bigar takođe predstavlja specifičnu vrstu </w:t>
      </w:r>
      <w:r>
        <w:rPr>
          <w:rFonts w:ascii="Arial" w:hAnsi="Arial" w:cs="Arial"/>
          <w:sz w:val="24"/>
          <w:szCs w:val="24"/>
        </w:rPr>
        <w:t>ukarsnog</w:t>
      </w:r>
      <w:r w:rsidRPr="004E4D35">
        <w:rPr>
          <w:rFonts w:ascii="Arial" w:hAnsi="Arial" w:cs="Arial"/>
          <w:sz w:val="24"/>
          <w:szCs w:val="24"/>
        </w:rPr>
        <w:t xml:space="preserve"> kamena koji</w:t>
      </w:r>
      <w:r>
        <w:rPr>
          <w:rFonts w:ascii="Arial" w:hAnsi="Arial" w:cs="Arial"/>
          <w:sz w:val="24"/>
          <w:szCs w:val="24"/>
        </w:rPr>
        <w:t xml:space="preserve"> se, z</w:t>
      </w:r>
      <w:r w:rsidRPr="004E4D35">
        <w:rPr>
          <w:rFonts w:ascii="Arial" w:hAnsi="Arial" w:cs="Arial"/>
          <w:sz w:val="24"/>
          <w:szCs w:val="24"/>
        </w:rPr>
        <w:t>bog povoljnih fizičko-mehaničkih, tehničkih i dekorativnih karakteristika</w:t>
      </w:r>
      <w:r>
        <w:rPr>
          <w:rFonts w:ascii="Arial" w:hAnsi="Arial" w:cs="Arial"/>
          <w:sz w:val="24"/>
          <w:szCs w:val="24"/>
        </w:rPr>
        <w:t>,</w:t>
      </w:r>
      <w:r w:rsidRPr="004E4D35">
        <w:rPr>
          <w:rFonts w:ascii="Arial" w:hAnsi="Arial" w:cs="Arial"/>
          <w:sz w:val="24"/>
          <w:szCs w:val="24"/>
        </w:rPr>
        <w:t xml:space="preserve"> </w:t>
      </w:r>
      <w:r>
        <w:rPr>
          <w:rFonts w:ascii="Arial" w:hAnsi="Arial" w:cs="Arial"/>
          <w:sz w:val="24"/>
          <w:szCs w:val="24"/>
        </w:rPr>
        <w:t>od davnina koristi za</w:t>
      </w:r>
      <w:r w:rsidRPr="004E4D35">
        <w:rPr>
          <w:rFonts w:ascii="Arial" w:hAnsi="Arial" w:cs="Arial"/>
          <w:sz w:val="24"/>
          <w:szCs w:val="24"/>
        </w:rPr>
        <w:t xml:space="preserve"> izgradnju manastira, crkava, sakralnih objekata, spomenika i dr.</w:t>
      </w:r>
      <w:r>
        <w:rPr>
          <w:rFonts w:ascii="Arial" w:hAnsi="Arial" w:cs="Arial"/>
          <w:sz w:val="24"/>
          <w:szCs w:val="24"/>
        </w:rPr>
        <w:t xml:space="preserve"> </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Od dvadeset jednog ležišta arhitektosnko-građevinskog kamena u Crnoj Gori </w:t>
      </w:r>
      <w:r w:rsidR="003F7A04">
        <w:rPr>
          <w:rFonts w:ascii="Arial" w:hAnsi="Arial" w:cs="Arial"/>
          <w:sz w:val="24"/>
          <w:szCs w:val="24"/>
        </w:rPr>
        <w:t>šest</w:t>
      </w:r>
      <w:r w:rsidRPr="00722DF4">
        <w:rPr>
          <w:rFonts w:ascii="Arial" w:hAnsi="Arial" w:cs="Arial"/>
          <w:sz w:val="24"/>
          <w:szCs w:val="24"/>
        </w:rPr>
        <w:t xml:space="preserve"> </w:t>
      </w:r>
      <w:r w:rsidR="003F7A04">
        <w:rPr>
          <w:rFonts w:ascii="Arial" w:hAnsi="Arial" w:cs="Arial"/>
          <w:sz w:val="24"/>
          <w:szCs w:val="24"/>
        </w:rPr>
        <w:t xml:space="preserve">je </w:t>
      </w:r>
      <w:r w:rsidRPr="00722DF4">
        <w:rPr>
          <w:rFonts w:ascii="Arial" w:hAnsi="Arial" w:cs="Arial"/>
          <w:sz w:val="24"/>
          <w:szCs w:val="24"/>
        </w:rPr>
        <w:t>pod ugovorom o koncesiji za detaljna geološka istraživanja i eksploataciju arhitektonsko-građevinskog kamena.</w:t>
      </w:r>
    </w:p>
    <w:p w:rsidR="008914BE" w:rsidRPr="00722DF4" w:rsidRDefault="008914BE" w:rsidP="00722DF4">
      <w:pPr>
        <w:autoSpaceDE w:val="0"/>
        <w:autoSpaceDN w:val="0"/>
        <w:adjustRightInd w:val="0"/>
        <w:spacing w:after="0"/>
        <w:jc w:val="both"/>
        <w:rPr>
          <w:rFonts w:ascii="Arial" w:hAnsi="Arial" w:cs="Arial"/>
          <w:sz w:val="24"/>
          <w:szCs w:val="24"/>
        </w:rPr>
      </w:pPr>
    </w:p>
    <w:p w:rsidR="00125A0C" w:rsidRPr="007C0AC8"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Ukupne bilansne rezerve stijenske mase u ležištima pod koncesijom A+B+C1 kategorije iznose 6.419.821 m</w:t>
      </w:r>
      <w:r w:rsidRPr="00C14311">
        <w:rPr>
          <w:rFonts w:ascii="Arial" w:hAnsi="Arial" w:cs="Arial"/>
          <w:sz w:val="24"/>
          <w:szCs w:val="24"/>
          <w:vertAlign w:val="superscript"/>
        </w:rPr>
        <w:t>3</w:t>
      </w:r>
      <w:r w:rsidR="00061863" w:rsidRPr="00C14311">
        <w:rPr>
          <w:rFonts w:ascii="Arial" w:hAnsi="Arial" w:cs="Arial"/>
          <w:sz w:val="24"/>
          <w:szCs w:val="24"/>
        </w:rPr>
        <w:t>č.s.m</w:t>
      </w:r>
      <w:r w:rsidRPr="00C14311">
        <w:rPr>
          <w:rFonts w:ascii="Arial" w:hAnsi="Arial" w:cs="Arial"/>
          <w:sz w:val="24"/>
          <w:szCs w:val="24"/>
        </w:rPr>
        <w:t>, dok su rezerve bloka uzimajući koeficijent iskorišćenja od 12 do 22%, 1.049.118 m</w:t>
      </w:r>
      <w:r w:rsidR="00061863" w:rsidRPr="00C14311">
        <w:rPr>
          <w:rFonts w:ascii="Arial" w:hAnsi="Arial" w:cs="Arial"/>
          <w:sz w:val="24"/>
          <w:szCs w:val="24"/>
          <w:vertAlign w:val="superscript"/>
        </w:rPr>
        <w:t>3</w:t>
      </w:r>
      <w:r w:rsidR="007C0AC8">
        <w:rPr>
          <w:rFonts w:ascii="Arial" w:hAnsi="Arial" w:cs="Arial"/>
          <w:sz w:val="24"/>
          <w:szCs w:val="24"/>
        </w:rPr>
        <w:t>.</w:t>
      </w:r>
    </w:p>
    <w:p w:rsidR="00125A0C" w:rsidRPr="00C14311" w:rsidRDefault="00125A0C" w:rsidP="00125A0C">
      <w:pPr>
        <w:spacing w:after="0" w:line="240" w:lineRule="auto"/>
        <w:ind w:left="360"/>
        <w:jc w:val="both"/>
        <w:rPr>
          <w:rFonts w:ascii="Arial" w:hAnsi="Arial" w:cs="Arial"/>
          <w:b/>
          <w:sz w:val="24"/>
          <w:szCs w:val="24"/>
        </w:rPr>
      </w:pPr>
    </w:p>
    <w:p w:rsidR="00125A0C" w:rsidRPr="00C21B56" w:rsidRDefault="005E2F26" w:rsidP="00C21B56">
      <w:pPr>
        <w:spacing w:after="0" w:line="240" w:lineRule="auto"/>
        <w:rPr>
          <w:rFonts w:ascii="Arial" w:hAnsi="Arial" w:cs="Arial"/>
          <w:i/>
        </w:rPr>
      </w:pPr>
      <w:r>
        <w:rPr>
          <w:rFonts w:ascii="Arial" w:hAnsi="Arial" w:cs="Arial"/>
          <w:b/>
        </w:rPr>
        <w:lastRenderedPageBreak/>
        <w:t>Tabela 1.7</w:t>
      </w:r>
      <w:r w:rsidR="000E0093" w:rsidRPr="00C21B56">
        <w:rPr>
          <w:rFonts w:ascii="Arial" w:hAnsi="Arial" w:cs="Arial"/>
          <w:b/>
        </w:rPr>
        <w:t>.</w:t>
      </w:r>
      <w:r w:rsidR="00125A0C" w:rsidRPr="00C21B56">
        <w:rPr>
          <w:rFonts w:ascii="Arial" w:hAnsi="Arial" w:cs="Arial"/>
          <w:b/>
        </w:rPr>
        <w:t xml:space="preserve"> </w:t>
      </w:r>
      <w:r w:rsidR="00125A0C" w:rsidRPr="00C21B56">
        <w:rPr>
          <w:rFonts w:ascii="Arial" w:hAnsi="Arial" w:cs="Arial"/>
        </w:rPr>
        <w:t>Bilansne rezerve</w:t>
      </w:r>
      <w:r w:rsidR="000E0093" w:rsidRPr="00C21B56">
        <w:rPr>
          <w:rFonts w:ascii="Arial" w:hAnsi="Arial" w:cs="Arial"/>
        </w:rPr>
        <w:t xml:space="preserve"> stijenske i blok mase ležišta arhitektonsko </w:t>
      </w:r>
      <w:r w:rsidR="00125A0C" w:rsidRPr="00C21B56">
        <w:rPr>
          <w:rFonts w:ascii="Arial" w:hAnsi="Arial" w:cs="Arial"/>
        </w:rPr>
        <w:t>građevinskog kamena pod koncesijom</w:t>
      </w:r>
    </w:p>
    <w:tbl>
      <w:tblPr>
        <w:tblW w:w="100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185"/>
        <w:gridCol w:w="1355"/>
        <w:gridCol w:w="1239"/>
        <w:gridCol w:w="1284"/>
        <w:gridCol w:w="1003"/>
        <w:gridCol w:w="1276"/>
        <w:gridCol w:w="1134"/>
      </w:tblGrid>
      <w:tr w:rsidR="00125A0C" w:rsidRPr="00C14311" w:rsidTr="00B61137">
        <w:trPr>
          <w:jc w:val="center"/>
        </w:trPr>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Ležište</w:t>
            </w:r>
          </w:p>
        </w:tc>
        <w:tc>
          <w:tcPr>
            <w:tcW w:w="5063" w:type="dxa"/>
            <w:gridSpan w:val="4"/>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Stijenska masa (m</w:t>
            </w:r>
            <w:r w:rsidRPr="00C14311">
              <w:rPr>
                <w:rFonts w:ascii="Arial" w:hAnsi="Arial" w:cs="Arial"/>
                <w:b/>
                <w:sz w:val="18"/>
                <w:szCs w:val="18"/>
                <w:vertAlign w:val="superscript"/>
              </w:rPr>
              <w:t>3</w:t>
            </w:r>
            <w:r w:rsidR="001969DC" w:rsidRPr="00C14311">
              <w:rPr>
                <w:rFonts w:ascii="Arial" w:hAnsi="Arial" w:cs="Arial"/>
                <w:b/>
                <w:sz w:val="18"/>
                <w:szCs w:val="18"/>
              </w:rPr>
              <w:t>č.s.m</w:t>
            </w:r>
            <w:r w:rsidRPr="00C14311">
              <w:rPr>
                <w:rFonts w:ascii="Arial" w:hAnsi="Arial" w:cs="Arial"/>
                <w:b/>
                <w:sz w:val="18"/>
                <w:szCs w:val="18"/>
              </w:rPr>
              <w:t>)</w:t>
            </w:r>
          </w:p>
        </w:tc>
        <w:tc>
          <w:tcPr>
            <w:tcW w:w="2279" w:type="dxa"/>
            <w:gridSpan w:val="2"/>
            <w:tcBorders>
              <w:top w:val="single" w:sz="4" w:space="0" w:color="000000"/>
              <w:left w:val="single" w:sz="4" w:space="0" w:color="000000"/>
              <w:bottom w:val="single" w:sz="4" w:space="0" w:color="auto"/>
              <w:right w:val="single" w:sz="4" w:space="0" w:color="000000"/>
            </w:tcBorders>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Blok masa (m</w:t>
            </w:r>
            <w:r w:rsidRPr="00C14311">
              <w:rPr>
                <w:rFonts w:ascii="Arial" w:hAnsi="Arial" w:cs="Arial"/>
                <w:b/>
                <w:sz w:val="18"/>
                <w:szCs w:val="18"/>
                <w:vertAlign w:val="superscript"/>
              </w:rPr>
              <w:t>3</w:t>
            </w:r>
            <w:r w:rsidRPr="00C14311">
              <w:rPr>
                <w:rFonts w:ascii="Arial" w:hAnsi="Arial" w:cs="Arial"/>
                <w:b/>
                <w:sz w:val="18"/>
                <w:szCs w:val="18"/>
              </w:rPr>
              <w:t>)</w:t>
            </w:r>
          </w:p>
        </w:tc>
        <w:tc>
          <w:tcPr>
            <w:tcW w:w="1134" w:type="dxa"/>
            <w:vMerge w:val="restart"/>
            <w:tcBorders>
              <w:top w:val="single" w:sz="4" w:space="0" w:color="000000"/>
              <w:left w:val="single" w:sz="4" w:space="0" w:color="000000"/>
              <w:bottom w:val="single" w:sz="4" w:space="0" w:color="auto"/>
              <w:right w:val="single" w:sz="4" w:space="0" w:color="000000"/>
            </w:tcBorders>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Vrijeme trajanja koncesije</w:t>
            </w:r>
          </w:p>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(godina)</w:t>
            </w:r>
          </w:p>
        </w:tc>
      </w:tr>
      <w:tr w:rsidR="00125A0C" w:rsidRPr="00C14311" w:rsidTr="00B61137">
        <w:trPr>
          <w:jc w:val="center"/>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125A0C" w:rsidRPr="00C14311" w:rsidRDefault="00125A0C">
            <w:pPr>
              <w:spacing w:after="0" w:line="240" w:lineRule="auto"/>
              <w:rPr>
                <w:rFonts w:ascii="Arial" w:hAnsi="Arial" w:cs="Arial"/>
                <w:b/>
                <w:sz w:val="18"/>
                <w:szCs w:val="18"/>
              </w:rPr>
            </w:pPr>
          </w:p>
        </w:tc>
        <w:tc>
          <w:tcPr>
            <w:tcW w:w="5063" w:type="dxa"/>
            <w:gridSpan w:val="4"/>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b/>
                <w:sz w:val="18"/>
                <w:szCs w:val="18"/>
              </w:rPr>
              <w:t>Kategorija</w:t>
            </w:r>
          </w:p>
        </w:tc>
        <w:tc>
          <w:tcPr>
            <w:tcW w:w="1003" w:type="dxa"/>
            <w:vMerge w:val="restart"/>
            <w:tcBorders>
              <w:top w:val="single" w:sz="4" w:space="0" w:color="auto"/>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Iskorišćenje</w:t>
            </w:r>
          </w:p>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w:t>
            </w:r>
          </w:p>
        </w:tc>
        <w:tc>
          <w:tcPr>
            <w:tcW w:w="1276" w:type="dxa"/>
            <w:vMerge w:val="restart"/>
            <w:tcBorders>
              <w:top w:val="single" w:sz="4" w:space="0" w:color="auto"/>
              <w:left w:val="single" w:sz="4" w:space="0" w:color="000000"/>
              <w:bottom w:val="single" w:sz="4" w:space="0" w:color="auto"/>
              <w:right w:val="single" w:sz="4" w:space="0" w:color="000000"/>
            </w:tcBorders>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Blok masa (m</w:t>
            </w:r>
            <w:r w:rsidRPr="00C14311">
              <w:rPr>
                <w:rFonts w:ascii="Arial" w:hAnsi="Arial" w:cs="Arial"/>
                <w:b/>
                <w:sz w:val="18"/>
                <w:szCs w:val="18"/>
                <w:vertAlign w:val="superscript"/>
              </w:rPr>
              <w:t>3</w:t>
            </w:r>
            <w:r w:rsidR="001969DC" w:rsidRPr="00C14311">
              <w:rPr>
                <w:rFonts w:ascii="Arial" w:hAnsi="Arial" w:cs="Arial"/>
                <w:b/>
                <w:sz w:val="18"/>
                <w:szCs w:val="18"/>
              </w:rPr>
              <w:t>č.s.m</w:t>
            </w:r>
            <w:r w:rsidRPr="00C14311">
              <w:rPr>
                <w:rFonts w:ascii="Arial" w:hAnsi="Arial" w:cs="Arial"/>
                <w:b/>
                <w:sz w:val="18"/>
                <w:szCs w:val="18"/>
              </w:rPr>
              <w:t>)</w:t>
            </w: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rsidR="00125A0C" w:rsidRPr="00C14311" w:rsidRDefault="00125A0C">
            <w:pPr>
              <w:spacing w:after="0" w:line="240" w:lineRule="auto"/>
              <w:rPr>
                <w:rFonts w:ascii="Arial" w:hAnsi="Arial" w:cs="Arial"/>
                <w:b/>
                <w:sz w:val="18"/>
                <w:szCs w:val="18"/>
              </w:rPr>
            </w:pPr>
          </w:p>
        </w:tc>
      </w:tr>
      <w:tr w:rsidR="00125A0C" w:rsidRPr="00C14311" w:rsidTr="00B61137">
        <w:trPr>
          <w:jc w:val="center"/>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125A0C" w:rsidRPr="00C14311" w:rsidRDefault="00125A0C">
            <w:pPr>
              <w:spacing w:after="0" w:line="240" w:lineRule="auto"/>
              <w:rPr>
                <w:rFonts w:ascii="Arial" w:hAnsi="Arial" w:cs="Arial"/>
                <w:b/>
                <w:sz w:val="18"/>
                <w:szCs w:val="18"/>
              </w:rPr>
            </w:pPr>
          </w:p>
        </w:tc>
        <w:tc>
          <w:tcPr>
            <w:tcW w:w="1185" w:type="dxa"/>
            <w:tcBorders>
              <w:top w:val="single" w:sz="4" w:space="0" w:color="000000"/>
              <w:left w:val="single" w:sz="4" w:space="0" w:color="000000"/>
              <w:bottom w:val="single" w:sz="4" w:space="0" w:color="000000"/>
              <w:right w:val="single" w:sz="4" w:space="0" w:color="000000"/>
            </w:tcBorders>
            <w:vAlign w:val="center"/>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A</w:t>
            </w:r>
          </w:p>
        </w:tc>
        <w:tc>
          <w:tcPr>
            <w:tcW w:w="1355" w:type="dxa"/>
            <w:tcBorders>
              <w:top w:val="single" w:sz="4" w:space="0" w:color="000000"/>
              <w:left w:val="single" w:sz="4" w:space="0" w:color="000000"/>
              <w:bottom w:val="single" w:sz="4" w:space="0" w:color="000000"/>
              <w:right w:val="single" w:sz="4" w:space="0" w:color="000000"/>
            </w:tcBorders>
            <w:vAlign w:val="center"/>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B</w:t>
            </w:r>
          </w:p>
        </w:tc>
        <w:tc>
          <w:tcPr>
            <w:tcW w:w="1239" w:type="dxa"/>
            <w:tcBorders>
              <w:top w:val="single" w:sz="4" w:space="0" w:color="000000"/>
              <w:left w:val="single" w:sz="4" w:space="0" w:color="000000"/>
              <w:bottom w:val="single" w:sz="4" w:space="0" w:color="000000"/>
              <w:right w:val="single" w:sz="4" w:space="0" w:color="000000"/>
            </w:tcBorders>
            <w:vAlign w:val="center"/>
            <w:hideMark/>
          </w:tcPr>
          <w:p w:rsidR="00125A0C" w:rsidRPr="00C14311" w:rsidRDefault="00125A0C">
            <w:pPr>
              <w:spacing w:after="0" w:line="240" w:lineRule="auto"/>
              <w:jc w:val="center"/>
              <w:rPr>
                <w:rFonts w:ascii="Arial" w:hAnsi="Arial" w:cs="Arial"/>
                <w:b/>
                <w:sz w:val="18"/>
                <w:szCs w:val="18"/>
              </w:rPr>
            </w:pPr>
            <w:r w:rsidRPr="00C14311">
              <w:rPr>
                <w:rFonts w:ascii="Arial" w:hAnsi="Arial" w:cs="Arial"/>
                <w:b/>
                <w:sz w:val="18"/>
                <w:szCs w:val="18"/>
              </w:rPr>
              <w:t>C</w:t>
            </w:r>
            <w:r w:rsidRPr="00C14311">
              <w:rPr>
                <w:rFonts w:ascii="Arial" w:hAnsi="Arial" w:cs="Arial"/>
                <w:b/>
                <w:sz w:val="18"/>
                <w:szCs w:val="18"/>
                <w:vertAlign w:val="subscript"/>
              </w:rPr>
              <w:t>1</w:t>
            </w:r>
          </w:p>
        </w:tc>
        <w:tc>
          <w:tcPr>
            <w:tcW w:w="1284" w:type="dxa"/>
            <w:tcBorders>
              <w:top w:val="single" w:sz="4" w:space="0" w:color="auto"/>
              <w:left w:val="single" w:sz="4" w:space="0" w:color="000000"/>
              <w:bottom w:val="single" w:sz="4" w:space="0" w:color="000000"/>
              <w:right w:val="single" w:sz="4" w:space="0" w:color="000000"/>
            </w:tcBorders>
            <w:vAlign w:val="center"/>
            <w:hideMark/>
          </w:tcPr>
          <w:p w:rsidR="00125A0C" w:rsidRPr="00C14311" w:rsidRDefault="00125A0C">
            <w:pPr>
              <w:spacing w:after="0" w:line="240" w:lineRule="auto"/>
              <w:jc w:val="center"/>
              <w:rPr>
                <w:rFonts w:ascii="Arial" w:hAnsi="Arial" w:cs="Arial"/>
                <w:b/>
                <w:sz w:val="18"/>
                <w:szCs w:val="18"/>
                <w:vertAlign w:val="subscript"/>
              </w:rPr>
            </w:pPr>
            <w:r w:rsidRPr="00C14311">
              <w:rPr>
                <w:rFonts w:ascii="Arial" w:hAnsi="Arial" w:cs="Arial"/>
                <w:b/>
                <w:sz w:val="18"/>
                <w:szCs w:val="18"/>
              </w:rPr>
              <w:t>A+B+C</w:t>
            </w:r>
            <w:r w:rsidRPr="00C14311">
              <w:rPr>
                <w:rFonts w:ascii="Arial" w:hAnsi="Arial" w:cs="Arial"/>
                <w:b/>
                <w:sz w:val="18"/>
                <w:szCs w:val="18"/>
                <w:vertAlign w:val="subscript"/>
              </w:rPr>
              <w:t>1</w:t>
            </w:r>
          </w:p>
        </w:tc>
        <w:tc>
          <w:tcPr>
            <w:tcW w:w="1003" w:type="dxa"/>
            <w:vMerge/>
            <w:tcBorders>
              <w:top w:val="single" w:sz="4" w:space="0" w:color="auto"/>
              <w:left w:val="single" w:sz="4" w:space="0" w:color="000000"/>
              <w:bottom w:val="single" w:sz="4" w:space="0" w:color="000000"/>
              <w:right w:val="single" w:sz="4" w:space="0" w:color="000000"/>
            </w:tcBorders>
            <w:vAlign w:val="center"/>
            <w:hideMark/>
          </w:tcPr>
          <w:p w:rsidR="00125A0C" w:rsidRPr="00C14311" w:rsidRDefault="00125A0C">
            <w:pPr>
              <w:spacing w:after="0" w:line="240" w:lineRule="auto"/>
              <w:rPr>
                <w:rFonts w:ascii="Arial" w:hAnsi="Arial" w:cs="Arial"/>
                <w:b/>
                <w:sz w:val="18"/>
                <w:szCs w:val="18"/>
              </w:rPr>
            </w:pPr>
          </w:p>
        </w:tc>
        <w:tc>
          <w:tcPr>
            <w:tcW w:w="1276" w:type="dxa"/>
            <w:vMerge/>
            <w:tcBorders>
              <w:top w:val="single" w:sz="4" w:space="0" w:color="auto"/>
              <w:left w:val="single" w:sz="4" w:space="0" w:color="000000"/>
              <w:bottom w:val="single" w:sz="4" w:space="0" w:color="auto"/>
              <w:right w:val="single" w:sz="4" w:space="0" w:color="000000"/>
            </w:tcBorders>
            <w:vAlign w:val="center"/>
            <w:hideMark/>
          </w:tcPr>
          <w:p w:rsidR="00125A0C" w:rsidRPr="00C14311" w:rsidRDefault="00125A0C">
            <w:pPr>
              <w:spacing w:after="0" w:line="240" w:lineRule="auto"/>
              <w:rPr>
                <w:rFonts w:ascii="Arial" w:hAnsi="Arial" w:cs="Arial"/>
                <w:b/>
                <w:sz w:val="18"/>
                <w:szCs w:val="18"/>
              </w:rPr>
            </w:pP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rsidR="00125A0C" w:rsidRPr="00C14311" w:rsidRDefault="00125A0C">
            <w:pPr>
              <w:spacing w:after="0" w:line="240" w:lineRule="auto"/>
              <w:rPr>
                <w:rFonts w:ascii="Arial" w:hAnsi="Arial" w:cs="Arial"/>
                <w:b/>
                <w:sz w:val="18"/>
                <w:szCs w:val="18"/>
              </w:rPr>
            </w:pPr>
          </w:p>
        </w:tc>
      </w:tr>
      <w:tr w:rsidR="00125A0C" w:rsidRPr="00C14311" w:rsidTr="00B61137">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b/>
                <w:sz w:val="18"/>
                <w:szCs w:val="18"/>
              </w:rPr>
            </w:pPr>
            <w:r w:rsidRPr="00C14311">
              <w:rPr>
                <w:rFonts w:ascii="Arial" w:hAnsi="Arial" w:cs="Arial"/>
                <w:b/>
                <w:sz w:val="18"/>
                <w:szCs w:val="18"/>
              </w:rPr>
              <w:t>1. Brankov krš</w:t>
            </w:r>
          </w:p>
        </w:tc>
        <w:tc>
          <w:tcPr>
            <w:tcW w:w="118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64 401,00</w:t>
            </w:r>
          </w:p>
        </w:tc>
        <w:tc>
          <w:tcPr>
            <w:tcW w:w="135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176 821,00</w:t>
            </w:r>
          </w:p>
        </w:tc>
        <w:tc>
          <w:tcPr>
            <w:tcW w:w="1239"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73 023,00</w:t>
            </w:r>
          </w:p>
        </w:tc>
        <w:tc>
          <w:tcPr>
            <w:tcW w:w="128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sz w:val="18"/>
                <w:szCs w:val="18"/>
              </w:rPr>
            </w:pPr>
            <w:r w:rsidRPr="00C14311">
              <w:rPr>
                <w:rFonts w:ascii="Arial" w:hAnsi="Arial" w:cs="Arial"/>
                <w:sz w:val="18"/>
                <w:szCs w:val="18"/>
              </w:rPr>
              <w:t>314 245,00</w:t>
            </w:r>
          </w:p>
        </w:tc>
        <w:tc>
          <w:tcPr>
            <w:tcW w:w="1003"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15,00</w:t>
            </w:r>
          </w:p>
        </w:tc>
        <w:tc>
          <w:tcPr>
            <w:tcW w:w="1276"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47 136,75</w:t>
            </w:r>
          </w:p>
        </w:tc>
        <w:tc>
          <w:tcPr>
            <w:tcW w:w="113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11</w:t>
            </w:r>
          </w:p>
        </w:tc>
      </w:tr>
      <w:tr w:rsidR="00125A0C" w:rsidRPr="00C14311" w:rsidTr="00B61137">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b/>
                <w:sz w:val="18"/>
                <w:szCs w:val="18"/>
              </w:rPr>
            </w:pPr>
            <w:r w:rsidRPr="00C14311">
              <w:rPr>
                <w:rFonts w:ascii="Arial" w:hAnsi="Arial" w:cs="Arial"/>
                <w:b/>
                <w:sz w:val="18"/>
                <w:szCs w:val="18"/>
              </w:rPr>
              <w:t>2. Bobik</w:t>
            </w:r>
          </w:p>
        </w:tc>
        <w:tc>
          <w:tcPr>
            <w:tcW w:w="118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w:t>
            </w:r>
          </w:p>
        </w:tc>
        <w:tc>
          <w:tcPr>
            <w:tcW w:w="135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1 282 840,00</w:t>
            </w:r>
          </w:p>
        </w:tc>
        <w:tc>
          <w:tcPr>
            <w:tcW w:w="1239"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495 040,00</w:t>
            </w:r>
          </w:p>
        </w:tc>
        <w:tc>
          <w:tcPr>
            <w:tcW w:w="128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1 777 880,00</w:t>
            </w:r>
          </w:p>
        </w:tc>
        <w:tc>
          <w:tcPr>
            <w:tcW w:w="1003"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12,00</w:t>
            </w:r>
          </w:p>
        </w:tc>
        <w:tc>
          <w:tcPr>
            <w:tcW w:w="1276"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213 346,00</w:t>
            </w:r>
          </w:p>
        </w:tc>
        <w:tc>
          <w:tcPr>
            <w:tcW w:w="113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22</w:t>
            </w:r>
          </w:p>
        </w:tc>
      </w:tr>
      <w:tr w:rsidR="00125A0C" w:rsidRPr="00C14311" w:rsidTr="00B61137">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b/>
                <w:sz w:val="18"/>
                <w:szCs w:val="18"/>
              </w:rPr>
            </w:pPr>
            <w:r w:rsidRPr="00C14311">
              <w:rPr>
                <w:rFonts w:ascii="Arial" w:hAnsi="Arial" w:cs="Arial"/>
                <w:b/>
                <w:sz w:val="18"/>
                <w:szCs w:val="18"/>
              </w:rPr>
              <w:t>3.Tospude</w:t>
            </w:r>
          </w:p>
        </w:tc>
        <w:tc>
          <w:tcPr>
            <w:tcW w:w="118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color w:val="000000"/>
                <w:sz w:val="18"/>
                <w:szCs w:val="18"/>
              </w:rPr>
            </w:pPr>
            <w:r w:rsidRPr="00C14311">
              <w:rPr>
                <w:rFonts w:ascii="Arial" w:hAnsi="Arial" w:cs="Arial"/>
                <w:color w:val="000000"/>
                <w:sz w:val="18"/>
                <w:szCs w:val="18"/>
              </w:rPr>
              <w:t>72 230,90</w:t>
            </w:r>
          </w:p>
        </w:tc>
        <w:tc>
          <w:tcPr>
            <w:tcW w:w="135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color w:val="000000"/>
                <w:sz w:val="18"/>
                <w:szCs w:val="18"/>
              </w:rPr>
            </w:pPr>
            <w:r w:rsidRPr="00C14311">
              <w:rPr>
                <w:rFonts w:ascii="Arial" w:hAnsi="Arial" w:cs="Arial"/>
                <w:color w:val="000000"/>
                <w:sz w:val="18"/>
                <w:szCs w:val="18"/>
              </w:rPr>
              <w:t>528 290,30</w:t>
            </w:r>
          </w:p>
        </w:tc>
        <w:tc>
          <w:tcPr>
            <w:tcW w:w="1239"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color w:val="000000"/>
                <w:sz w:val="18"/>
                <w:szCs w:val="18"/>
              </w:rPr>
            </w:pPr>
            <w:r w:rsidRPr="00C14311">
              <w:rPr>
                <w:rFonts w:ascii="Arial" w:hAnsi="Arial" w:cs="Arial"/>
                <w:color w:val="000000"/>
                <w:sz w:val="18"/>
                <w:szCs w:val="18"/>
              </w:rPr>
              <w:t>207 663,50</w:t>
            </w:r>
          </w:p>
        </w:tc>
        <w:tc>
          <w:tcPr>
            <w:tcW w:w="128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color w:val="000000"/>
                <w:sz w:val="18"/>
                <w:szCs w:val="18"/>
              </w:rPr>
            </w:pPr>
            <w:r w:rsidRPr="00C14311">
              <w:rPr>
                <w:rFonts w:ascii="Arial" w:hAnsi="Arial" w:cs="Arial"/>
                <w:color w:val="000000"/>
                <w:sz w:val="18"/>
                <w:szCs w:val="18"/>
              </w:rPr>
              <w:t>809 184,70</w:t>
            </w:r>
          </w:p>
        </w:tc>
        <w:tc>
          <w:tcPr>
            <w:tcW w:w="1003"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color w:val="000000"/>
                <w:sz w:val="18"/>
                <w:szCs w:val="18"/>
              </w:rPr>
            </w:pPr>
            <w:r w:rsidRPr="00C14311">
              <w:rPr>
                <w:rFonts w:ascii="Arial" w:hAnsi="Arial" w:cs="Arial"/>
                <w:color w:val="000000"/>
                <w:sz w:val="18"/>
                <w:szCs w:val="18"/>
              </w:rPr>
              <w:t>15,00</w:t>
            </w:r>
          </w:p>
        </w:tc>
        <w:tc>
          <w:tcPr>
            <w:tcW w:w="1276"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color w:val="000000"/>
                <w:sz w:val="18"/>
                <w:szCs w:val="18"/>
              </w:rPr>
            </w:pPr>
            <w:r w:rsidRPr="00C14311">
              <w:rPr>
                <w:rFonts w:ascii="Arial" w:hAnsi="Arial" w:cs="Arial"/>
                <w:color w:val="000000"/>
                <w:sz w:val="18"/>
                <w:szCs w:val="18"/>
              </w:rPr>
              <w:t>121 377,71</w:t>
            </w:r>
          </w:p>
        </w:tc>
        <w:tc>
          <w:tcPr>
            <w:tcW w:w="113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30</w:t>
            </w:r>
          </w:p>
        </w:tc>
      </w:tr>
      <w:tr w:rsidR="00125A0C" w:rsidRPr="00C14311" w:rsidTr="00B61137">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b/>
                <w:sz w:val="18"/>
                <w:szCs w:val="18"/>
              </w:rPr>
            </w:pPr>
            <w:r w:rsidRPr="00C14311">
              <w:rPr>
                <w:rFonts w:ascii="Arial" w:hAnsi="Arial" w:cs="Arial"/>
                <w:b/>
                <w:sz w:val="18"/>
                <w:szCs w:val="18"/>
              </w:rPr>
              <w:t>4.Dolovi Komani</w:t>
            </w:r>
          </w:p>
        </w:tc>
        <w:tc>
          <w:tcPr>
            <w:tcW w:w="118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123 735,00</w:t>
            </w:r>
          </w:p>
        </w:tc>
        <w:tc>
          <w:tcPr>
            <w:tcW w:w="135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600 914,00</w:t>
            </w:r>
          </w:p>
        </w:tc>
        <w:tc>
          <w:tcPr>
            <w:tcW w:w="1239"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14 199,00</w:t>
            </w:r>
          </w:p>
        </w:tc>
        <w:tc>
          <w:tcPr>
            <w:tcW w:w="128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738 848,00</w:t>
            </w:r>
          </w:p>
        </w:tc>
        <w:tc>
          <w:tcPr>
            <w:tcW w:w="1003"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15,00</w:t>
            </w:r>
          </w:p>
        </w:tc>
        <w:tc>
          <w:tcPr>
            <w:tcW w:w="1276"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110 827,00</w:t>
            </w:r>
          </w:p>
        </w:tc>
        <w:tc>
          <w:tcPr>
            <w:tcW w:w="113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30</w:t>
            </w:r>
          </w:p>
        </w:tc>
      </w:tr>
      <w:tr w:rsidR="00125A0C" w:rsidRPr="00C14311" w:rsidTr="00B61137">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b/>
                <w:sz w:val="18"/>
                <w:szCs w:val="18"/>
              </w:rPr>
            </w:pPr>
            <w:r w:rsidRPr="00C14311">
              <w:rPr>
                <w:rFonts w:ascii="Arial" w:hAnsi="Arial" w:cs="Arial"/>
                <w:b/>
                <w:sz w:val="18"/>
                <w:szCs w:val="18"/>
              </w:rPr>
              <w:t>5. Visočica</w:t>
            </w:r>
          </w:p>
        </w:tc>
        <w:tc>
          <w:tcPr>
            <w:tcW w:w="1185" w:type="dxa"/>
            <w:tcBorders>
              <w:top w:val="single" w:sz="4" w:space="0" w:color="000000"/>
              <w:left w:val="single" w:sz="4" w:space="0" w:color="000000"/>
              <w:bottom w:val="single" w:sz="4" w:space="0" w:color="000000"/>
              <w:right w:val="single" w:sz="4" w:space="0" w:color="000000"/>
            </w:tcBorders>
          </w:tcPr>
          <w:p w:rsidR="00125A0C" w:rsidRPr="00C14311" w:rsidRDefault="00125A0C">
            <w:pPr>
              <w:spacing w:after="0" w:line="240" w:lineRule="auto"/>
              <w:jc w:val="center"/>
              <w:rPr>
                <w:rFonts w:ascii="Arial" w:hAnsi="Arial" w:cs="Arial"/>
                <w:sz w:val="18"/>
                <w:szCs w:val="18"/>
              </w:rPr>
            </w:pPr>
          </w:p>
        </w:tc>
        <w:tc>
          <w:tcPr>
            <w:tcW w:w="135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943 170,00</w:t>
            </w:r>
          </w:p>
        </w:tc>
        <w:tc>
          <w:tcPr>
            <w:tcW w:w="1239"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w:t>
            </w:r>
          </w:p>
        </w:tc>
        <w:tc>
          <w:tcPr>
            <w:tcW w:w="128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943 170,00</w:t>
            </w:r>
          </w:p>
        </w:tc>
        <w:tc>
          <w:tcPr>
            <w:tcW w:w="1003"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22,00</w:t>
            </w:r>
          </w:p>
        </w:tc>
        <w:tc>
          <w:tcPr>
            <w:tcW w:w="1276"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207 497,00</w:t>
            </w:r>
          </w:p>
        </w:tc>
        <w:tc>
          <w:tcPr>
            <w:tcW w:w="113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30</w:t>
            </w:r>
          </w:p>
        </w:tc>
      </w:tr>
      <w:tr w:rsidR="00125A0C" w:rsidRPr="00C14311" w:rsidTr="00B61137">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b/>
                <w:sz w:val="18"/>
                <w:szCs w:val="18"/>
              </w:rPr>
            </w:pPr>
            <w:r w:rsidRPr="00C14311">
              <w:rPr>
                <w:rFonts w:ascii="Arial" w:hAnsi="Arial" w:cs="Arial"/>
                <w:b/>
                <w:sz w:val="18"/>
                <w:szCs w:val="18"/>
              </w:rPr>
              <w:t>6. Maljat</w:t>
            </w:r>
          </w:p>
        </w:tc>
        <w:tc>
          <w:tcPr>
            <w:tcW w:w="118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311 266,00</w:t>
            </w:r>
          </w:p>
        </w:tc>
        <w:tc>
          <w:tcPr>
            <w:tcW w:w="135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614 233,00</w:t>
            </w:r>
          </w:p>
        </w:tc>
        <w:tc>
          <w:tcPr>
            <w:tcW w:w="1239"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910 994,00</w:t>
            </w:r>
          </w:p>
        </w:tc>
        <w:tc>
          <w:tcPr>
            <w:tcW w:w="128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1 836 493,00</w:t>
            </w:r>
          </w:p>
        </w:tc>
        <w:tc>
          <w:tcPr>
            <w:tcW w:w="1003"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19,0</w:t>
            </w:r>
          </w:p>
        </w:tc>
        <w:tc>
          <w:tcPr>
            <w:tcW w:w="1276"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348 934,00</w:t>
            </w:r>
          </w:p>
        </w:tc>
        <w:tc>
          <w:tcPr>
            <w:tcW w:w="113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sz w:val="18"/>
                <w:szCs w:val="18"/>
              </w:rPr>
            </w:pPr>
            <w:r w:rsidRPr="00C14311">
              <w:rPr>
                <w:rFonts w:ascii="Arial" w:hAnsi="Arial" w:cs="Arial"/>
                <w:sz w:val="18"/>
                <w:szCs w:val="18"/>
              </w:rPr>
              <w:t>10</w:t>
            </w:r>
          </w:p>
        </w:tc>
      </w:tr>
      <w:tr w:rsidR="00125A0C" w:rsidTr="00B61137">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rPr>
                <w:rFonts w:ascii="Arial" w:hAnsi="Arial" w:cs="Arial"/>
                <w:b/>
                <w:sz w:val="18"/>
                <w:szCs w:val="18"/>
              </w:rPr>
            </w:pPr>
            <w:r w:rsidRPr="00C14311">
              <w:rPr>
                <w:rFonts w:ascii="Arial" w:hAnsi="Arial" w:cs="Arial"/>
                <w:b/>
                <w:sz w:val="18"/>
                <w:szCs w:val="18"/>
              </w:rPr>
              <w:t>UKUPNO:</w:t>
            </w:r>
          </w:p>
        </w:tc>
        <w:tc>
          <w:tcPr>
            <w:tcW w:w="118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b/>
                <w:sz w:val="18"/>
                <w:szCs w:val="18"/>
              </w:rPr>
            </w:pPr>
            <w:r w:rsidRPr="00C14311">
              <w:rPr>
                <w:rFonts w:ascii="Arial" w:eastAsia="Times New Roman" w:hAnsi="Arial" w:cs="Arial"/>
                <w:b/>
                <w:color w:val="000000"/>
                <w:sz w:val="18"/>
                <w:szCs w:val="18"/>
                <w:lang w:eastAsia="sr-Latn-CS"/>
              </w:rPr>
              <w:t>571 632,9</w:t>
            </w:r>
          </w:p>
        </w:tc>
        <w:tc>
          <w:tcPr>
            <w:tcW w:w="1355"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eastAsia="Times New Roman" w:hAnsi="Arial" w:cs="Arial"/>
                <w:b/>
                <w:color w:val="000000"/>
                <w:sz w:val="18"/>
                <w:szCs w:val="18"/>
              </w:rPr>
            </w:pPr>
            <w:r w:rsidRPr="00C14311">
              <w:rPr>
                <w:rFonts w:ascii="Arial" w:eastAsia="Times New Roman" w:hAnsi="Arial" w:cs="Arial"/>
                <w:b/>
                <w:color w:val="000000"/>
                <w:sz w:val="18"/>
                <w:szCs w:val="18"/>
                <w:lang w:eastAsia="sr-Latn-CS"/>
              </w:rPr>
              <w:t>4 146 268</w:t>
            </w:r>
          </w:p>
        </w:tc>
        <w:tc>
          <w:tcPr>
            <w:tcW w:w="1239"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b/>
                <w:sz w:val="18"/>
                <w:szCs w:val="18"/>
              </w:rPr>
            </w:pPr>
            <w:r w:rsidRPr="00C14311">
              <w:rPr>
                <w:rFonts w:ascii="Arial" w:eastAsia="Times New Roman" w:hAnsi="Arial" w:cs="Arial"/>
                <w:b/>
                <w:color w:val="000000"/>
                <w:sz w:val="18"/>
                <w:szCs w:val="18"/>
                <w:lang w:eastAsia="sr-Latn-CS"/>
              </w:rPr>
              <w:t>1 700 920</w:t>
            </w:r>
          </w:p>
        </w:tc>
        <w:tc>
          <w:tcPr>
            <w:tcW w:w="1284" w:type="dxa"/>
            <w:tcBorders>
              <w:top w:val="single" w:sz="4" w:space="0" w:color="000000"/>
              <w:left w:val="single" w:sz="4" w:space="0" w:color="000000"/>
              <w:bottom w:val="single" w:sz="4" w:space="0" w:color="000000"/>
              <w:right w:val="single" w:sz="4" w:space="0" w:color="000000"/>
            </w:tcBorders>
            <w:hideMark/>
          </w:tcPr>
          <w:p w:rsidR="00125A0C" w:rsidRPr="00C14311" w:rsidRDefault="00125A0C">
            <w:pPr>
              <w:spacing w:after="0" w:line="240" w:lineRule="auto"/>
              <w:jc w:val="center"/>
              <w:rPr>
                <w:rFonts w:ascii="Arial" w:hAnsi="Arial" w:cs="Arial"/>
                <w:b/>
                <w:sz w:val="18"/>
                <w:szCs w:val="18"/>
              </w:rPr>
            </w:pPr>
            <w:r w:rsidRPr="00C14311">
              <w:rPr>
                <w:rFonts w:ascii="Arial" w:eastAsia="Times New Roman" w:hAnsi="Arial" w:cs="Arial"/>
                <w:b/>
                <w:color w:val="000000"/>
                <w:sz w:val="18"/>
                <w:szCs w:val="18"/>
                <w:lang w:eastAsia="sr-Latn-CS"/>
              </w:rPr>
              <w:t>6 419 821</w:t>
            </w:r>
          </w:p>
        </w:tc>
        <w:tc>
          <w:tcPr>
            <w:tcW w:w="1003" w:type="dxa"/>
            <w:tcBorders>
              <w:top w:val="single" w:sz="4" w:space="0" w:color="000000"/>
              <w:left w:val="single" w:sz="4" w:space="0" w:color="000000"/>
              <w:bottom w:val="single" w:sz="4" w:space="0" w:color="000000"/>
              <w:right w:val="single" w:sz="4" w:space="0" w:color="000000"/>
            </w:tcBorders>
          </w:tcPr>
          <w:p w:rsidR="00125A0C" w:rsidRPr="00C14311" w:rsidRDefault="00125A0C">
            <w:pPr>
              <w:spacing w:after="0" w:line="240" w:lineRule="auto"/>
              <w:jc w:val="center"/>
              <w:rPr>
                <w:rFonts w:ascii="Arial" w:hAnsi="Arial" w:cs="Arial"/>
                <w:sz w:val="18"/>
                <w:szCs w:val="18"/>
              </w:rPr>
            </w:pPr>
          </w:p>
        </w:tc>
        <w:tc>
          <w:tcPr>
            <w:tcW w:w="1276" w:type="dxa"/>
            <w:tcBorders>
              <w:top w:val="single" w:sz="4" w:space="0" w:color="000000"/>
              <w:left w:val="single" w:sz="4" w:space="0" w:color="000000"/>
              <w:bottom w:val="single" w:sz="4" w:space="0" w:color="000000"/>
              <w:right w:val="single" w:sz="4" w:space="0" w:color="000000"/>
            </w:tcBorders>
            <w:hideMark/>
          </w:tcPr>
          <w:p w:rsidR="00125A0C" w:rsidRDefault="00125A0C">
            <w:pPr>
              <w:spacing w:after="0" w:line="240" w:lineRule="auto"/>
              <w:rPr>
                <w:rFonts w:ascii="Arial" w:eastAsia="Times New Roman" w:hAnsi="Arial" w:cs="Arial"/>
                <w:b/>
                <w:color w:val="000000"/>
                <w:sz w:val="18"/>
                <w:szCs w:val="18"/>
              </w:rPr>
            </w:pPr>
            <w:r w:rsidRPr="00C14311">
              <w:rPr>
                <w:rFonts w:ascii="Arial" w:eastAsia="Times New Roman" w:hAnsi="Arial" w:cs="Arial"/>
                <w:b/>
                <w:color w:val="000000"/>
                <w:sz w:val="18"/>
                <w:szCs w:val="18"/>
              </w:rPr>
              <w:t>1 049 118</w:t>
            </w:r>
          </w:p>
        </w:tc>
        <w:tc>
          <w:tcPr>
            <w:tcW w:w="1134" w:type="dxa"/>
            <w:tcBorders>
              <w:top w:val="single" w:sz="4" w:space="0" w:color="000000"/>
              <w:left w:val="single" w:sz="4" w:space="0" w:color="000000"/>
              <w:bottom w:val="single" w:sz="4" w:space="0" w:color="000000"/>
              <w:right w:val="single" w:sz="4" w:space="0" w:color="000000"/>
            </w:tcBorders>
          </w:tcPr>
          <w:p w:rsidR="00125A0C" w:rsidRDefault="00125A0C">
            <w:pPr>
              <w:spacing w:after="0" w:line="240" w:lineRule="auto"/>
              <w:jc w:val="center"/>
              <w:rPr>
                <w:rFonts w:ascii="Arial" w:hAnsi="Arial" w:cs="Arial"/>
                <w:sz w:val="18"/>
                <w:szCs w:val="18"/>
              </w:rPr>
            </w:pPr>
          </w:p>
        </w:tc>
      </w:tr>
    </w:tbl>
    <w:p w:rsidR="00125A0C" w:rsidRPr="00722DF4" w:rsidRDefault="00125A0C" w:rsidP="00722DF4">
      <w:pPr>
        <w:autoSpaceDE w:val="0"/>
        <w:autoSpaceDN w:val="0"/>
        <w:adjustRightInd w:val="0"/>
        <w:spacing w:after="0"/>
        <w:jc w:val="both"/>
        <w:rPr>
          <w:rFonts w:ascii="Arial" w:hAnsi="Arial" w:cs="Arial"/>
          <w:sz w:val="24"/>
          <w:szCs w:val="24"/>
        </w:rPr>
      </w:pPr>
    </w:p>
    <w:p w:rsidR="000F2D76"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U Crnoj Gori trenutno je samo šest ležišta arhitektonsko-građevinskog kamena pod Ugovorom o koncesiji za istraživanje i eksploataciju blokova ukrasnog kamena sa ugovorenom eksploataci</w:t>
      </w:r>
      <w:r w:rsidR="0070374B" w:rsidRPr="00C14311">
        <w:rPr>
          <w:rFonts w:ascii="Arial" w:hAnsi="Arial" w:cs="Arial"/>
          <w:sz w:val="24"/>
          <w:szCs w:val="24"/>
        </w:rPr>
        <w:t>j</w:t>
      </w:r>
      <w:r w:rsidRPr="00C14311">
        <w:rPr>
          <w:rFonts w:ascii="Arial" w:hAnsi="Arial" w:cs="Arial"/>
          <w:sz w:val="24"/>
          <w:szCs w:val="24"/>
        </w:rPr>
        <w:t>om od 500 m</w:t>
      </w:r>
      <w:r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xml:space="preserve"> do 3.900 m</w:t>
      </w:r>
      <w:r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Ukupna ugovorena proizvodnja, na osnovu koncesionog prava, u ovim ležištima iznosi 10.150</w:t>
      </w:r>
      <w:r w:rsidR="00C21B56">
        <w:rPr>
          <w:rFonts w:ascii="Arial" w:hAnsi="Arial" w:cs="Arial"/>
          <w:sz w:val="24"/>
          <w:szCs w:val="24"/>
        </w:rPr>
        <w:t xml:space="preserve"> </w:t>
      </w:r>
      <w:r w:rsidRPr="00C14311">
        <w:rPr>
          <w:rFonts w:ascii="Arial" w:hAnsi="Arial" w:cs="Arial"/>
          <w:sz w:val="24"/>
          <w:szCs w:val="24"/>
        </w:rPr>
        <w:t>m</w:t>
      </w:r>
      <w:r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xml:space="preserve"> komercijalnih blokova arhitektonsko-građevinskog kamena</w:t>
      </w:r>
      <w:r w:rsidR="005E2F26">
        <w:rPr>
          <w:rFonts w:ascii="Arial" w:hAnsi="Arial" w:cs="Arial"/>
          <w:sz w:val="24"/>
          <w:szCs w:val="24"/>
        </w:rPr>
        <w:t>.</w:t>
      </w:r>
    </w:p>
    <w:p w:rsidR="00D41E7B" w:rsidRDefault="00D41E7B" w:rsidP="00722DF4">
      <w:pPr>
        <w:autoSpaceDE w:val="0"/>
        <w:autoSpaceDN w:val="0"/>
        <w:adjustRightInd w:val="0"/>
        <w:spacing w:after="0"/>
        <w:jc w:val="both"/>
        <w:rPr>
          <w:rFonts w:ascii="Arial" w:hAnsi="Arial" w:cs="Arial"/>
          <w:sz w:val="24"/>
          <w:szCs w:val="24"/>
        </w:rPr>
      </w:pPr>
    </w:p>
    <w:p w:rsidR="000F2D76" w:rsidRPr="00C21B56" w:rsidRDefault="005E2F26" w:rsidP="00C14311">
      <w:pPr>
        <w:spacing w:after="0" w:line="240" w:lineRule="auto"/>
        <w:jc w:val="both"/>
        <w:rPr>
          <w:rFonts w:ascii="Arial" w:hAnsi="Arial" w:cs="Arial"/>
          <w:i/>
        </w:rPr>
      </w:pPr>
      <w:r>
        <w:rPr>
          <w:rFonts w:ascii="Arial" w:hAnsi="Arial" w:cs="Arial"/>
          <w:b/>
        </w:rPr>
        <w:t>Tabela 1.8</w:t>
      </w:r>
      <w:r w:rsidR="000F2D76" w:rsidRPr="00C21B56">
        <w:rPr>
          <w:rFonts w:ascii="Arial" w:hAnsi="Arial" w:cs="Arial"/>
          <w:b/>
        </w:rPr>
        <w:t xml:space="preserve">: </w:t>
      </w:r>
      <w:r w:rsidR="000F2D76" w:rsidRPr="00C21B56">
        <w:rPr>
          <w:rFonts w:ascii="Arial" w:hAnsi="Arial" w:cs="Arial"/>
          <w:lang w:val="sr-Latn-CS"/>
        </w:rPr>
        <w:t>Projekcija eksploatacije blokova a-g kamena u Crnoj Gori</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11"/>
        <w:gridCol w:w="711"/>
        <w:gridCol w:w="711"/>
        <w:gridCol w:w="711"/>
        <w:gridCol w:w="711"/>
        <w:gridCol w:w="711"/>
        <w:gridCol w:w="711"/>
        <w:gridCol w:w="711"/>
        <w:gridCol w:w="711"/>
        <w:gridCol w:w="711"/>
        <w:gridCol w:w="799"/>
      </w:tblGrid>
      <w:tr w:rsidR="000F2D76" w:rsidRPr="00C14311" w:rsidTr="000F2D76">
        <w:tc>
          <w:tcPr>
            <w:tcW w:w="1029"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LEŽIŠTA</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2019.</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2021.</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2022.</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2023.</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2024.</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2025.</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2026.</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2027.</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2028.</w:t>
            </w:r>
          </w:p>
        </w:tc>
        <w:tc>
          <w:tcPr>
            <w:tcW w:w="402"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2019-2028.</w:t>
            </w:r>
          </w:p>
        </w:tc>
      </w:tr>
      <w:tr w:rsidR="000F2D76" w:rsidRPr="00C14311" w:rsidTr="000F2D76">
        <w:trPr>
          <w:trHeight w:val="227"/>
        </w:trPr>
        <w:tc>
          <w:tcPr>
            <w:tcW w:w="5000" w:type="pct"/>
            <w:gridSpan w:val="12"/>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b/>
                <w:sz w:val="16"/>
                <w:szCs w:val="16"/>
                <w:lang w:val="sr-Latn-CS"/>
              </w:rPr>
              <w:t>(m</w:t>
            </w:r>
            <w:r w:rsidRPr="00C14311">
              <w:rPr>
                <w:rFonts w:ascii="Arial" w:hAnsi="Arial" w:cs="Arial"/>
                <w:b/>
                <w:sz w:val="16"/>
                <w:szCs w:val="16"/>
                <w:vertAlign w:val="superscript"/>
                <w:lang w:val="sr-Latn-CS"/>
              </w:rPr>
              <w:t>3</w:t>
            </w:r>
            <w:r w:rsidR="003E6166" w:rsidRPr="00C14311">
              <w:rPr>
                <w:rFonts w:ascii="Arial" w:hAnsi="Arial" w:cs="Arial"/>
                <w:b/>
                <w:sz w:val="16"/>
                <w:szCs w:val="16"/>
                <w:lang w:val="sr-Latn-CS"/>
              </w:rPr>
              <w:t>č.s.m</w:t>
            </w:r>
            <w:r w:rsidRPr="00C14311">
              <w:rPr>
                <w:rFonts w:ascii="Arial" w:hAnsi="Arial" w:cs="Arial"/>
                <w:b/>
                <w:sz w:val="16"/>
                <w:szCs w:val="16"/>
                <w:lang w:val="sr-Latn-CS"/>
              </w:rPr>
              <w:t>)</w:t>
            </w:r>
          </w:p>
        </w:tc>
      </w:tr>
      <w:tr w:rsidR="000F2D76" w:rsidRPr="00C14311" w:rsidTr="000F2D76">
        <w:tc>
          <w:tcPr>
            <w:tcW w:w="1029" w:type="pct"/>
            <w:tcBorders>
              <w:top w:val="single" w:sz="4" w:space="0" w:color="auto"/>
              <w:left w:val="single" w:sz="4" w:space="0" w:color="auto"/>
              <w:bottom w:val="single" w:sz="4" w:space="0" w:color="auto"/>
              <w:right w:val="single" w:sz="4" w:space="0" w:color="auto"/>
            </w:tcBorders>
            <w:hideMark/>
          </w:tcPr>
          <w:p w:rsidR="000F2D76" w:rsidRPr="00C14311" w:rsidRDefault="000F2D76">
            <w:pPr>
              <w:spacing w:after="0" w:line="240" w:lineRule="auto"/>
              <w:rPr>
                <w:rFonts w:ascii="Arial" w:hAnsi="Arial" w:cs="Arial"/>
                <w:b/>
                <w:i/>
                <w:sz w:val="20"/>
                <w:szCs w:val="20"/>
              </w:rPr>
            </w:pPr>
            <w:r w:rsidRPr="00C14311">
              <w:rPr>
                <w:rFonts w:ascii="Arial" w:hAnsi="Arial" w:cs="Arial"/>
                <w:b/>
                <w:i/>
                <w:sz w:val="20"/>
                <w:szCs w:val="20"/>
              </w:rPr>
              <w:t>1. Visočica</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w:t>
            </w:r>
          </w:p>
        </w:tc>
        <w:tc>
          <w:tcPr>
            <w:tcW w:w="402"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35.000</w:t>
            </w:r>
          </w:p>
        </w:tc>
      </w:tr>
      <w:tr w:rsidR="000F2D76" w:rsidRPr="00C14311" w:rsidTr="000F2D76">
        <w:tc>
          <w:tcPr>
            <w:tcW w:w="1029" w:type="pct"/>
            <w:tcBorders>
              <w:top w:val="single" w:sz="4" w:space="0" w:color="auto"/>
              <w:left w:val="single" w:sz="4" w:space="0" w:color="auto"/>
              <w:bottom w:val="single" w:sz="4" w:space="0" w:color="auto"/>
              <w:right w:val="single" w:sz="4" w:space="0" w:color="auto"/>
            </w:tcBorders>
            <w:hideMark/>
          </w:tcPr>
          <w:p w:rsidR="000F2D76" w:rsidRPr="00C14311" w:rsidRDefault="000F2D76">
            <w:pPr>
              <w:spacing w:after="0" w:line="240" w:lineRule="auto"/>
              <w:rPr>
                <w:rFonts w:ascii="Arial" w:hAnsi="Arial" w:cs="Arial"/>
                <w:b/>
                <w:i/>
                <w:sz w:val="20"/>
                <w:szCs w:val="20"/>
              </w:rPr>
            </w:pPr>
            <w:r w:rsidRPr="00C14311">
              <w:rPr>
                <w:rFonts w:ascii="Arial" w:hAnsi="Arial" w:cs="Arial"/>
                <w:b/>
                <w:i/>
                <w:sz w:val="20"/>
                <w:szCs w:val="20"/>
              </w:rPr>
              <w:t>2. Maljat</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w:t>
            </w:r>
          </w:p>
        </w:tc>
        <w:tc>
          <w:tcPr>
            <w:tcW w:w="402"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39.000</w:t>
            </w:r>
          </w:p>
        </w:tc>
      </w:tr>
      <w:tr w:rsidR="000F2D76" w:rsidRPr="00C14311" w:rsidTr="000F2D76">
        <w:tc>
          <w:tcPr>
            <w:tcW w:w="1029"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rPr>
                <w:rFonts w:ascii="Arial" w:hAnsi="Arial" w:cs="Arial"/>
                <w:b/>
                <w:i/>
                <w:sz w:val="20"/>
                <w:szCs w:val="20"/>
              </w:rPr>
            </w:pPr>
            <w:r w:rsidRPr="00C14311">
              <w:rPr>
                <w:rFonts w:ascii="Arial" w:hAnsi="Arial" w:cs="Arial"/>
                <w:b/>
                <w:i/>
                <w:sz w:val="20"/>
                <w:szCs w:val="20"/>
              </w:rPr>
              <w:t>3. Bobik</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w:t>
            </w:r>
          </w:p>
        </w:tc>
        <w:tc>
          <w:tcPr>
            <w:tcW w:w="402"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7.000</w:t>
            </w:r>
          </w:p>
        </w:tc>
      </w:tr>
      <w:tr w:rsidR="000F2D76" w:rsidRPr="00C14311" w:rsidTr="000F2D76">
        <w:tc>
          <w:tcPr>
            <w:tcW w:w="1029"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rPr>
                <w:rFonts w:ascii="Arial" w:hAnsi="Arial" w:cs="Arial"/>
                <w:b/>
                <w:i/>
                <w:sz w:val="20"/>
                <w:szCs w:val="20"/>
              </w:rPr>
            </w:pPr>
            <w:r w:rsidRPr="00C14311">
              <w:rPr>
                <w:rFonts w:ascii="Arial" w:hAnsi="Arial" w:cs="Arial"/>
                <w:b/>
                <w:i/>
                <w:sz w:val="20"/>
                <w:szCs w:val="20"/>
              </w:rPr>
              <w:t>4. Brankovkrš</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w:t>
            </w:r>
          </w:p>
        </w:tc>
        <w:tc>
          <w:tcPr>
            <w:tcW w:w="402"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7.500</w:t>
            </w:r>
          </w:p>
        </w:tc>
      </w:tr>
      <w:tr w:rsidR="000F2D76" w:rsidRPr="00C14311" w:rsidTr="000F2D76">
        <w:tc>
          <w:tcPr>
            <w:tcW w:w="1029"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rPr>
                <w:rFonts w:ascii="Arial" w:hAnsi="Arial" w:cs="Arial"/>
                <w:b/>
                <w:i/>
                <w:sz w:val="20"/>
                <w:szCs w:val="20"/>
              </w:rPr>
            </w:pPr>
            <w:r w:rsidRPr="00C14311">
              <w:rPr>
                <w:rFonts w:ascii="Arial" w:hAnsi="Arial" w:cs="Arial"/>
                <w:b/>
                <w:i/>
                <w:sz w:val="20"/>
                <w:szCs w:val="20"/>
              </w:rPr>
              <w:t>5. Tospude</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c>
          <w:tcPr>
            <w:tcW w:w="402"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8.000</w:t>
            </w:r>
          </w:p>
        </w:tc>
      </w:tr>
      <w:tr w:rsidR="000F2D76" w:rsidRPr="00C14311" w:rsidTr="000F2D76">
        <w:tc>
          <w:tcPr>
            <w:tcW w:w="1029"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rPr>
                <w:rFonts w:ascii="Arial" w:hAnsi="Arial" w:cs="Arial"/>
                <w:b/>
                <w:i/>
                <w:sz w:val="20"/>
                <w:szCs w:val="20"/>
              </w:rPr>
            </w:pPr>
            <w:r w:rsidRPr="00C14311">
              <w:rPr>
                <w:rFonts w:ascii="Arial" w:hAnsi="Arial" w:cs="Arial"/>
                <w:b/>
                <w:i/>
                <w:sz w:val="20"/>
                <w:szCs w:val="20"/>
              </w:rPr>
              <w:t>6. Dolovi-Komani</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w:t>
            </w:r>
          </w:p>
        </w:tc>
        <w:tc>
          <w:tcPr>
            <w:tcW w:w="402"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sz w:val="16"/>
                <w:szCs w:val="16"/>
                <w:lang w:val="sr-Latn-CS"/>
              </w:rPr>
              <w:t>5.000</w:t>
            </w:r>
          </w:p>
        </w:tc>
      </w:tr>
      <w:tr w:rsidR="000F2D76" w:rsidTr="000F2D76">
        <w:trPr>
          <w:trHeight w:val="433"/>
        </w:trPr>
        <w:tc>
          <w:tcPr>
            <w:tcW w:w="1029" w:type="pct"/>
            <w:tcBorders>
              <w:top w:val="single" w:sz="4" w:space="0" w:color="auto"/>
              <w:left w:val="single" w:sz="4" w:space="0" w:color="auto"/>
              <w:bottom w:val="single" w:sz="4" w:space="0" w:color="auto"/>
              <w:right w:val="single" w:sz="4" w:space="0" w:color="auto"/>
            </w:tcBorders>
            <w:vAlign w:val="center"/>
          </w:tcPr>
          <w:p w:rsidR="000F2D76" w:rsidRPr="00C14311" w:rsidRDefault="000F2D76">
            <w:pPr>
              <w:spacing w:after="0" w:line="240" w:lineRule="auto"/>
              <w:jc w:val="center"/>
              <w:rPr>
                <w:rFonts w:ascii="Arial" w:hAnsi="Arial" w:cs="Arial"/>
                <w:b/>
                <w:sz w:val="16"/>
                <w:szCs w:val="16"/>
                <w:lang w:val="sr-Latn-CS"/>
              </w:rPr>
            </w:pPr>
          </w:p>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UKUPNO PROJEKCIJA UGOVORENE</w:t>
            </w:r>
          </w:p>
          <w:p w:rsidR="000F2D76" w:rsidRPr="00C14311" w:rsidRDefault="000F2D76">
            <w:pPr>
              <w:spacing w:after="0" w:line="240" w:lineRule="auto"/>
              <w:jc w:val="center"/>
              <w:rPr>
                <w:rFonts w:ascii="Arial" w:hAnsi="Arial" w:cs="Arial"/>
                <w:sz w:val="16"/>
                <w:szCs w:val="16"/>
                <w:lang w:val="sr-Latn-CS"/>
              </w:rPr>
            </w:pPr>
            <w:r w:rsidRPr="00C14311">
              <w:rPr>
                <w:rFonts w:ascii="Arial" w:hAnsi="Arial" w:cs="Arial"/>
                <w:b/>
                <w:sz w:val="16"/>
                <w:szCs w:val="16"/>
                <w:lang w:val="sr-Latn-CS"/>
              </w:rPr>
              <w:t>EKSPLOATACIJE A-G KAMENA</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10.150</w:t>
            </w:r>
          </w:p>
        </w:tc>
        <w:tc>
          <w:tcPr>
            <w:tcW w:w="357" w:type="pct"/>
            <w:tcBorders>
              <w:top w:val="single" w:sz="4" w:space="0" w:color="auto"/>
              <w:left w:val="single" w:sz="4" w:space="0" w:color="auto"/>
              <w:bottom w:val="single" w:sz="4" w:space="0" w:color="auto"/>
              <w:right w:val="single" w:sz="4" w:space="0" w:color="auto"/>
            </w:tcBorders>
            <w:vAlign w:val="center"/>
            <w:hideMark/>
          </w:tcPr>
          <w:p w:rsidR="000F2D76" w:rsidRPr="00C14311" w:rsidRDefault="000F2D76">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10.150</w:t>
            </w:r>
          </w:p>
        </w:tc>
        <w:tc>
          <w:tcPr>
            <w:tcW w:w="402" w:type="pct"/>
            <w:tcBorders>
              <w:top w:val="single" w:sz="4" w:space="0" w:color="auto"/>
              <w:left w:val="single" w:sz="4" w:space="0" w:color="auto"/>
              <w:bottom w:val="single" w:sz="4" w:space="0" w:color="auto"/>
              <w:right w:val="single" w:sz="4" w:space="0" w:color="auto"/>
            </w:tcBorders>
            <w:vAlign w:val="center"/>
            <w:hideMark/>
          </w:tcPr>
          <w:p w:rsidR="000F2D76" w:rsidRDefault="000F2D76">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101.500</w:t>
            </w:r>
          </w:p>
        </w:tc>
      </w:tr>
    </w:tbl>
    <w:p w:rsidR="005E2F26" w:rsidRDefault="005E2F26" w:rsidP="00722DF4">
      <w:pPr>
        <w:autoSpaceDE w:val="0"/>
        <w:autoSpaceDN w:val="0"/>
        <w:adjustRightInd w:val="0"/>
        <w:spacing w:after="0"/>
        <w:jc w:val="both"/>
        <w:rPr>
          <w:rFonts w:ascii="Arial" w:hAnsi="Arial" w:cs="Arial"/>
          <w:sz w:val="24"/>
          <w:szCs w:val="24"/>
        </w:rPr>
      </w:pPr>
    </w:p>
    <w:p w:rsidR="001B3B6D" w:rsidRPr="00C14311"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Na osnovu potencijala i prikazanog postojećeg stanja u industriji proizvodnje ukrasnog kamena može se pretpostaviti povećanje obima proizvodnje arhitektonsko-građevinskog (ukrasnog) kamena u Crnoj Gori do nivoa od oko 15 000 m</w:t>
      </w:r>
      <w:r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xml:space="preserve"> na godišnje, odnosno 150</w:t>
      </w:r>
      <w:r w:rsidR="003E6166" w:rsidRPr="00C14311">
        <w:rPr>
          <w:rFonts w:ascii="Arial" w:hAnsi="Arial" w:cs="Arial"/>
          <w:sz w:val="24"/>
          <w:szCs w:val="24"/>
        </w:rPr>
        <w:t>.</w:t>
      </w:r>
      <w:r w:rsidRPr="00C14311">
        <w:rPr>
          <w:rFonts w:ascii="Arial" w:hAnsi="Arial" w:cs="Arial"/>
          <w:sz w:val="24"/>
          <w:szCs w:val="24"/>
        </w:rPr>
        <w:t>000</w:t>
      </w:r>
      <w:r w:rsidR="00C21B56">
        <w:rPr>
          <w:rFonts w:ascii="Arial" w:hAnsi="Arial" w:cs="Arial"/>
          <w:sz w:val="24"/>
          <w:szCs w:val="24"/>
        </w:rPr>
        <w:t xml:space="preserve"> </w:t>
      </w:r>
      <w:r w:rsidRPr="00C14311">
        <w:rPr>
          <w:rFonts w:ascii="Arial" w:hAnsi="Arial" w:cs="Arial"/>
          <w:sz w:val="24"/>
          <w:szCs w:val="24"/>
        </w:rPr>
        <w:t>m</w:t>
      </w:r>
      <w:r w:rsidR="003E6166"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xml:space="preserve"> komercijalnih blokova ukrasnog kamena u narednom desetogodišnjem periodu.</w:t>
      </w:r>
    </w:p>
    <w:p w:rsidR="008914BE" w:rsidRPr="00C14311" w:rsidRDefault="008914BE" w:rsidP="00722DF4">
      <w:pPr>
        <w:autoSpaceDE w:val="0"/>
        <w:autoSpaceDN w:val="0"/>
        <w:adjustRightInd w:val="0"/>
        <w:spacing w:after="0"/>
        <w:jc w:val="both"/>
        <w:rPr>
          <w:rFonts w:ascii="Arial" w:hAnsi="Arial" w:cs="Arial"/>
          <w:sz w:val="24"/>
          <w:szCs w:val="24"/>
        </w:rPr>
      </w:pPr>
    </w:p>
    <w:p w:rsidR="00A35959" w:rsidRPr="00A35959" w:rsidRDefault="001B3B6D" w:rsidP="00722DF4">
      <w:pPr>
        <w:autoSpaceDE w:val="0"/>
        <w:autoSpaceDN w:val="0"/>
        <w:adjustRightInd w:val="0"/>
        <w:spacing w:after="0"/>
        <w:jc w:val="both"/>
        <w:rPr>
          <w:rFonts w:ascii="Arial" w:hAnsi="Arial" w:cs="Arial"/>
          <w:b/>
          <w:bCs/>
          <w:sz w:val="24"/>
          <w:szCs w:val="24"/>
        </w:rPr>
      </w:pPr>
      <w:r w:rsidRPr="00C14311">
        <w:rPr>
          <w:rFonts w:ascii="Arial" w:hAnsi="Arial" w:cs="Arial"/>
          <w:b/>
          <w:bCs/>
          <w:sz w:val="24"/>
          <w:szCs w:val="24"/>
        </w:rPr>
        <w:t>Tehničko-građevinski kamen i šljunak i pijesak van vodnog zemljišta - proizvodnja primarnih agregata</w:t>
      </w:r>
    </w:p>
    <w:p w:rsidR="001B3B6D" w:rsidRPr="00C14311"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Tehničko-građevinski kamen predstavlja karbonatnu mineralnu sirovinu koja u Crnoj Gori praktično ima neograničen potencijal. Do sada je istraživano više lokaliteta, a u današnje vrijeme u Crnoj Gori su registrovana 42 ležišta tehničko</w:t>
      </w:r>
      <w:r w:rsidR="0070374B" w:rsidRPr="00C14311">
        <w:rPr>
          <w:rFonts w:ascii="Arial" w:hAnsi="Arial" w:cs="Arial"/>
          <w:sz w:val="24"/>
          <w:szCs w:val="24"/>
        </w:rPr>
        <w:t>-</w:t>
      </w:r>
      <w:r w:rsidRPr="00C14311">
        <w:rPr>
          <w:rFonts w:ascii="Arial" w:hAnsi="Arial" w:cs="Arial"/>
          <w:sz w:val="24"/>
          <w:szCs w:val="24"/>
        </w:rPr>
        <w:t xml:space="preserve">građevinskog kamena, sa </w:t>
      </w:r>
      <w:r w:rsidRPr="00C14311">
        <w:rPr>
          <w:rFonts w:ascii="Arial" w:hAnsi="Arial" w:cs="Arial"/>
          <w:sz w:val="24"/>
          <w:szCs w:val="24"/>
        </w:rPr>
        <w:lastRenderedPageBreak/>
        <w:t>utvrđenim bilansnim rezervama i kvalitativnim (f</w:t>
      </w:r>
      <w:r w:rsidR="0070374B" w:rsidRPr="00C14311">
        <w:rPr>
          <w:rFonts w:ascii="Arial" w:hAnsi="Arial" w:cs="Arial"/>
          <w:sz w:val="24"/>
          <w:szCs w:val="24"/>
        </w:rPr>
        <w:t>izičko-</w:t>
      </w:r>
      <w:r w:rsidRPr="00C14311">
        <w:rPr>
          <w:rFonts w:ascii="Arial" w:hAnsi="Arial" w:cs="Arial"/>
          <w:sz w:val="24"/>
          <w:szCs w:val="24"/>
        </w:rPr>
        <w:t>mehaničkim) karakteristikama, i gotovo u svim se vrši ili se vršila proizvodnja tehničko-građevinskog kamena. Sva ležišta su krečnjačkog i krečnjačko</w:t>
      </w:r>
      <w:r w:rsidR="0070374B" w:rsidRPr="00C14311">
        <w:rPr>
          <w:rFonts w:ascii="Arial" w:hAnsi="Arial" w:cs="Arial"/>
          <w:sz w:val="24"/>
          <w:szCs w:val="24"/>
        </w:rPr>
        <w:t>-d</w:t>
      </w:r>
      <w:r w:rsidRPr="00C14311">
        <w:rPr>
          <w:rFonts w:ascii="Arial" w:hAnsi="Arial" w:cs="Arial"/>
          <w:sz w:val="24"/>
          <w:szCs w:val="24"/>
        </w:rPr>
        <w:t>olomitskog, ređe dolomitskog sastava, osim ležišta Okruglički krš Štitarica kod Mojkovca koje je vulkanskog (keratofirskog) sastava.</w:t>
      </w:r>
    </w:p>
    <w:p w:rsidR="008914BE" w:rsidRPr="00C14311" w:rsidRDefault="008914BE" w:rsidP="00722DF4">
      <w:pPr>
        <w:autoSpaceDE w:val="0"/>
        <w:autoSpaceDN w:val="0"/>
        <w:adjustRightInd w:val="0"/>
        <w:spacing w:after="0"/>
        <w:jc w:val="both"/>
        <w:rPr>
          <w:rFonts w:ascii="Arial" w:hAnsi="Arial" w:cs="Arial"/>
          <w:sz w:val="24"/>
          <w:szCs w:val="24"/>
        </w:rPr>
      </w:pPr>
    </w:p>
    <w:p w:rsidR="001B3B6D" w:rsidRPr="00C14311"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Ukupne bilansne rezerve B+C1 kategorije za četrdeset dva ležišta tehničkograđevinskog</w:t>
      </w:r>
      <w:r w:rsidR="0043258C" w:rsidRPr="00C14311">
        <w:rPr>
          <w:rFonts w:ascii="Arial" w:hAnsi="Arial" w:cs="Arial"/>
          <w:sz w:val="24"/>
          <w:szCs w:val="24"/>
        </w:rPr>
        <w:t xml:space="preserve"> kamena u Crnoj Gori iznose 134.141.</w:t>
      </w:r>
      <w:r w:rsidRPr="00C14311">
        <w:rPr>
          <w:rFonts w:ascii="Arial" w:hAnsi="Arial" w:cs="Arial"/>
          <w:sz w:val="24"/>
          <w:szCs w:val="24"/>
        </w:rPr>
        <w:t>751,30</w:t>
      </w:r>
      <w:r w:rsidR="004D714E">
        <w:rPr>
          <w:rFonts w:ascii="Arial" w:hAnsi="Arial" w:cs="Arial"/>
          <w:sz w:val="24"/>
          <w:szCs w:val="24"/>
        </w:rPr>
        <w:t xml:space="preserve"> </w:t>
      </w:r>
      <w:r w:rsidRPr="00C14311">
        <w:rPr>
          <w:rFonts w:ascii="Arial" w:hAnsi="Arial" w:cs="Arial"/>
          <w:sz w:val="24"/>
          <w:szCs w:val="24"/>
        </w:rPr>
        <w:t>m</w:t>
      </w:r>
      <w:r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w:t>
      </w:r>
      <w:r w:rsidR="0043258C" w:rsidRPr="00C14311">
        <w:rPr>
          <w:rFonts w:ascii="Arial" w:hAnsi="Arial" w:cs="Arial"/>
          <w:sz w:val="24"/>
          <w:szCs w:val="24"/>
        </w:rPr>
        <w:t xml:space="preserve"> </w:t>
      </w:r>
      <w:r w:rsidRPr="00C14311">
        <w:rPr>
          <w:rFonts w:ascii="Arial" w:hAnsi="Arial" w:cs="Arial"/>
          <w:sz w:val="24"/>
          <w:szCs w:val="24"/>
        </w:rPr>
        <w:t xml:space="preserve">Procentualna zastupljenost pojedinih kategorija rezervi u ukupnim rezervama za Crnu  Goru ukazuje na relativno visok stepen istraženosti sirovinske baze, jer učešće B kategorije rezervi </w:t>
      </w:r>
      <w:r w:rsidR="0043258C" w:rsidRPr="00C14311">
        <w:rPr>
          <w:rFonts w:ascii="Arial" w:hAnsi="Arial" w:cs="Arial"/>
          <w:sz w:val="24"/>
          <w:szCs w:val="24"/>
        </w:rPr>
        <w:t>od 100.236.</w:t>
      </w:r>
      <w:r w:rsidRPr="00C14311">
        <w:rPr>
          <w:rFonts w:ascii="Arial" w:hAnsi="Arial" w:cs="Arial"/>
          <w:sz w:val="24"/>
          <w:szCs w:val="24"/>
        </w:rPr>
        <w:t>519,20 m</w:t>
      </w:r>
      <w:r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xml:space="preserve"> ili 75 % dominira nad rezerva</w:t>
      </w:r>
      <w:r w:rsidR="0043258C" w:rsidRPr="00C14311">
        <w:rPr>
          <w:rFonts w:ascii="Arial" w:hAnsi="Arial" w:cs="Arial"/>
          <w:sz w:val="24"/>
          <w:szCs w:val="24"/>
        </w:rPr>
        <w:t>ma C1 kategorije u iznosu od 33.905.</w:t>
      </w:r>
      <w:r w:rsidRPr="00C14311">
        <w:rPr>
          <w:rFonts w:ascii="Arial" w:hAnsi="Arial" w:cs="Arial"/>
          <w:sz w:val="24"/>
          <w:szCs w:val="24"/>
        </w:rPr>
        <w:t>232,1 m</w:t>
      </w:r>
      <w:r w:rsidR="003E6166"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xml:space="preserve"> ili 25%.</w:t>
      </w:r>
    </w:p>
    <w:p w:rsidR="008914BE" w:rsidRPr="00C14311" w:rsidRDefault="008914BE" w:rsidP="00722DF4">
      <w:pPr>
        <w:autoSpaceDE w:val="0"/>
        <w:autoSpaceDN w:val="0"/>
        <w:adjustRightInd w:val="0"/>
        <w:spacing w:after="0"/>
        <w:jc w:val="both"/>
        <w:rPr>
          <w:rFonts w:ascii="Arial" w:hAnsi="Arial" w:cs="Arial"/>
          <w:sz w:val="24"/>
          <w:szCs w:val="24"/>
        </w:rPr>
      </w:pPr>
    </w:p>
    <w:p w:rsidR="001B3B6D" w:rsidRPr="00C14311"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Šljunak i pijesak fluvioglacijalnog porijekla se u prošlosti veoma intezivno koristio, bez prethodnih istraživanja i dokumentacije, zbog malih troškova eksploatacije</w:t>
      </w:r>
      <w:r w:rsidR="005940A1">
        <w:rPr>
          <w:rFonts w:ascii="Arial" w:hAnsi="Arial" w:cs="Arial"/>
          <w:sz w:val="24"/>
          <w:szCs w:val="24"/>
        </w:rPr>
        <w:t xml:space="preserve"> </w:t>
      </w:r>
      <w:r w:rsidRPr="00C14311">
        <w:rPr>
          <w:rFonts w:ascii="Arial" w:hAnsi="Arial" w:cs="Arial"/>
          <w:sz w:val="24"/>
          <w:szCs w:val="24"/>
        </w:rPr>
        <w:t xml:space="preserve">o čemu svjedoče brojni tragovi eksploatacije na pojedinim mjestima u Crnoj Gori. Danas, u Crnoj Gori nema proizvodnje primarnih agregata iz ležišta šljunka i pijeska fluvioglacijalnog porijekla u eksploataciji. Detaljna geološka </w:t>
      </w:r>
      <w:r w:rsidR="0070374B" w:rsidRPr="00C14311">
        <w:rPr>
          <w:rFonts w:ascii="Arial" w:hAnsi="Arial" w:cs="Arial"/>
          <w:sz w:val="24"/>
          <w:szCs w:val="24"/>
        </w:rPr>
        <w:t>i</w:t>
      </w:r>
      <w:r w:rsidRPr="00C14311">
        <w:rPr>
          <w:rFonts w:ascii="Arial" w:hAnsi="Arial" w:cs="Arial"/>
          <w:sz w:val="24"/>
          <w:szCs w:val="24"/>
        </w:rPr>
        <w:t>straživanja su u posljednjim godinama vršena na ležištima Ražano polje na Žabljaku i ležištu Batnjica kod Herceg Novog. Ukupne bilansne rezerve rezerve šljunka i pijeska iznose 204</w:t>
      </w:r>
      <w:r w:rsidR="003E6166" w:rsidRPr="00C14311">
        <w:rPr>
          <w:rFonts w:ascii="Arial" w:hAnsi="Arial" w:cs="Arial"/>
          <w:sz w:val="24"/>
          <w:szCs w:val="24"/>
        </w:rPr>
        <w:t>.</w:t>
      </w:r>
      <w:r w:rsidRPr="00C14311">
        <w:rPr>
          <w:rFonts w:ascii="Arial" w:hAnsi="Arial" w:cs="Arial"/>
          <w:sz w:val="24"/>
          <w:szCs w:val="24"/>
        </w:rPr>
        <w:t>007,50 m</w:t>
      </w:r>
      <w:r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dok su eksploatacione rezerve 183</w:t>
      </w:r>
      <w:r w:rsidR="003E6166" w:rsidRPr="00C14311">
        <w:rPr>
          <w:rFonts w:ascii="Arial" w:hAnsi="Arial" w:cs="Arial"/>
          <w:sz w:val="24"/>
          <w:szCs w:val="24"/>
        </w:rPr>
        <w:t>.</w:t>
      </w:r>
      <w:r w:rsidRPr="00C14311">
        <w:rPr>
          <w:rFonts w:ascii="Arial" w:hAnsi="Arial" w:cs="Arial"/>
          <w:sz w:val="24"/>
          <w:szCs w:val="24"/>
        </w:rPr>
        <w:t>606,75 m</w:t>
      </w:r>
      <w:r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w:t>
      </w:r>
    </w:p>
    <w:p w:rsidR="008914BE" w:rsidRPr="00C14311" w:rsidRDefault="008914BE" w:rsidP="00722DF4">
      <w:pPr>
        <w:autoSpaceDE w:val="0"/>
        <w:autoSpaceDN w:val="0"/>
        <w:adjustRightInd w:val="0"/>
        <w:spacing w:after="0"/>
        <w:jc w:val="both"/>
        <w:rPr>
          <w:rFonts w:ascii="Arial" w:hAnsi="Arial" w:cs="Arial"/>
          <w:sz w:val="24"/>
          <w:szCs w:val="24"/>
        </w:rPr>
      </w:pPr>
    </w:p>
    <w:p w:rsidR="001B3B6D" w:rsidRPr="00C14311"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Pod Ugovorom o koncesiji za detaljna geološka istraživanja i eksploataciju tehni</w:t>
      </w:r>
      <w:r w:rsidR="0043258C" w:rsidRPr="00C14311">
        <w:rPr>
          <w:rFonts w:ascii="Arial" w:hAnsi="Arial" w:cs="Arial"/>
          <w:sz w:val="24"/>
          <w:szCs w:val="24"/>
        </w:rPr>
        <w:t>čko</w:t>
      </w:r>
      <w:r w:rsidR="0070374B" w:rsidRPr="00C14311">
        <w:rPr>
          <w:rFonts w:ascii="Arial" w:hAnsi="Arial" w:cs="Arial"/>
          <w:sz w:val="24"/>
          <w:szCs w:val="24"/>
        </w:rPr>
        <w:t>-</w:t>
      </w:r>
      <w:r w:rsidR="0043258C" w:rsidRPr="00C14311">
        <w:rPr>
          <w:rFonts w:ascii="Arial" w:hAnsi="Arial" w:cs="Arial"/>
          <w:sz w:val="24"/>
          <w:szCs w:val="24"/>
        </w:rPr>
        <w:t>građevinskog kamena u Crnoj G</w:t>
      </w:r>
      <w:r w:rsidRPr="00C14311">
        <w:rPr>
          <w:rFonts w:ascii="Arial" w:hAnsi="Arial" w:cs="Arial"/>
          <w:sz w:val="24"/>
          <w:szCs w:val="24"/>
        </w:rPr>
        <w:t xml:space="preserve">ori su trenutno 27 ležišta (tabela </w:t>
      </w:r>
      <w:r w:rsidR="00722DF4" w:rsidRPr="00C14311">
        <w:rPr>
          <w:rFonts w:ascii="Arial" w:hAnsi="Arial" w:cs="Arial"/>
          <w:sz w:val="24"/>
          <w:szCs w:val="24"/>
        </w:rPr>
        <w:t>1.</w:t>
      </w:r>
      <w:r w:rsidR="00A35959">
        <w:rPr>
          <w:rFonts w:ascii="Arial" w:hAnsi="Arial" w:cs="Arial"/>
          <w:sz w:val="24"/>
          <w:szCs w:val="24"/>
        </w:rPr>
        <w:t>9</w:t>
      </w:r>
      <w:r w:rsidRPr="00C14311">
        <w:rPr>
          <w:rFonts w:ascii="Arial" w:hAnsi="Arial" w:cs="Arial"/>
          <w:sz w:val="24"/>
          <w:szCs w:val="24"/>
        </w:rPr>
        <w:t>).</w:t>
      </w:r>
    </w:p>
    <w:p w:rsidR="008914BE" w:rsidRPr="00C14311"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C14311">
        <w:rPr>
          <w:rFonts w:ascii="Arial" w:hAnsi="Arial" w:cs="Arial"/>
          <w:sz w:val="24"/>
          <w:szCs w:val="24"/>
        </w:rPr>
        <w:t>Ukupne bilansne rezerve tehničko-građevinskog u ležištima pod koncesijom A+B+C</w:t>
      </w:r>
      <w:r w:rsidR="0043258C" w:rsidRPr="00C14311">
        <w:rPr>
          <w:rFonts w:ascii="Arial" w:hAnsi="Arial" w:cs="Arial"/>
          <w:sz w:val="24"/>
          <w:szCs w:val="24"/>
        </w:rPr>
        <w:t>1 kategorije iznose 91.891.081m</w:t>
      </w:r>
      <w:r w:rsidR="0043258C" w:rsidRPr="00C14311">
        <w:rPr>
          <w:rFonts w:ascii="Arial" w:hAnsi="Arial" w:cs="Arial"/>
          <w:sz w:val="24"/>
          <w:szCs w:val="24"/>
          <w:vertAlign w:val="superscript"/>
        </w:rPr>
        <w:t>3</w:t>
      </w:r>
      <w:r w:rsidR="003E6166" w:rsidRPr="00C14311">
        <w:rPr>
          <w:rFonts w:ascii="Arial" w:hAnsi="Arial" w:cs="Arial"/>
          <w:sz w:val="24"/>
          <w:szCs w:val="24"/>
        </w:rPr>
        <w:t>č.s.m</w:t>
      </w:r>
      <w:r w:rsidRPr="00C14311">
        <w:rPr>
          <w:rFonts w:ascii="Arial" w:hAnsi="Arial" w:cs="Arial"/>
          <w:sz w:val="24"/>
          <w:szCs w:val="24"/>
        </w:rPr>
        <w:t>, od čega rezervama B kategorije pripada 73.085.607</w:t>
      </w:r>
      <w:r w:rsidR="00C21B56">
        <w:rPr>
          <w:rFonts w:ascii="Arial" w:hAnsi="Arial" w:cs="Arial"/>
          <w:sz w:val="24"/>
          <w:szCs w:val="24"/>
        </w:rPr>
        <w:t xml:space="preserve"> </w:t>
      </w:r>
      <w:r w:rsidRPr="00C14311">
        <w:rPr>
          <w:rFonts w:ascii="Arial" w:hAnsi="Arial" w:cs="Arial"/>
          <w:sz w:val="24"/>
          <w:szCs w:val="24"/>
        </w:rPr>
        <w:t>m</w:t>
      </w:r>
      <w:r w:rsidRPr="00C14311">
        <w:rPr>
          <w:rFonts w:ascii="Arial" w:hAnsi="Arial" w:cs="Arial"/>
          <w:sz w:val="24"/>
          <w:szCs w:val="24"/>
          <w:vertAlign w:val="superscript"/>
        </w:rPr>
        <w:t>3</w:t>
      </w:r>
      <w:r w:rsidR="00C60A8F" w:rsidRPr="00C14311">
        <w:rPr>
          <w:rFonts w:ascii="Arial" w:hAnsi="Arial" w:cs="Arial"/>
          <w:sz w:val="24"/>
          <w:szCs w:val="24"/>
        </w:rPr>
        <w:t>č.s.m</w:t>
      </w:r>
      <w:r w:rsidRPr="00C14311">
        <w:rPr>
          <w:rFonts w:ascii="Arial" w:hAnsi="Arial" w:cs="Arial"/>
          <w:sz w:val="24"/>
          <w:szCs w:val="24"/>
        </w:rPr>
        <w:t>, a rezervama C1 kategorije 16.678.943</w:t>
      </w:r>
      <w:r w:rsidR="004D714E">
        <w:rPr>
          <w:rFonts w:ascii="Arial" w:hAnsi="Arial" w:cs="Arial"/>
          <w:sz w:val="24"/>
          <w:szCs w:val="24"/>
        </w:rPr>
        <w:t xml:space="preserve"> </w:t>
      </w:r>
      <w:r w:rsidRPr="00C14311">
        <w:rPr>
          <w:rFonts w:ascii="Arial" w:hAnsi="Arial" w:cs="Arial"/>
          <w:sz w:val="24"/>
          <w:szCs w:val="24"/>
        </w:rPr>
        <w:t>m</w:t>
      </w:r>
      <w:r w:rsidRPr="00C14311">
        <w:rPr>
          <w:rFonts w:ascii="Arial" w:hAnsi="Arial" w:cs="Arial"/>
          <w:sz w:val="24"/>
          <w:szCs w:val="24"/>
          <w:vertAlign w:val="superscript"/>
        </w:rPr>
        <w:t>3</w:t>
      </w:r>
      <w:r w:rsidR="00C60A8F" w:rsidRPr="00C14311">
        <w:rPr>
          <w:rFonts w:ascii="Arial" w:hAnsi="Arial" w:cs="Arial"/>
          <w:sz w:val="24"/>
          <w:szCs w:val="24"/>
        </w:rPr>
        <w:t>č.s.m</w:t>
      </w:r>
      <w:r w:rsidRPr="00C14311">
        <w:rPr>
          <w:rFonts w:ascii="Arial" w:hAnsi="Arial" w:cs="Arial"/>
          <w:sz w:val="24"/>
          <w:szCs w:val="24"/>
        </w:rPr>
        <w:t>. Vrijeme trajanja koncesije u ovim ležištima je shodno Ugovorima o koncesiji od 10 do 30 godina.</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Pr="00C21B56" w:rsidRDefault="001B3B6D" w:rsidP="00722DF4">
      <w:pPr>
        <w:autoSpaceDE w:val="0"/>
        <w:autoSpaceDN w:val="0"/>
        <w:adjustRightInd w:val="0"/>
        <w:spacing w:after="0"/>
        <w:jc w:val="both"/>
        <w:rPr>
          <w:rFonts w:ascii="Arial" w:hAnsi="Arial" w:cs="Arial"/>
        </w:rPr>
      </w:pPr>
      <w:r w:rsidRPr="00C21B56">
        <w:rPr>
          <w:rFonts w:ascii="Arial" w:hAnsi="Arial" w:cs="Arial"/>
          <w:b/>
          <w:bCs/>
        </w:rPr>
        <w:t xml:space="preserve">Tabela </w:t>
      </w:r>
      <w:r w:rsidR="00722DF4" w:rsidRPr="00C21B56">
        <w:rPr>
          <w:rFonts w:ascii="Arial" w:hAnsi="Arial" w:cs="Arial"/>
          <w:b/>
          <w:bCs/>
        </w:rPr>
        <w:t>1.</w:t>
      </w:r>
      <w:r w:rsidR="00A35959">
        <w:rPr>
          <w:rFonts w:ascii="Arial" w:hAnsi="Arial" w:cs="Arial"/>
          <w:b/>
          <w:bCs/>
        </w:rPr>
        <w:t>9</w:t>
      </w:r>
      <w:r w:rsidR="00722DF4" w:rsidRPr="00C21B56">
        <w:rPr>
          <w:rFonts w:ascii="Arial" w:hAnsi="Arial" w:cs="Arial"/>
          <w:b/>
          <w:bCs/>
        </w:rPr>
        <w:t>.</w:t>
      </w:r>
      <w:r w:rsidRPr="00C21B56">
        <w:rPr>
          <w:rFonts w:ascii="Arial" w:hAnsi="Arial" w:cs="Arial"/>
          <w:b/>
          <w:bCs/>
        </w:rPr>
        <w:t xml:space="preserve"> </w:t>
      </w:r>
      <w:r w:rsidRPr="00C21B56">
        <w:rPr>
          <w:rFonts w:ascii="Arial" w:hAnsi="Arial" w:cs="Arial"/>
          <w:iCs/>
        </w:rPr>
        <w:t>Bilansne rezerve ležišta tehničko-građevinskog kamena pod koncesijom</w:t>
      </w: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0"/>
        <w:gridCol w:w="1444"/>
        <w:gridCol w:w="1384"/>
        <w:gridCol w:w="1426"/>
        <w:gridCol w:w="1621"/>
        <w:gridCol w:w="1493"/>
      </w:tblGrid>
      <w:tr w:rsidR="00A35959" w:rsidRPr="00D1785F" w:rsidTr="00D41E7B">
        <w:trPr>
          <w:trHeight w:val="170"/>
          <w:jc w:val="center"/>
        </w:trPr>
        <w:tc>
          <w:tcPr>
            <w:tcW w:w="2730" w:type="dxa"/>
            <w:vMerge w:val="restart"/>
            <w:vAlign w:val="center"/>
          </w:tcPr>
          <w:p w:rsidR="00A35959" w:rsidRPr="00D1785F" w:rsidRDefault="00A35959" w:rsidP="00D41E7B">
            <w:pPr>
              <w:spacing w:after="0" w:line="240" w:lineRule="auto"/>
              <w:jc w:val="center"/>
              <w:rPr>
                <w:rFonts w:ascii="Arial" w:hAnsi="Arial" w:cs="Arial"/>
                <w:b/>
                <w:i/>
                <w:sz w:val="18"/>
                <w:szCs w:val="18"/>
              </w:rPr>
            </w:pPr>
            <w:r w:rsidRPr="00D1785F">
              <w:rPr>
                <w:rFonts w:ascii="Arial" w:hAnsi="Arial" w:cs="Arial"/>
                <w:b/>
                <w:i/>
                <w:sz w:val="18"/>
                <w:szCs w:val="18"/>
              </w:rPr>
              <w:t>Ležište</w:t>
            </w:r>
          </w:p>
        </w:tc>
        <w:tc>
          <w:tcPr>
            <w:tcW w:w="4254" w:type="dxa"/>
            <w:gridSpan w:val="3"/>
            <w:tcBorders>
              <w:right w:val="single" w:sz="4" w:space="0" w:color="auto"/>
            </w:tcBorders>
            <w:vAlign w:val="center"/>
          </w:tcPr>
          <w:p w:rsidR="00A35959" w:rsidRPr="00D1785F" w:rsidRDefault="00A35959" w:rsidP="00D41E7B">
            <w:pPr>
              <w:spacing w:after="0" w:line="240" w:lineRule="auto"/>
              <w:jc w:val="center"/>
              <w:rPr>
                <w:rFonts w:ascii="Arial" w:hAnsi="Arial" w:cs="Arial"/>
                <w:b/>
                <w:i/>
                <w:sz w:val="18"/>
                <w:szCs w:val="18"/>
              </w:rPr>
            </w:pPr>
            <w:r w:rsidRPr="00D1785F">
              <w:rPr>
                <w:rFonts w:ascii="Arial" w:hAnsi="Arial" w:cs="Arial"/>
                <w:b/>
                <w:i/>
                <w:sz w:val="18"/>
                <w:szCs w:val="18"/>
              </w:rPr>
              <w:t>Bilansne rezerve po kategorijama, (m</w:t>
            </w:r>
            <w:r w:rsidRPr="00D1785F">
              <w:rPr>
                <w:rFonts w:ascii="Arial" w:hAnsi="Arial" w:cs="Arial"/>
                <w:b/>
                <w:i/>
                <w:sz w:val="18"/>
                <w:szCs w:val="18"/>
                <w:vertAlign w:val="superscript"/>
              </w:rPr>
              <w:t>3</w:t>
            </w:r>
            <w:r>
              <w:rPr>
                <w:rFonts w:ascii="Arial" w:hAnsi="Arial" w:cs="Arial"/>
                <w:b/>
                <w:i/>
                <w:sz w:val="18"/>
                <w:szCs w:val="18"/>
              </w:rPr>
              <w:t>č.s.m</w:t>
            </w:r>
            <w:r w:rsidRPr="00D1785F">
              <w:rPr>
                <w:rFonts w:ascii="Arial" w:hAnsi="Arial" w:cs="Arial"/>
                <w:b/>
                <w:i/>
                <w:sz w:val="18"/>
                <w:szCs w:val="18"/>
              </w:rPr>
              <w:t>)</w:t>
            </w:r>
          </w:p>
        </w:tc>
        <w:tc>
          <w:tcPr>
            <w:tcW w:w="1621" w:type="dxa"/>
            <w:vMerge w:val="restart"/>
            <w:vAlign w:val="center"/>
          </w:tcPr>
          <w:p w:rsidR="00A35959" w:rsidRPr="00D1785F" w:rsidRDefault="00A35959" w:rsidP="00D41E7B">
            <w:pPr>
              <w:spacing w:after="0" w:line="240" w:lineRule="auto"/>
              <w:jc w:val="center"/>
              <w:rPr>
                <w:rFonts w:ascii="Arial" w:hAnsi="Arial" w:cs="Arial"/>
                <w:b/>
                <w:i/>
                <w:sz w:val="18"/>
                <w:szCs w:val="18"/>
              </w:rPr>
            </w:pPr>
            <w:r w:rsidRPr="00D1785F">
              <w:rPr>
                <w:rFonts w:ascii="Arial" w:hAnsi="Arial" w:cs="Arial"/>
                <w:b/>
                <w:i/>
                <w:sz w:val="18"/>
                <w:szCs w:val="18"/>
              </w:rPr>
              <w:t>Eksploatacione rezerve (m</w:t>
            </w:r>
            <w:r w:rsidRPr="00D1785F">
              <w:rPr>
                <w:rFonts w:ascii="Arial" w:hAnsi="Arial" w:cs="Arial"/>
                <w:b/>
                <w:i/>
                <w:sz w:val="18"/>
                <w:szCs w:val="18"/>
                <w:vertAlign w:val="superscript"/>
              </w:rPr>
              <w:t>3</w:t>
            </w:r>
            <w:r w:rsidRPr="00D1785F">
              <w:rPr>
                <w:rFonts w:ascii="Arial" w:hAnsi="Arial" w:cs="Arial"/>
                <w:b/>
                <w:i/>
                <w:sz w:val="18"/>
                <w:szCs w:val="18"/>
              </w:rPr>
              <w:t>)</w:t>
            </w:r>
          </w:p>
        </w:tc>
        <w:tc>
          <w:tcPr>
            <w:tcW w:w="1493" w:type="dxa"/>
            <w:vMerge w:val="restart"/>
            <w:vAlign w:val="center"/>
          </w:tcPr>
          <w:p w:rsidR="00A35959" w:rsidRPr="00D1785F" w:rsidRDefault="00A35959" w:rsidP="00D41E7B">
            <w:pPr>
              <w:spacing w:after="0" w:line="240" w:lineRule="auto"/>
              <w:jc w:val="center"/>
              <w:rPr>
                <w:rFonts w:ascii="Arial" w:hAnsi="Arial" w:cs="Arial"/>
                <w:b/>
                <w:i/>
                <w:sz w:val="18"/>
                <w:szCs w:val="18"/>
              </w:rPr>
            </w:pPr>
            <w:r w:rsidRPr="00D1785F">
              <w:rPr>
                <w:rFonts w:ascii="Arial" w:hAnsi="Arial" w:cs="Arial"/>
                <w:b/>
                <w:i/>
                <w:sz w:val="18"/>
                <w:szCs w:val="18"/>
              </w:rPr>
              <w:t>Vrijeme trajanja koncesije (godina)</w:t>
            </w:r>
          </w:p>
        </w:tc>
      </w:tr>
      <w:tr w:rsidR="00A35959" w:rsidRPr="00D1785F" w:rsidTr="00D41E7B">
        <w:trPr>
          <w:jc w:val="center"/>
        </w:trPr>
        <w:tc>
          <w:tcPr>
            <w:tcW w:w="2730" w:type="dxa"/>
            <w:vMerge/>
          </w:tcPr>
          <w:p w:rsidR="00A35959" w:rsidRPr="00D1785F" w:rsidRDefault="00A35959" w:rsidP="00D41E7B">
            <w:pPr>
              <w:spacing w:after="0" w:line="240" w:lineRule="auto"/>
              <w:rPr>
                <w:rFonts w:ascii="Arial" w:hAnsi="Arial" w:cs="Arial"/>
                <w:b/>
                <w:i/>
                <w:sz w:val="18"/>
                <w:szCs w:val="18"/>
              </w:rPr>
            </w:pPr>
          </w:p>
        </w:tc>
        <w:tc>
          <w:tcPr>
            <w:tcW w:w="1444" w:type="dxa"/>
          </w:tcPr>
          <w:p w:rsidR="00A35959" w:rsidRPr="00D1785F" w:rsidRDefault="00A35959" w:rsidP="00D41E7B">
            <w:pPr>
              <w:spacing w:after="0" w:line="240" w:lineRule="auto"/>
              <w:jc w:val="center"/>
              <w:rPr>
                <w:rFonts w:ascii="Arial" w:hAnsi="Arial" w:cs="Arial"/>
                <w:b/>
                <w:i/>
                <w:sz w:val="18"/>
                <w:szCs w:val="18"/>
              </w:rPr>
            </w:pPr>
            <w:r w:rsidRPr="00D1785F">
              <w:rPr>
                <w:rFonts w:ascii="Arial" w:hAnsi="Arial" w:cs="Arial"/>
                <w:b/>
                <w:i/>
                <w:sz w:val="18"/>
                <w:szCs w:val="18"/>
              </w:rPr>
              <w:t>B</w:t>
            </w:r>
          </w:p>
        </w:tc>
        <w:tc>
          <w:tcPr>
            <w:tcW w:w="1384" w:type="dxa"/>
          </w:tcPr>
          <w:p w:rsidR="00A35959" w:rsidRPr="00D1785F" w:rsidRDefault="00A35959" w:rsidP="00D41E7B">
            <w:pPr>
              <w:spacing w:after="0" w:line="240" w:lineRule="auto"/>
              <w:jc w:val="center"/>
              <w:rPr>
                <w:rFonts w:ascii="Arial" w:hAnsi="Arial" w:cs="Arial"/>
                <w:b/>
                <w:i/>
                <w:sz w:val="18"/>
                <w:szCs w:val="18"/>
              </w:rPr>
            </w:pPr>
            <w:r w:rsidRPr="00D1785F">
              <w:rPr>
                <w:rFonts w:ascii="Arial" w:hAnsi="Arial" w:cs="Arial"/>
                <w:b/>
                <w:i/>
                <w:sz w:val="18"/>
                <w:szCs w:val="18"/>
              </w:rPr>
              <w:t>C</w:t>
            </w:r>
            <w:r w:rsidRPr="00D1785F">
              <w:rPr>
                <w:rFonts w:ascii="Arial" w:hAnsi="Arial" w:cs="Arial"/>
                <w:b/>
                <w:i/>
                <w:sz w:val="18"/>
                <w:szCs w:val="18"/>
                <w:vertAlign w:val="subscript"/>
              </w:rPr>
              <w:t>1</w:t>
            </w:r>
          </w:p>
        </w:tc>
        <w:tc>
          <w:tcPr>
            <w:tcW w:w="1426" w:type="dxa"/>
            <w:tcBorders>
              <w:right w:val="single" w:sz="4" w:space="0" w:color="auto"/>
            </w:tcBorders>
          </w:tcPr>
          <w:p w:rsidR="00A35959" w:rsidRPr="00D1785F" w:rsidRDefault="00A35959" w:rsidP="00D41E7B">
            <w:pPr>
              <w:spacing w:after="0" w:line="240" w:lineRule="auto"/>
              <w:jc w:val="center"/>
              <w:rPr>
                <w:rFonts w:ascii="Arial" w:hAnsi="Arial" w:cs="Arial"/>
                <w:b/>
                <w:i/>
                <w:sz w:val="18"/>
                <w:szCs w:val="18"/>
              </w:rPr>
            </w:pPr>
            <w:r w:rsidRPr="00D1785F">
              <w:rPr>
                <w:rFonts w:ascii="Arial" w:hAnsi="Arial" w:cs="Arial"/>
                <w:b/>
                <w:i/>
                <w:sz w:val="18"/>
                <w:szCs w:val="18"/>
              </w:rPr>
              <w:t>B+ C</w:t>
            </w:r>
            <w:r w:rsidRPr="00D1785F">
              <w:rPr>
                <w:rFonts w:ascii="Arial" w:hAnsi="Arial" w:cs="Arial"/>
                <w:b/>
                <w:i/>
                <w:sz w:val="18"/>
                <w:szCs w:val="18"/>
                <w:vertAlign w:val="subscript"/>
              </w:rPr>
              <w:t>1</w:t>
            </w:r>
          </w:p>
        </w:tc>
        <w:tc>
          <w:tcPr>
            <w:tcW w:w="1621" w:type="dxa"/>
            <w:vMerge/>
          </w:tcPr>
          <w:p w:rsidR="00A35959" w:rsidRPr="00D1785F" w:rsidRDefault="00A35959" w:rsidP="00D41E7B">
            <w:pPr>
              <w:spacing w:after="0" w:line="240" w:lineRule="auto"/>
              <w:jc w:val="center"/>
              <w:rPr>
                <w:rFonts w:ascii="Arial" w:hAnsi="Arial" w:cs="Arial"/>
                <w:sz w:val="18"/>
                <w:szCs w:val="18"/>
              </w:rPr>
            </w:pPr>
          </w:p>
        </w:tc>
        <w:tc>
          <w:tcPr>
            <w:tcW w:w="1493" w:type="dxa"/>
            <w:vMerge/>
          </w:tcPr>
          <w:p w:rsidR="00A35959" w:rsidRPr="00D1785F" w:rsidRDefault="00A35959" w:rsidP="00D41E7B">
            <w:pPr>
              <w:spacing w:after="0" w:line="240" w:lineRule="auto"/>
              <w:jc w:val="center"/>
              <w:rPr>
                <w:rFonts w:ascii="Arial" w:hAnsi="Arial" w:cs="Arial"/>
                <w:sz w:val="18"/>
                <w:szCs w:val="18"/>
              </w:rPr>
            </w:pPr>
          </w:p>
        </w:tc>
      </w:tr>
      <w:tr w:rsidR="00A35959" w:rsidRPr="00D1785F" w:rsidTr="00D41E7B">
        <w:trPr>
          <w:trHeight w:val="170"/>
          <w:jc w:val="center"/>
        </w:trPr>
        <w:tc>
          <w:tcPr>
            <w:tcW w:w="10098" w:type="dxa"/>
            <w:gridSpan w:val="6"/>
          </w:tcPr>
          <w:p w:rsidR="00A35959" w:rsidRPr="00D1785F" w:rsidRDefault="00A35959" w:rsidP="00D41E7B">
            <w:pPr>
              <w:spacing w:after="0" w:line="240" w:lineRule="auto"/>
              <w:jc w:val="center"/>
              <w:rPr>
                <w:rFonts w:ascii="Arial" w:hAnsi="Arial" w:cs="Arial"/>
                <w:b/>
                <w:sz w:val="18"/>
                <w:szCs w:val="18"/>
              </w:rPr>
            </w:pPr>
            <w:r w:rsidRPr="00D1785F">
              <w:rPr>
                <w:rFonts w:ascii="Arial" w:hAnsi="Arial" w:cs="Arial"/>
                <w:b/>
                <w:sz w:val="18"/>
                <w:szCs w:val="18"/>
              </w:rPr>
              <w:t>PRIMORSKI DIO</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 Darza</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1 600 908,00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1 779 502,00</w:t>
            </w:r>
          </w:p>
        </w:tc>
        <w:tc>
          <w:tcPr>
            <w:tcW w:w="1426" w:type="dxa"/>
            <w:tcBorders>
              <w:right w:val="single" w:sz="4" w:space="0" w:color="auto"/>
            </w:tcBorders>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3 380 410,00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2 873 348,00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15</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 Možura</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5 169 020,00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1 692 240,00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6 861 260,00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5 489 008,00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18</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3.Kalac</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3 695 000,00</w:t>
            </w:r>
          </w:p>
        </w:tc>
        <w:tc>
          <w:tcPr>
            <w:tcW w:w="1384"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3 695 000,00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3 325 500,00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21,5</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4.Todorov krš</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2 878 250,00</w:t>
            </w:r>
          </w:p>
        </w:tc>
        <w:tc>
          <w:tcPr>
            <w:tcW w:w="1384"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2 878 250,00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2 590 425,00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21,5</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5. Platac</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2 799 795,00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308 854,00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3 108 649,00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2 797 784,00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15</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6. Rudine-Nalježići</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452 960,00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27 126,00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480 086,00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432 077,40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15</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7. Lješevići-Gajevi</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bCs/>
                <w:iCs/>
                <w:sz w:val="18"/>
                <w:szCs w:val="18"/>
              </w:rPr>
              <w:t>1 409 000,00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bCs/>
                <w:iCs/>
                <w:sz w:val="18"/>
                <w:szCs w:val="18"/>
              </w:rPr>
              <w:t>1 294 000,00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bCs/>
                <w:iCs/>
                <w:sz w:val="18"/>
                <w:szCs w:val="18"/>
              </w:rPr>
              <w:t>2 703 000,00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bCs/>
                <w:iCs/>
                <w:sz w:val="18"/>
                <w:szCs w:val="18"/>
              </w:rPr>
              <w:t>2 297 550,00</w:t>
            </w:r>
          </w:p>
        </w:tc>
        <w:tc>
          <w:tcPr>
            <w:tcW w:w="1493" w:type="dxa"/>
          </w:tcPr>
          <w:p w:rsidR="00A35959" w:rsidRPr="00D1785F" w:rsidRDefault="00A35959" w:rsidP="00D41E7B">
            <w:pPr>
              <w:spacing w:after="0" w:line="240" w:lineRule="auto"/>
              <w:jc w:val="center"/>
              <w:rPr>
                <w:rFonts w:ascii="Arial" w:hAnsi="Arial" w:cs="Arial"/>
                <w:bCs/>
                <w:iCs/>
                <w:sz w:val="18"/>
                <w:szCs w:val="18"/>
              </w:rPr>
            </w:pPr>
            <w:r w:rsidRPr="00D1785F">
              <w:rPr>
                <w:rFonts w:ascii="Arial" w:hAnsi="Arial" w:cs="Arial"/>
                <w:bCs/>
                <w:iCs/>
                <w:sz w:val="18"/>
                <w:szCs w:val="18"/>
              </w:rPr>
              <w:t>16</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8.Vranovići-Grabovac</w:t>
            </w:r>
          </w:p>
        </w:tc>
        <w:tc>
          <w:tcPr>
            <w:tcW w:w="1444"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136 805,00</w:t>
            </w:r>
          </w:p>
        </w:tc>
        <w:tc>
          <w:tcPr>
            <w:tcW w:w="1384" w:type="dxa"/>
          </w:tcPr>
          <w:p w:rsidR="00A35959" w:rsidRPr="00D1785F" w:rsidRDefault="00A35959" w:rsidP="00D41E7B">
            <w:pPr>
              <w:spacing w:after="0" w:line="240" w:lineRule="auto"/>
              <w:jc w:val="center"/>
              <w:rPr>
                <w:rFonts w:ascii="Arial" w:hAnsi="Arial" w:cs="Arial"/>
                <w:bCs/>
                <w:iCs/>
                <w:sz w:val="18"/>
                <w:szCs w:val="18"/>
              </w:rPr>
            </w:pPr>
            <w:r w:rsidRPr="00D1785F">
              <w:rPr>
                <w:rFonts w:ascii="Arial" w:hAnsi="Arial" w:cs="Arial"/>
                <w:bCs/>
                <w:iCs/>
                <w:sz w:val="18"/>
                <w:szCs w:val="18"/>
              </w:rPr>
              <w:t>-</w:t>
            </w:r>
          </w:p>
        </w:tc>
        <w:tc>
          <w:tcPr>
            <w:tcW w:w="1426"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136 805,00</w:t>
            </w:r>
          </w:p>
        </w:tc>
        <w:tc>
          <w:tcPr>
            <w:tcW w:w="1621"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123 125,00</w:t>
            </w:r>
          </w:p>
        </w:tc>
        <w:tc>
          <w:tcPr>
            <w:tcW w:w="1493" w:type="dxa"/>
          </w:tcPr>
          <w:p w:rsidR="00A35959" w:rsidRPr="00D1785F" w:rsidRDefault="00A35959" w:rsidP="00D41E7B">
            <w:pPr>
              <w:spacing w:after="0" w:line="240" w:lineRule="auto"/>
              <w:jc w:val="center"/>
              <w:rPr>
                <w:rFonts w:ascii="Arial" w:hAnsi="Arial" w:cs="Arial"/>
                <w:bCs/>
                <w:iCs/>
                <w:sz w:val="18"/>
                <w:szCs w:val="18"/>
              </w:rPr>
            </w:pPr>
            <w:r w:rsidRPr="00D1785F">
              <w:rPr>
                <w:rFonts w:ascii="Arial" w:hAnsi="Arial" w:cs="Arial"/>
                <w:bCs/>
                <w:iCs/>
                <w:sz w:val="18"/>
                <w:szCs w:val="18"/>
              </w:rPr>
              <w:t>11</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9. Krivošije Donje</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21 255 000,00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1 487 500,00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22 742 500,00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20 468 250,00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21,5</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lastRenderedPageBreak/>
              <w:t>10.Kameno more</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2 799 795,00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308 854,00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3 108 649,00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2 797 784,00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30</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11. Bjelotina</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3 602 710,00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294 988,00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3 897 698,00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3 507 928,00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11</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12. Kruševice I</w:t>
            </w:r>
          </w:p>
        </w:tc>
        <w:tc>
          <w:tcPr>
            <w:tcW w:w="1444"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233 500,00</w:t>
            </w:r>
          </w:p>
        </w:tc>
        <w:tc>
          <w:tcPr>
            <w:tcW w:w="1384" w:type="dxa"/>
          </w:tcPr>
          <w:p w:rsidR="00A35959" w:rsidRPr="00D1785F" w:rsidRDefault="00A35959" w:rsidP="00D41E7B">
            <w:pPr>
              <w:spacing w:after="0" w:line="240" w:lineRule="auto"/>
              <w:jc w:val="center"/>
              <w:rPr>
                <w:rFonts w:ascii="Arial" w:hAnsi="Arial" w:cs="Arial"/>
                <w:bCs/>
                <w:iCs/>
                <w:sz w:val="18"/>
                <w:szCs w:val="18"/>
              </w:rPr>
            </w:pPr>
            <w:r w:rsidRPr="00D1785F">
              <w:rPr>
                <w:rFonts w:ascii="Arial" w:hAnsi="Arial" w:cs="Arial"/>
                <w:bCs/>
                <w:iCs/>
                <w:sz w:val="18"/>
                <w:szCs w:val="18"/>
              </w:rPr>
              <w:t>-</w:t>
            </w:r>
          </w:p>
        </w:tc>
        <w:tc>
          <w:tcPr>
            <w:tcW w:w="1426"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233 500,00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210 150,00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11</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13. Kruševice II</w:t>
            </w:r>
          </w:p>
        </w:tc>
        <w:tc>
          <w:tcPr>
            <w:tcW w:w="1444"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435 000,00</w:t>
            </w:r>
          </w:p>
        </w:tc>
        <w:tc>
          <w:tcPr>
            <w:tcW w:w="1384"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221 000,00</w:t>
            </w:r>
          </w:p>
        </w:tc>
        <w:tc>
          <w:tcPr>
            <w:tcW w:w="1426"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656 000,00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590 400,00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11</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14. Sitnica</w:t>
            </w:r>
          </w:p>
        </w:tc>
        <w:tc>
          <w:tcPr>
            <w:tcW w:w="1444"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382 270,00</w:t>
            </w:r>
          </w:p>
        </w:tc>
        <w:tc>
          <w:tcPr>
            <w:tcW w:w="1384" w:type="dxa"/>
          </w:tcPr>
          <w:p w:rsidR="00A35959" w:rsidRPr="00D1785F" w:rsidRDefault="00A35959" w:rsidP="00D41E7B">
            <w:pPr>
              <w:spacing w:after="0" w:line="240" w:lineRule="auto"/>
              <w:jc w:val="center"/>
              <w:rPr>
                <w:rFonts w:ascii="Arial" w:hAnsi="Arial" w:cs="Arial"/>
                <w:bCs/>
                <w:iCs/>
                <w:sz w:val="18"/>
                <w:szCs w:val="18"/>
              </w:rPr>
            </w:pPr>
            <w:r w:rsidRPr="00D1785F">
              <w:rPr>
                <w:rFonts w:ascii="Arial" w:hAnsi="Arial" w:cs="Arial"/>
                <w:bCs/>
                <w:iCs/>
                <w:sz w:val="18"/>
                <w:szCs w:val="18"/>
              </w:rPr>
              <w:t>-</w:t>
            </w:r>
          </w:p>
        </w:tc>
        <w:tc>
          <w:tcPr>
            <w:tcW w:w="1426"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382 270,00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bCs/>
                <w:iCs/>
                <w:sz w:val="18"/>
                <w:szCs w:val="18"/>
              </w:rPr>
              <w:t>344 043,00</w:t>
            </w:r>
          </w:p>
        </w:tc>
        <w:tc>
          <w:tcPr>
            <w:tcW w:w="1493" w:type="dxa"/>
          </w:tcPr>
          <w:p w:rsidR="00A35959" w:rsidRPr="00D1785F" w:rsidRDefault="00A35959" w:rsidP="00D41E7B">
            <w:pPr>
              <w:spacing w:after="0" w:line="240" w:lineRule="auto"/>
              <w:jc w:val="center"/>
              <w:rPr>
                <w:rFonts w:ascii="Arial" w:hAnsi="Arial" w:cs="Arial"/>
                <w:bCs/>
                <w:iCs/>
                <w:sz w:val="18"/>
                <w:szCs w:val="18"/>
              </w:rPr>
            </w:pPr>
            <w:r w:rsidRPr="00D1785F">
              <w:rPr>
                <w:rFonts w:ascii="Arial" w:hAnsi="Arial" w:cs="Arial"/>
                <w:bCs/>
                <w:iCs/>
                <w:sz w:val="18"/>
                <w:szCs w:val="18"/>
              </w:rPr>
              <w:t>30</w:t>
            </w:r>
          </w:p>
        </w:tc>
      </w:tr>
      <w:tr w:rsidR="00A35959" w:rsidRPr="00D1785F" w:rsidTr="00D41E7B">
        <w:trPr>
          <w:trHeight w:val="170"/>
          <w:jc w:val="center"/>
        </w:trPr>
        <w:tc>
          <w:tcPr>
            <w:tcW w:w="10098" w:type="dxa"/>
            <w:gridSpan w:val="6"/>
          </w:tcPr>
          <w:p w:rsidR="00A35959" w:rsidRPr="00D1785F" w:rsidRDefault="00A35959" w:rsidP="00D41E7B">
            <w:pPr>
              <w:spacing w:after="0" w:line="240" w:lineRule="auto"/>
              <w:jc w:val="center"/>
              <w:rPr>
                <w:rFonts w:ascii="Arial" w:hAnsi="Arial" w:cs="Arial"/>
                <w:b/>
                <w:sz w:val="18"/>
                <w:szCs w:val="18"/>
              </w:rPr>
            </w:pPr>
            <w:r w:rsidRPr="00D1785F">
              <w:rPr>
                <w:rFonts w:ascii="Arial" w:hAnsi="Arial" w:cs="Arial"/>
                <w:b/>
                <w:sz w:val="18"/>
                <w:szCs w:val="18"/>
              </w:rPr>
              <w:t>CENTRALNI DIO</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15. Sađavac</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3 284 800,00</w:t>
            </w:r>
          </w:p>
        </w:tc>
        <w:tc>
          <w:tcPr>
            <w:tcW w:w="1384"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1 361 778,00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4 646 578,00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4 181 920,00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16</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16. Visočica</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1 372 623,00</w:t>
            </w:r>
          </w:p>
        </w:tc>
        <w:tc>
          <w:tcPr>
            <w:tcW w:w="1384"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1 372 623,00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1 340 775,00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30</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17. Maljat</w:t>
            </w:r>
          </w:p>
        </w:tc>
        <w:tc>
          <w:tcPr>
            <w:tcW w:w="1444"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w:t>
            </w:r>
          </w:p>
        </w:tc>
        <w:tc>
          <w:tcPr>
            <w:tcW w:w="1384"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2 126 531,00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1 908 068,00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10</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18. Potoci</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2 995 511,00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1 390 567,00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4 386 078,00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3 947 470,00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11</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19. Grabova kosa</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677 772,00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251 228,00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929 000,00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836 100,00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22</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20. Kuside</w:t>
            </w:r>
          </w:p>
        </w:tc>
        <w:tc>
          <w:tcPr>
            <w:tcW w:w="1444"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2 359 016,00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1 018 241,00</w:t>
            </w:r>
          </w:p>
        </w:tc>
        <w:tc>
          <w:tcPr>
            <w:tcW w:w="1426" w:type="dxa"/>
          </w:tcPr>
          <w:p w:rsidR="00A35959" w:rsidRPr="00D1785F" w:rsidRDefault="00A35959" w:rsidP="00D41E7B">
            <w:pPr>
              <w:spacing w:after="0" w:line="240" w:lineRule="auto"/>
              <w:jc w:val="right"/>
              <w:rPr>
                <w:rFonts w:ascii="Arial" w:hAnsi="Arial" w:cs="Arial"/>
                <w:bCs/>
                <w:iCs/>
                <w:sz w:val="18"/>
                <w:szCs w:val="18"/>
              </w:rPr>
            </w:pPr>
            <w:r w:rsidRPr="00D1785F">
              <w:rPr>
                <w:rFonts w:ascii="Arial" w:hAnsi="Arial" w:cs="Arial"/>
                <w:bCs/>
                <w:iCs/>
                <w:sz w:val="18"/>
                <w:szCs w:val="18"/>
              </w:rPr>
              <w:t>3 377 257,00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3 039 531,00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30</w:t>
            </w:r>
          </w:p>
        </w:tc>
      </w:tr>
      <w:tr w:rsidR="00A35959" w:rsidRPr="00D1785F" w:rsidTr="00D41E7B">
        <w:trPr>
          <w:trHeight w:val="170"/>
          <w:jc w:val="center"/>
        </w:trPr>
        <w:tc>
          <w:tcPr>
            <w:tcW w:w="10098" w:type="dxa"/>
            <w:gridSpan w:val="6"/>
          </w:tcPr>
          <w:p w:rsidR="00A35959" w:rsidRPr="00D1785F" w:rsidRDefault="00A35959" w:rsidP="00D41E7B">
            <w:pPr>
              <w:spacing w:after="0" w:line="240" w:lineRule="auto"/>
              <w:jc w:val="center"/>
              <w:rPr>
                <w:rFonts w:ascii="Arial" w:hAnsi="Arial" w:cs="Arial"/>
                <w:b/>
                <w:sz w:val="18"/>
                <w:szCs w:val="18"/>
              </w:rPr>
            </w:pPr>
            <w:r w:rsidRPr="00D1785F">
              <w:rPr>
                <w:rFonts w:ascii="Arial" w:hAnsi="Arial" w:cs="Arial"/>
                <w:b/>
                <w:sz w:val="18"/>
                <w:szCs w:val="18"/>
              </w:rPr>
              <w:t>SJEVERNI DIO</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21. Lješnica-Bioča</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1 837 638,00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667 100,00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2 504 738,00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2 254 264,00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11</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22. Taskavac-Štitarica</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615 730,00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436 829,00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1 052 559,00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999 931,05</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20</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23. Okruglički krš-Štitarica</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1 092 497,00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1 686 495,00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2 778 992,00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2 640 042,00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25</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24. Otilovići</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1 342 556,00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730 459,00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bCs/>
                <w:iCs/>
                <w:sz w:val="18"/>
                <w:szCs w:val="18"/>
              </w:rPr>
              <w:t>2 073 015,00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bCs/>
                <w:iCs/>
                <w:sz w:val="18"/>
                <w:szCs w:val="18"/>
              </w:rPr>
              <w:t>1 865 714,00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21</w:t>
            </w:r>
          </w:p>
        </w:tc>
      </w:tr>
      <w:tr w:rsidR="00A35959" w:rsidRPr="00D1785F" w:rsidTr="00D41E7B">
        <w:trPr>
          <w:trHeight w:val="170"/>
          <w:jc w:val="center"/>
        </w:trPr>
        <w:tc>
          <w:tcPr>
            <w:tcW w:w="2730" w:type="dxa"/>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25. Rajčevo brdo</w:t>
            </w:r>
          </w:p>
        </w:tc>
        <w:tc>
          <w:tcPr>
            <w:tcW w:w="144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7 958 400,00</w:t>
            </w:r>
          </w:p>
        </w:tc>
        <w:tc>
          <w:tcPr>
            <w:tcW w:w="1384"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1 434 700,00</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9 393 100,00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7 984 135,00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21</w:t>
            </w:r>
          </w:p>
        </w:tc>
      </w:tr>
      <w:tr w:rsidR="00A35959" w:rsidRPr="00D1785F" w:rsidTr="00D41E7B">
        <w:trPr>
          <w:trHeight w:val="170"/>
          <w:jc w:val="center"/>
        </w:trPr>
        <w:tc>
          <w:tcPr>
            <w:tcW w:w="2730" w:type="dxa"/>
            <w:tcBorders>
              <w:right w:val="single" w:sz="4" w:space="0" w:color="auto"/>
            </w:tcBorders>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26. Bušnje</w:t>
            </w:r>
          </w:p>
        </w:tc>
        <w:tc>
          <w:tcPr>
            <w:tcW w:w="1444" w:type="dxa"/>
            <w:tcBorders>
              <w:left w:val="single" w:sz="4" w:space="0" w:color="auto"/>
              <w:right w:val="single" w:sz="4" w:space="0" w:color="auto"/>
            </w:tcBorders>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461 618,00</w:t>
            </w:r>
          </w:p>
        </w:tc>
        <w:tc>
          <w:tcPr>
            <w:tcW w:w="1384" w:type="dxa"/>
            <w:tcBorders>
              <w:left w:val="single" w:sz="4" w:space="0" w:color="auto"/>
              <w:right w:val="single" w:sz="4" w:space="0" w:color="auto"/>
            </w:tcBorders>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287 482,00</w:t>
            </w:r>
          </w:p>
        </w:tc>
        <w:tc>
          <w:tcPr>
            <w:tcW w:w="1426" w:type="dxa"/>
            <w:tcBorders>
              <w:left w:val="single" w:sz="4" w:space="0" w:color="auto"/>
            </w:tcBorders>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749 100,00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647 190,00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10</w:t>
            </w:r>
          </w:p>
        </w:tc>
      </w:tr>
      <w:tr w:rsidR="00A35959" w:rsidRPr="00D1785F" w:rsidTr="00D41E7B">
        <w:trPr>
          <w:trHeight w:val="170"/>
          <w:jc w:val="center"/>
        </w:trPr>
        <w:tc>
          <w:tcPr>
            <w:tcW w:w="2730" w:type="dxa"/>
            <w:tcBorders>
              <w:right w:val="single" w:sz="4" w:space="0" w:color="auto"/>
            </w:tcBorders>
          </w:tcPr>
          <w:p w:rsidR="00A35959" w:rsidRPr="00D1785F" w:rsidRDefault="00A35959" w:rsidP="00D41E7B">
            <w:pPr>
              <w:spacing w:after="0" w:line="240" w:lineRule="auto"/>
              <w:rPr>
                <w:rFonts w:ascii="Arial" w:hAnsi="Arial" w:cs="Arial"/>
                <w:b/>
                <w:i/>
                <w:sz w:val="18"/>
                <w:szCs w:val="18"/>
              </w:rPr>
            </w:pPr>
            <w:r w:rsidRPr="00D1785F">
              <w:rPr>
                <w:rFonts w:ascii="Arial" w:hAnsi="Arial" w:cs="Arial"/>
                <w:b/>
                <w:i/>
                <w:sz w:val="18"/>
                <w:szCs w:val="18"/>
              </w:rPr>
              <w:t>27. Vilići</w:t>
            </w:r>
          </w:p>
        </w:tc>
        <w:tc>
          <w:tcPr>
            <w:tcW w:w="1444" w:type="dxa"/>
            <w:tcBorders>
              <w:left w:val="single" w:sz="4" w:space="0" w:color="auto"/>
              <w:right w:val="single" w:sz="4" w:space="0" w:color="auto"/>
            </w:tcBorders>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2 237 433,00</w:t>
            </w:r>
          </w:p>
        </w:tc>
        <w:tc>
          <w:tcPr>
            <w:tcW w:w="1384" w:type="dxa"/>
            <w:tcBorders>
              <w:left w:val="single" w:sz="4" w:space="0" w:color="auto"/>
            </w:tcBorders>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w:t>
            </w:r>
          </w:p>
        </w:tc>
        <w:tc>
          <w:tcPr>
            <w:tcW w:w="1426"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2 237 433,00</w:t>
            </w:r>
          </w:p>
        </w:tc>
        <w:tc>
          <w:tcPr>
            <w:tcW w:w="1621" w:type="dxa"/>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sz w:val="18"/>
                <w:szCs w:val="18"/>
              </w:rPr>
              <w:t>2 013 690,00</w:t>
            </w:r>
          </w:p>
        </w:tc>
        <w:tc>
          <w:tcPr>
            <w:tcW w:w="1493" w:type="dxa"/>
          </w:tcPr>
          <w:p w:rsidR="00A35959" w:rsidRPr="00D1785F" w:rsidRDefault="00A35959" w:rsidP="00D41E7B">
            <w:pPr>
              <w:spacing w:after="0" w:line="240" w:lineRule="auto"/>
              <w:jc w:val="center"/>
              <w:rPr>
                <w:rFonts w:ascii="Arial" w:hAnsi="Arial" w:cs="Arial"/>
                <w:sz w:val="18"/>
                <w:szCs w:val="18"/>
              </w:rPr>
            </w:pPr>
            <w:r w:rsidRPr="00D1785F">
              <w:rPr>
                <w:rFonts w:ascii="Arial" w:hAnsi="Arial" w:cs="Arial"/>
                <w:sz w:val="18"/>
                <w:szCs w:val="18"/>
              </w:rPr>
              <w:t>17,5</w:t>
            </w:r>
          </w:p>
        </w:tc>
      </w:tr>
      <w:tr w:rsidR="00A35959" w:rsidRPr="00D1785F" w:rsidTr="00D41E7B">
        <w:trPr>
          <w:trHeight w:val="286"/>
          <w:jc w:val="center"/>
        </w:trPr>
        <w:tc>
          <w:tcPr>
            <w:tcW w:w="2730" w:type="dxa"/>
            <w:tcBorders>
              <w:bottom w:val="single" w:sz="4" w:space="0" w:color="auto"/>
              <w:right w:val="single" w:sz="4" w:space="0" w:color="auto"/>
            </w:tcBorders>
          </w:tcPr>
          <w:p w:rsidR="00A35959" w:rsidRPr="00D1785F" w:rsidRDefault="00A35959" w:rsidP="00D41E7B">
            <w:pPr>
              <w:spacing w:after="0" w:line="240" w:lineRule="auto"/>
              <w:jc w:val="right"/>
              <w:rPr>
                <w:rFonts w:ascii="Arial" w:hAnsi="Arial" w:cs="Arial"/>
                <w:sz w:val="18"/>
                <w:szCs w:val="18"/>
              </w:rPr>
            </w:pPr>
            <w:r w:rsidRPr="00D1785F">
              <w:rPr>
                <w:rFonts w:ascii="Arial" w:hAnsi="Arial" w:cs="Arial"/>
                <w:b/>
                <w:i/>
                <w:sz w:val="18"/>
                <w:szCs w:val="18"/>
              </w:rPr>
              <w:t>UKUPNO:</w:t>
            </w:r>
          </w:p>
        </w:tc>
        <w:tc>
          <w:tcPr>
            <w:tcW w:w="1444" w:type="dxa"/>
            <w:tcBorders>
              <w:left w:val="single" w:sz="4" w:space="0" w:color="auto"/>
              <w:bottom w:val="single" w:sz="4" w:space="0" w:color="auto"/>
              <w:right w:val="single" w:sz="4" w:space="0" w:color="auto"/>
            </w:tcBorders>
          </w:tcPr>
          <w:p w:rsidR="00A35959" w:rsidRPr="00D1785F" w:rsidRDefault="00A35959" w:rsidP="00D41E7B">
            <w:pPr>
              <w:spacing w:after="0" w:line="240" w:lineRule="auto"/>
              <w:jc w:val="right"/>
              <w:rPr>
                <w:rFonts w:ascii="Arial" w:hAnsi="Arial" w:cs="Arial"/>
                <w:b/>
                <w:sz w:val="18"/>
                <w:szCs w:val="18"/>
              </w:rPr>
            </w:pPr>
            <w:r w:rsidRPr="00D1785F">
              <w:rPr>
                <w:rFonts w:ascii="Arial" w:eastAsia="Times New Roman" w:hAnsi="Arial" w:cs="Arial"/>
                <w:b/>
                <w:color w:val="000000"/>
                <w:sz w:val="18"/>
                <w:szCs w:val="18"/>
              </w:rPr>
              <w:t>73 085 607</w:t>
            </w:r>
          </w:p>
        </w:tc>
        <w:tc>
          <w:tcPr>
            <w:tcW w:w="1384" w:type="dxa"/>
            <w:tcBorders>
              <w:left w:val="single" w:sz="4" w:space="0" w:color="auto"/>
              <w:bottom w:val="single" w:sz="4" w:space="0" w:color="auto"/>
            </w:tcBorders>
          </w:tcPr>
          <w:p w:rsidR="00A35959" w:rsidRPr="00D1785F" w:rsidRDefault="00A35959" w:rsidP="00D41E7B">
            <w:pPr>
              <w:spacing w:after="0" w:line="240" w:lineRule="auto"/>
              <w:jc w:val="right"/>
              <w:rPr>
                <w:rFonts w:ascii="Arial" w:hAnsi="Arial" w:cs="Arial"/>
                <w:b/>
                <w:sz w:val="18"/>
                <w:szCs w:val="18"/>
              </w:rPr>
            </w:pPr>
            <w:r w:rsidRPr="00D1785F">
              <w:rPr>
                <w:rFonts w:ascii="Arial" w:eastAsia="Times New Roman" w:hAnsi="Arial" w:cs="Arial"/>
                <w:b/>
                <w:color w:val="000000"/>
                <w:sz w:val="18"/>
                <w:szCs w:val="18"/>
              </w:rPr>
              <w:t>16 678 943</w:t>
            </w:r>
          </w:p>
        </w:tc>
        <w:tc>
          <w:tcPr>
            <w:tcW w:w="1426" w:type="dxa"/>
            <w:tcBorders>
              <w:bottom w:val="single" w:sz="4" w:space="0" w:color="auto"/>
            </w:tcBorders>
          </w:tcPr>
          <w:p w:rsidR="00A35959" w:rsidRPr="00D1785F" w:rsidRDefault="00A35959" w:rsidP="00D41E7B">
            <w:pPr>
              <w:spacing w:after="0" w:line="240" w:lineRule="auto"/>
              <w:jc w:val="right"/>
              <w:rPr>
                <w:rFonts w:ascii="Arial" w:hAnsi="Arial" w:cs="Arial"/>
                <w:b/>
                <w:sz w:val="18"/>
                <w:szCs w:val="18"/>
              </w:rPr>
            </w:pPr>
            <w:r w:rsidRPr="00D1785F">
              <w:rPr>
                <w:rFonts w:ascii="Arial" w:eastAsia="Times New Roman" w:hAnsi="Arial" w:cs="Arial"/>
                <w:b/>
                <w:color w:val="000000"/>
                <w:sz w:val="18"/>
                <w:szCs w:val="18"/>
              </w:rPr>
              <w:t>91 891 081</w:t>
            </w:r>
          </w:p>
        </w:tc>
        <w:tc>
          <w:tcPr>
            <w:tcW w:w="1621" w:type="dxa"/>
            <w:tcBorders>
              <w:bottom w:val="single" w:sz="4" w:space="0" w:color="auto"/>
            </w:tcBorders>
          </w:tcPr>
          <w:p w:rsidR="00A35959" w:rsidRPr="00D1785F" w:rsidRDefault="00A35959" w:rsidP="00D41E7B">
            <w:pPr>
              <w:spacing w:after="0" w:line="240" w:lineRule="auto"/>
              <w:jc w:val="right"/>
              <w:rPr>
                <w:rFonts w:ascii="Arial" w:eastAsia="Times New Roman" w:hAnsi="Arial" w:cs="Arial"/>
                <w:b/>
                <w:color w:val="000000"/>
                <w:sz w:val="18"/>
                <w:szCs w:val="18"/>
              </w:rPr>
            </w:pPr>
            <w:r w:rsidRPr="00D1785F">
              <w:rPr>
                <w:rFonts w:ascii="Arial" w:eastAsia="Times New Roman" w:hAnsi="Arial" w:cs="Arial"/>
                <w:b/>
                <w:color w:val="000000"/>
                <w:sz w:val="18"/>
                <w:szCs w:val="18"/>
              </w:rPr>
              <w:t>81 506 202,45</w:t>
            </w:r>
          </w:p>
        </w:tc>
        <w:tc>
          <w:tcPr>
            <w:tcW w:w="1493" w:type="dxa"/>
            <w:tcBorders>
              <w:bottom w:val="single" w:sz="4" w:space="0" w:color="auto"/>
            </w:tcBorders>
          </w:tcPr>
          <w:p w:rsidR="00A35959" w:rsidRPr="00D1785F" w:rsidRDefault="00A35959" w:rsidP="00D41E7B">
            <w:pPr>
              <w:spacing w:after="0" w:line="240" w:lineRule="auto"/>
              <w:jc w:val="center"/>
              <w:rPr>
                <w:rFonts w:ascii="Arial" w:hAnsi="Arial" w:cs="Arial"/>
                <w:b/>
                <w:color w:val="000000"/>
                <w:sz w:val="18"/>
                <w:szCs w:val="18"/>
              </w:rPr>
            </w:pPr>
          </w:p>
        </w:tc>
      </w:tr>
    </w:tbl>
    <w:p w:rsidR="00CF287D" w:rsidRDefault="00CF287D" w:rsidP="00722DF4">
      <w:pPr>
        <w:autoSpaceDE w:val="0"/>
        <w:autoSpaceDN w:val="0"/>
        <w:adjustRightInd w:val="0"/>
        <w:spacing w:after="0"/>
        <w:jc w:val="both"/>
        <w:rPr>
          <w:rFonts w:ascii="Arial" w:hAnsi="Arial" w:cs="Arial"/>
          <w:b/>
          <w:bCs/>
          <w:sz w:val="24"/>
          <w:szCs w:val="24"/>
        </w:rPr>
      </w:pPr>
    </w:p>
    <w:p w:rsidR="00CF287D" w:rsidRPr="009D4484" w:rsidRDefault="00CF287D" w:rsidP="00CF287D">
      <w:pPr>
        <w:spacing w:after="0"/>
        <w:rPr>
          <w:rFonts w:ascii="Arial" w:hAnsi="Arial" w:cs="Arial"/>
          <w:b/>
          <w:lang w:val="sr-Latn-CS"/>
        </w:rPr>
      </w:pPr>
      <w:r w:rsidRPr="009D4484">
        <w:rPr>
          <w:rFonts w:ascii="Arial" w:hAnsi="Arial" w:cs="Arial"/>
          <w:b/>
          <w:lang w:val="sr-Latn-CS"/>
        </w:rPr>
        <w:t>Tabela 1.</w:t>
      </w:r>
      <w:r w:rsidR="00947831" w:rsidRPr="009D4484">
        <w:rPr>
          <w:rFonts w:ascii="Arial" w:hAnsi="Arial" w:cs="Arial"/>
          <w:b/>
          <w:lang w:val="sr-Latn-CS"/>
        </w:rPr>
        <w:t>1</w:t>
      </w:r>
      <w:r w:rsidR="00A35959">
        <w:rPr>
          <w:rFonts w:ascii="Arial" w:hAnsi="Arial" w:cs="Arial"/>
          <w:b/>
          <w:lang w:val="sr-Latn-CS"/>
        </w:rPr>
        <w:t>0</w:t>
      </w:r>
      <w:r w:rsidRPr="009D4484">
        <w:rPr>
          <w:rFonts w:ascii="Arial" w:hAnsi="Arial" w:cs="Arial"/>
          <w:b/>
          <w:lang w:val="sr-Latn-CS"/>
        </w:rPr>
        <w:t xml:space="preserve">: </w:t>
      </w:r>
      <w:r w:rsidRPr="009D4484">
        <w:rPr>
          <w:rFonts w:ascii="Arial" w:hAnsi="Arial" w:cs="Arial"/>
          <w:lang w:val="sr-Latn-CS"/>
        </w:rPr>
        <w:t>Projekcija eksploatacije t-g kamena u Crnoj Gori</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630"/>
        <w:gridCol w:w="628"/>
        <w:gridCol w:w="627"/>
        <w:gridCol w:w="627"/>
        <w:gridCol w:w="627"/>
        <w:gridCol w:w="627"/>
        <w:gridCol w:w="627"/>
        <w:gridCol w:w="627"/>
        <w:gridCol w:w="627"/>
        <w:gridCol w:w="645"/>
        <w:gridCol w:w="799"/>
      </w:tblGrid>
      <w:tr w:rsidR="00CF287D" w:rsidRPr="00C14311" w:rsidTr="00CF287D">
        <w:tc>
          <w:tcPr>
            <w:tcW w:w="1439"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LEŽIŠTA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2019.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2022.</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2023.</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2027.</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2028.</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2019-2028.</w:t>
            </w:r>
          </w:p>
        </w:tc>
      </w:tr>
      <w:tr w:rsidR="00CF287D" w:rsidRPr="00C14311" w:rsidTr="00CF287D">
        <w:trPr>
          <w:trHeight w:val="227"/>
        </w:trPr>
        <w:tc>
          <w:tcPr>
            <w:tcW w:w="5000" w:type="pct"/>
            <w:gridSpan w:val="12"/>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b/>
                <w:sz w:val="16"/>
                <w:szCs w:val="16"/>
                <w:lang w:val="sr-Latn-CS"/>
              </w:rPr>
              <w:t>000 m</w:t>
            </w:r>
            <w:r w:rsidRPr="00C14311">
              <w:rPr>
                <w:rFonts w:ascii="Arial" w:hAnsi="Arial" w:cs="Arial"/>
                <w:b/>
                <w:sz w:val="16"/>
                <w:szCs w:val="16"/>
                <w:vertAlign w:val="superscript"/>
                <w:lang w:val="sr-Latn-CS"/>
              </w:rPr>
              <w:t>3</w:t>
            </w:r>
            <w:r w:rsidRPr="00C14311">
              <w:rPr>
                <w:rFonts w:ascii="Arial" w:hAnsi="Arial" w:cs="Arial"/>
                <w:b/>
                <w:sz w:val="16"/>
                <w:szCs w:val="16"/>
                <w:lang w:val="sr-Latn-CS"/>
              </w:rPr>
              <w:t xml:space="preserve"> č.s.m</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 Darza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2. Možura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3. Platac</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450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4. Rudine-Nalježići</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5. Lješevići-Gajevi</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6. Krivošije Donje</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7.Kameno more</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160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8. Kruševice I</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9. Kruševice II</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10. Sitnica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11. Sađavac</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12. Visočica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124,10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13. Maljat</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65,47</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14. Potoci</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300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15. Grabova kosa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80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16. Kuside</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17. Lješnica-Bioča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70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18. Taskavac-Štitarica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140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19. Okruglički krš-Štitarica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250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20. Otilovići</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21. Rajčevo brdo</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22. Bušnje</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200</w:t>
            </w:r>
          </w:p>
        </w:tc>
      </w:tr>
      <w:tr w:rsidR="00CF287D" w:rsidRPr="00C14311" w:rsidTr="00CF287D">
        <w:tc>
          <w:tcPr>
            <w:tcW w:w="1439" w:type="pct"/>
            <w:tcBorders>
              <w:top w:val="single" w:sz="4" w:space="0" w:color="auto"/>
              <w:left w:val="single" w:sz="4" w:space="0" w:color="auto"/>
              <w:bottom w:val="single" w:sz="4" w:space="0" w:color="auto"/>
              <w:right w:val="single" w:sz="4" w:space="0" w:color="auto"/>
            </w:tcBorders>
            <w:hideMark/>
          </w:tcPr>
          <w:p w:rsidR="00CF287D" w:rsidRPr="00C14311" w:rsidRDefault="00CF287D">
            <w:pPr>
              <w:spacing w:after="0" w:line="240" w:lineRule="auto"/>
              <w:rPr>
                <w:rFonts w:ascii="Arial" w:hAnsi="Arial" w:cs="Arial"/>
                <w:b/>
                <w:i/>
                <w:sz w:val="18"/>
                <w:szCs w:val="18"/>
                <w:lang w:val="sr-Latn-CS"/>
              </w:rPr>
            </w:pPr>
            <w:r w:rsidRPr="00C14311">
              <w:rPr>
                <w:rFonts w:ascii="Arial" w:hAnsi="Arial" w:cs="Arial"/>
                <w:b/>
                <w:i/>
                <w:sz w:val="18"/>
                <w:szCs w:val="18"/>
                <w:lang w:val="sr-Latn-CS"/>
              </w:rPr>
              <w:t>23. Vilići</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sz w:val="16"/>
                <w:szCs w:val="16"/>
                <w:lang w:val="sr-Latn-CS"/>
              </w:rPr>
              <w:t>150</w:t>
            </w:r>
          </w:p>
        </w:tc>
      </w:tr>
      <w:tr w:rsidR="00CF287D" w:rsidTr="00CF287D">
        <w:trPr>
          <w:trHeight w:val="433"/>
        </w:trPr>
        <w:tc>
          <w:tcPr>
            <w:tcW w:w="1439"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UKUPNO PROJEKCIJA UGOVORENE</w:t>
            </w:r>
          </w:p>
          <w:p w:rsidR="00CF287D" w:rsidRPr="00C14311" w:rsidRDefault="00CF287D">
            <w:pPr>
              <w:spacing w:after="0" w:line="240" w:lineRule="auto"/>
              <w:jc w:val="center"/>
              <w:rPr>
                <w:rFonts w:ascii="Arial" w:hAnsi="Arial" w:cs="Arial"/>
                <w:sz w:val="16"/>
                <w:szCs w:val="16"/>
                <w:lang w:val="sr-Latn-CS"/>
              </w:rPr>
            </w:pPr>
            <w:r w:rsidRPr="00C14311">
              <w:rPr>
                <w:rFonts w:ascii="Arial" w:hAnsi="Arial" w:cs="Arial"/>
                <w:b/>
                <w:sz w:val="16"/>
                <w:szCs w:val="16"/>
                <w:lang w:val="sr-Latn-CS"/>
              </w:rPr>
              <w:t>EKSPLOATACIJE T-G KAMENA</w:t>
            </w:r>
          </w:p>
        </w:tc>
        <w:tc>
          <w:tcPr>
            <w:tcW w:w="316"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567,9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315"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324" w:type="pct"/>
            <w:tcBorders>
              <w:top w:val="single" w:sz="4" w:space="0" w:color="auto"/>
              <w:left w:val="single" w:sz="4" w:space="0" w:color="auto"/>
              <w:bottom w:val="single" w:sz="4" w:space="0" w:color="auto"/>
              <w:right w:val="single" w:sz="4" w:space="0" w:color="auto"/>
            </w:tcBorders>
            <w:vAlign w:val="center"/>
            <w:hideMark/>
          </w:tcPr>
          <w:p w:rsidR="00CF287D" w:rsidRPr="00C14311" w:rsidRDefault="00CF287D">
            <w:pPr>
              <w:spacing w:after="0" w:line="240" w:lineRule="auto"/>
              <w:jc w:val="center"/>
              <w:rPr>
                <w:rFonts w:ascii="Arial" w:hAnsi="Arial" w:cs="Arial"/>
                <w:b/>
                <w:sz w:val="18"/>
                <w:szCs w:val="18"/>
                <w:lang w:val="sr-Latn-CS"/>
              </w:rPr>
            </w:pPr>
            <w:r w:rsidRPr="00C14311">
              <w:rPr>
                <w:rFonts w:ascii="Arial" w:hAnsi="Arial" w:cs="Arial"/>
                <w:b/>
                <w:sz w:val="16"/>
                <w:szCs w:val="16"/>
                <w:lang w:val="sr-Latn-CS"/>
              </w:rPr>
              <w:t>567,9</w:t>
            </w:r>
          </w:p>
        </w:tc>
        <w:tc>
          <w:tcPr>
            <w:tcW w:w="402" w:type="pct"/>
            <w:tcBorders>
              <w:top w:val="single" w:sz="4" w:space="0" w:color="auto"/>
              <w:left w:val="single" w:sz="4" w:space="0" w:color="auto"/>
              <w:bottom w:val="single" w:sz="4" w:space="0" w:color="auto"/>
              <w:right w:val="single" w:sz="4" w:space="0" w:color="auto"/>
            </w:tcBorders>
            <w:vAlign w:val="center"/>
            <w:hideMark/>
          </w:tcPr>
          <w:p w:rsidR="00CF287D" w:rsidRDefault="00CF287D">
            <w:pPr>
              <w:spacing w:after="0" w:line="240" w:lineRule="auto"/>
              <w:jc w:val="center"/>
              <w:rPr>
                <w:rFonts w:ascii="Arial" w:hAnsi="Arial" w:cs="Arial"/>
                <w:b/>
                <w:sz w:val="16"/>
                <w:szCs w:val="16"/>
                <w:lang w:val="sr-Latn-CS"/>
              </w:rPr>
            </w:pPr>
            <w:r w:rsidRPr="00C14311">
              <w:rPr>
                <w:rFonts w:ascii="Arial" w:hAnsi="Arial" w:cs="Arial"/>
                <w:b/>
                <w:sz w:val="16"/>
                <w:szCs w:val="16"/>
                <w:lang w:val="sr-Latn-CS"/>
              </w:rPr>
              <w:t>5679,57</w:t>
            </w:r>
          </w:p>
        </w:tc>
      </w:tr>
    </w:tbl>
    <w:p w:rsidR="00CF287D" w:rsidRDefault="00CF287D" w:rsidP="00722DF4">
      <w:pPr>
        <w:autoSpaceDE w:val="0"/>
        <w:autoSpaceDN w:val="0"/>
        <w:adjustRightInd w:val="0"/>
        <w:spacing w:after="0"/>
        <w:jc w:val="both"/>
        <w:rPr>
          <w:rFonts w:ascii="Arial" w:hAnsi="Arial" w:cs="Arial"/>
          <w:b/>
          <w:bCs/>
          <w:sz w:val="24"/>
          <w:szCs w:val="24"/>
        </w:rPr>
      </w:pPr>
    </w:p>
    <w:p w:rsidR="005940A1" w:rsidRDefault="005940A1" w:rsidP="00722DF4">
      <w:pPr>
        <w:autoSpaceDE w:val="0"/>
        <w:autoSpaceDN w:val="0"/>
        <w:adjustRightInd w:val="0"/>
        <w:spacing w:after="0"/>
        <w:jc w:val="both"/>
        <w:rPr>
          <w:rFonts w:ascii="Arial" w:hAnsi="Arial" w:cs="Arial"/>
          <w:b/>
          <w:bCs/>
          <w:sz w:val="24"/>
          <w:szCs w:val="24"/>
        </w:rPr>
      </w:pPr>
    </w:p>
    <w:p w:rsidR="008C4FDB" w:rsidRDefault="008C4FDB" w:rsidP="00722DF4">
      <w:pPr>
        <w:autoSpaceDE w:val="0"/>
        <w:autoSpaceDN w:val="0"/>
        <w:adjustRightInd w:val="0"/>
        <w:spacing w:after="0"/>
        <w:jc w:val="both"/>
        <w:rPr>
          <w:rFonts w:ascii="Arial" w:hAnsi="Arial" w:cs="Arial"/>
          <w:b/>
          <w:bCs/>
          <w:sz w:val="24"/>
          <w:szCs w:val="24"/>
        </w:rPr>
      </w:pPr>
    </w:p>
    <w:p w:rsidR="008C4FDB" w:rsidRPr="00722DF4" w:rsidRDefault="004D714E" w:rsidP="00722DF4">
      <w:pPr>
        <w:autoSpaceDE w:val="0"/>
        <w:autoSpaceDN w:val="0"/>
        <w:adjustRightInd w:val="0"/>
        <w:spacing w:after="0"/>
        <w:jc w:val="both"/>
        <w:rPr>
          <w:rFonts w:ascii="Arial" w:hAnsi="Arial" w:cs="Arial"/>
          <w:b/>
          <w:bCs/>
          <w:sz w:val="24"/>
          <w:szCs w:val="24"/>
        </w:rPr>
      </w:pPr>
      <w:r>
        <w:rPr>
          <w:rFonts w:ascii="Arial" w:hAnsi="Arial" w:cs="Arial"/>
          <w:b/>
          <w:bCs/>
          <w:sz w:val="24"/>
          <w:szCs w:val="24"/>
        </w:rPr>
        <w:lastRenderedPageBreak/>
        <w:t>Bijeli boksiti</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Do sada je u Crnoj Gori registrovano preko 100 ležišta i pojava bijelih boksita koja se javljaju u području Budoša, Bijelih poljana i Paklarice zatim Rudina, Banjana i Njegoša. Iako su istraživanja bijelih boksita otpočela od davnina, a sa manjim ili dužim prekidima traju sve do danas, stepen istraženosti ležišta i pojava ove mineralne sirovine je veoma nizak, a mogućnost njihove primjene u industriji slabo izučena. Iz tog razloga danas u Crnoj Gori postoje samo četiri ležišta bijelih boksita sa dokazanim bilansnim rezervama i kvalitetom i nijedno nije u eksploataciji.</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Ukupne rezerve boksita A+B+C1 kategorije na ležištima Poljane (Dionice, Brijestovo osoje I i II), Lazine, Trebovinski pod i Ravna aluga iznose 1.000.284 t</w:t>
      </w:r>
      <w:r w:rsidR="0043258C" w:rsidRPr="00722DF4">
        <w:rPr>
          <w:rFonts w:ascii="Arial" w:hAnsi="Arial" w:cs="Arial"/>
          <w:sz w:val="24"/>
          <w:szCs w:val="24"/>
        </w:rPr>
        <w:t>ona</w:t>
      </w:r>
      <w:r w:rsidRPr="00722DF4">
        <w:rPr>
          <w:rFonts w:ascii="Arial" w:hAnsi="Arial" w:cs="Arial"/>
          <w:sz w:val="24"/>
          <w:szCs w:val="24"/>
        </w:rPr>
        <w:t>. Od toga rezervama A kategorije pripada 27.000 t</w:t>
      </w:r>
      <w:r w:rsidR="0043258C" w:rsidRPr="00722DF4">
        <w:rPr>
          <w:rFonts w:ascii="Arial" w:hAnsi="Arial" w:cs="Arial"/>
          <w:sz w:val="24"/>
          <w:szCs w:val="24"/>
        </w:rPr>
        <w:t>ona</w:t>
      </w:r>
      <w:r w:rsidRPr="00722DF4">
        <w:rPr>
          <w:rFonts w:ascii="Arial" w:hAnsi="Arial" w:cs="Arial"/>
          <w:sz w:val="24"/>
          <w:szCs w:val="24"/>
        </w:rPr>
        <w:t>, rezervama B kategorije 315.346 t</w:t>
      </w:r>
      <w:r w:rsidR="0043258C" w:rsidRPr="00722DF4">
        <w:rPr>
          <w:rFonts w:ascii="Arial" w:hAnsi="Arial" w:cs="Arial"/>
          <w:sz w:val="24"/>
          <w:szCs w:val="24"/>
        </w:rPr>
        <w:t>ona</w:t>
      </w:r>
      <w:r w:rsidRPr="00722DF4">
        <w:rPr>
          <w:rFonts w:ascii="Arial" w:hAnsi="Arial" w:cs="Arial"/>
          <w:sz w:val="24"/>
          <w:szCs w:val="24"/>
        </w:rPr>
        <w:t xml:space="preserve"> a rezervama C1 kategorije 657.938 t</w:t>
      </w:r>
      <w:r w:rsidR="0043258C" w:rsidRPr="00722DF4">
        <w:rPr>
          <w:rFonts w:ascii="Arial" w:hAnsi="Arial" w:cs="Arial"/>
          <w:sz w:val="24"/>
          <w:szCs w:val="24"/>
        </w:rPr>
        <w:t>ona</w:t>
      </w:r>
      <w:r w:rsidRPr="00722DF4">
        <w:rPr>
          <w:rFonts w:ascii="Arial" w:hAnsi="Arial" w:cs="Arial"/>
          <w:sz w:val="24"/>
          <w:szCs w:val="24"/>
        </w:rPr>
        <w:t>.</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Ukupne potencijlne rezerve bijelih boksita C2 kategorije na ležištima na kojima je u prethodnom periodu vršena eksploatacija iznose 2.885.000 t</w:t>
      </w:r>
      <w:r w:rsidR="0043258C" w:rsidRPr="00722DF4">
        <w:rPr>
          <w:rFonts w:ascii="Arial" w:hAnsi="Arial" w:cs="Arial"/>
          <w:sz w:val="24"/>
          <w:szCs w:val="24"/>
        </w:rPr>
        <w:t>ona.</w:t>
      </w:r>
      <w:r w:rsidRPr="00722DF4">
        <w:rPr>
          <w:rFonts w:ascii="Arial" w:hAnsi="Arial" w:cs="Arial"/>
          <w:sz w:val="24"/>
          <w:szCs w:val="24"/>
        </w:rPr>
        <w:t xml:space="preserve"> Prognozne (potencijalne) rezerve, procjenjuju se na iznos od oko 25.000.000 tona, što područje Crne Gore čini vrlo perspktivnim u pogledu otkrivanja kompleksnih ležišta bijelih boksita čiji pojedini varijeteti imaju ekonomski značaj.</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Rezultati istraživanja bijelih boksita u ležištu Me</w:t>
      </w:r>
      <w:r w:rsidR="005940A1">
        <w:rPr>
          <w:rFonts w:ascii="Arial" w:hAnsi="Arial" w:cs="Arial"/>
          <w:sz w:val="24"/>
          <w:szCs w:val="24"/>
        </w:rPr>
        <w:t>đeđe (kod Budoša)</w:t>
      </w:r>
      <w:r w:rsidRPr="00722DF4">
        <w:rPr>
          <w:rFonts w:ascii="Arial" w:hAnsi="Arial" w:cs="Arial"/>
          <w:sz w:val="24"/>
          <w:szCs w:val="24"/>
        </w:rPr>
        <w:t xml:space="preserve">, kao i na prostoru Bijelih poljana, uz očekivana tehnološka ispitivanja, opredijeliće zainteresovane </w:t>
      </w:r>
      <w:r w:rsidR="005940A1">
        <w:rPr>
          <w:rFonts w:ascii="Arial" w:hAnsi="Arial" w:cs="Arial"/>
          <w:sz w:val="24"/>
          <w:szCs w:val="24"/>
        </w:rPr>
        <w:t>investitore</w:t>
      </w:r>
      <w:r w:rsidRPr="00722DF4">
        <w:rPr>
          <w:rFonts w:ascii="Arial" w:hAnsi="Arial" w:cs="Arial"/>
          <w:sz w:val="24"/>
          <w:szCs w:val="24"/>
        </w:rPr>
        <w:t xml:space="preserve"> i prioritete u dinamici budućih istraživanja i eksploatacije bijelih boskita u Crnoj Gori.</w:t>
      </w:r>
    </w:p>
    <w:p w:rsidR="004F57D2" w:rsidRPr="00722DF4" w:rsidRDefault="004F57D2" w:rsidP="00722DF4">
      <w:pPr>
        <w:autoSpaceDE w:val="0"/>
        <w:autoSpaceDN w:val="0"/>
        <w:adjustRightInd w:val="0"/>
        <w:spacing w:after="0"/>
        <w:jc w:val="both"/>
        <w:rPr>
          <w:rFonts w:ascii="Arial" w:hAnsi="Arial" w:cs="Arial"/>
          <w:sz w:val="24"/>
          <w:szCs w:val="24"/>
        </w:rPr>
      </w:pPr>
    </w:p>
    <w:p w:rsidR="00722DF4" w:rsidRDefault="003F7A04" w:rsidP="00722DF4">
      <w:pPr>
        <w:autoSpaceDE w:val="0"/>
        <w:autoSpaceDN w:val="0"/>
        <w:adjustRightInd w:val="0"/>
        <w:spacing w:after="0"/>
        <w:jc w:val="both"/>
        <w:rPr>
          <w:rFonts w:ascii="Arial" w:hAnsi="Arial" w:cs="Arial"/>
          <w:b/>
          <w:bCs/>
          <w:sz w:val="24"/>
          <w:szCs w:val="24"/>
        </w:rPr>
      </w:pPr>
      <w:r>
        <w:rPr>
          <w:rFonts w:ascii="Arial" w:hAnsi="Arial" w:cs="Arial"/>
          <w:b/>
          <w:bCs/>
          <w:sz w:val="24"/>
          <w:szCs w:val="24"/>
        </w:rPr>
        <w:t>Eventualna eksploatacija na postojećim ležištima sa dokazanim rezervama i novim ležištima na kojima su u toku geološka istraživanja</w:t>
      </w:r>
      <w:r w:rsidR="004F57D2">
        <w:rPr>
          <w:rFonts w:ascii="Arial" w:hAnsi="Arial" w:cs="Arial"/>
          <w:b/>
          <w:bCs/>
          <w:sz w:val="24"/>
          <w:szCs w:val="24"/>
        </w:rPr>
        <w:t>,</w:t>
      </w:r>
      <w:r>
        <w:rPr>
          <w:rFonts w:ascii="Arial" w:hAnsi="Arial" w:cs="Arial"/>
          <w:b/>
          <w:bCs/>
          <w:sz w:val="24"/>
          <w:szCs w:val="24"/>
        </w:rPr>
        <w:t xml:space="preserve"> u prvom redu će zavisti od budućih tehnoloških ispitivanja ove po mnogo čemu karakteristične mineralne sirovine, odnosno mogućnosti njene upotrebe u različitim granama industrije.</w:t>
      </w:r>
    </w:p>
    <w:p w:rsidR="00DA6246" w:rsidRDefault="00DA6246" w:rsidP="00722DF4">
      <w:pPr>
        <w:autoSpaceDE w:val="0"/>
        <w:autoSpaceDN w:val="0"/>
        <w:adjustRightInd w:val="0"/>
        <w:spacing w:after="0"/>
        <w:jc w:val="both"/>
        <w:rPr>
          <w:rFonts w:ascii="Arial" w:hAnsi="Arial" w:cs="Arial"/>
          <w:b/>
          <w:bCs/>
          <w:sz w:val="24"/>
          <w:szCs w:val="24"/>
        </w:rPr>
      </w:pPr>
    </w:p>
    <w:p w:rsidR="003F7A04" w:rsidRDefault="003F7A04" w:rsidP="003F7A04">
      <w:pPr>
        <w:autoSpaceDE w:val="0"/>
        <w:autoSpaceDN w:val="0"/>
        <w:adjustRightInd w:val="0"/>
        <w:spacing w:after="0"/>
        <w:jc w:val="both"/>
        <w:rPr>
          <w:rFonts w:ascii="Arial" w:hAnsi="Arial" w:cs="Arial"/>
          <w:b/>
          <w:bCs/>
          <w:sz w:val="24"/>
          <w:szCs w:val="24"/>
        </w:rPr>
      </w:pPr>
      <w:r>
        <w:rPr>
          <w:rFonts w:ascii="Arial" w:hAnsi="Arial" w:cs="Arial"/>
          <w:b/>
          <w:bCs/>
          <w:sz w:val="24"/>
          <w:szCs w:val="24"/>
        </w:rPr>
        <w:t>Prema P</w:t>
      </w:r>
      <w:r w:rsidR="004F57D2">
        <w:rPr>
          <w:rFonts w:ascii="Arial" w:hAnsi="Arial" w:cs="Arial"/>
          <w:b/>
          <w:bCs/>
          <w:sz w:val="24"/>
          <w:szCs w:val="24"/>
        </w:rPr>
        <w:t>lanu</w:t>
      </w:r>
      <w:r>
        <w:rPr>
          <w:rFonts w:ascii="Arial" w:hAnsi="Arial" w:cs="Arial"/>
          <w:b/>
          <w:bCs/>
          <w:sz w:val="24"/>
          <w:szCs w:val="24"/>
        </w:rPr>
        <w:t xml:space="preserve"> eksploatacije mineralnih sirovina</w:t>
      </w:r>
      <w:r w:rsidR="004F57D2">
        <w:rPr>
          <w:rFonts w:ascii="Arial" w:hAnsi="Arial" w:cs="Arial"/>
          <w:b/>
          <w:bCs/>
          <w:sz w:val="24"/>
          <w:szCs w:val="24"/>
        </w:rPr>
        <w:t xml:space="preserve"> za period</w:t>
      </w:r>
      <w:r w:rsidR="00D41AEA">
        <w:rPr>
          <w:rFonts w:ascii="Arial" w:hAnsi="Arial" w:cs="Arial"/>
          <w:b/>
          <w:bCs/>
          <w:sz w:val="24"/>
          <w:szCs w:val="24"/>
        </w:rPr>
        <w:t xml:space="preserve"> 2019-2028</w:t>
      </w:r>
      <w:r>
        <w:rPr>
          <w:rFonts w:ascii="Arial" w:hAnsi="Arial" w:cs="Arial"/>
          <w:b/>
          <w:bCs/>
          <w:sz w:val="24"/>
          <w:szCs w:val="24"/>
        </w:rPr>
        <w:t xml:space="preserve"> godine eksploatacija bijelih boksita nije definisana. </w:t>
      </w:r>
    </w:p>
    <w:p w:rsidR="002050A4" w:rsidRDefault="002050A4" w:rsidP="002050A4">
      <w:pPr>
        <w:spacing w:after="0" w:line="240" w:lineRule="auto"/>
        <w:jc w:val="both"/>
        <w:rPr>
          <w:rFonts w:ascii="Arial" w:hAnsi="Arial" w:cs="Arial"/>
          <w:b/>
          <w:color w:val="FF0000"/>
          <w:sz w:val="24"/>
          <w:szCs w:val="24"/>
          <w:lang w:val="sr-Latn-CS"/>
        </w:rPr>
      </w:pPr>
    </w:p>
    <w:p w:rsidR="002050A4" w:rsidRPr="00D41AEA" w:rsidRDefault="002050A4" w:rsidP="00D41AEA">
      <w:pPr>
        <w:spacing w:after="0"/>
        <w:jc w:val="both"/>
        <w:rPr>
          <w:rFonts w:ascii="Arial" w:hAnsi="Arial" w:cs="Arial"/>
          <w:b/>
          <w:sz w:val="24"/>
          <w:szCs w:val="24"/>
          <w:lang w:val="sr-Latn-CS"/>
        </w:rPr>
      </w:pPr>
      <w:r w:rsidRPr="00D41AEA">
        <w:rPr>
          <w:rFonts w:ascii="Arial" w:hAnsi="Arial" w:cs="Arial"/>
          <w:b/>
          <w:sz w:val="24"/>
          <w:szCs w:val="24"/>
          <w:lang w:val="sr-Latn-CS"/>
        </w:rPr>
        <w:t>Cementni laporci pljevaljskog basena kao sirovina u proizvodnji cementa</w:t>
      </w:r>
    </w:p>
    <w:p w:rsidR="005940A1" w:rsidRDefault="005940A1" w:rsidP="00D41AEA">
      <w:pPr>
        <w:spacing w:after="0"/>
        <w:jc w:val="both"/>
        <w:rPr>
          <w:rFonts w:ascii="Arial" w:hAnsi="Arial" w:cs="Arial"/>
          <w:sz w:val="24"/>
          <w:szCs w:val="24"/>
          <w:lang w:val="sr-Latn-CS"/>
        </w:rPr>
      </w:pPr>
    </w:p>
    <w:p w:rsidR="002050A4" w:rsidRPr="00D41AEA" w:rsidRDefault="002050A4" w:rsidP="00D41AEA">
      <w:pPr>
        <w:spacing w:after="0"/>
        <w:jc w:val="both"/>
        <w:rPr>
          <w:rFonts w:ascii="Arial" w:hAnsi="Arial" w:cs="Arial"/>
          <w:sz w:val="24"/>
          <w:szCs w:val="24"/>
          <w:lang w:val="sr-Latn-CS"/>
        </w:rPr>
      </w:pPr>
      <w:r w:rsidRPr="00D41AEA">
        <w:rPr>
          <w:rFonts w:ascii="Arial" w:hAnsi="Arial" w:cs="Arial"/>
          <w:sz w:val="24"/>
          <w:szCs w:val="24"/>
          <w:lang w:val="sr-Latn-CS"/>
        </w:rPr>
        <w:t>Osnovne sirovine za proizvodnju portland cementa krečnjaci, laporci i gline veoma su rasprostranjeni, kako u sjevernom, tako u središnjem i primorskom dijelu Crne Gore. Pored osnovnih sirovina Crna Gora raspolaže sirovinama koje se koriste za korekciju kvalitativnih karakteristika klinkera (glinica, topionička zgura, elektrofilterski pepeo, gips).</w:t>
      </w:r>
    </w:p>
    <w:p w:rsidR="002050A4" w:rsidRPr="00D41AEA" w:rsidRDefault="002050A4" w:rsidP="00D41AEA">
      <w:pPr>
        <w:spacing w:after="0"/>
        <w:jc w:val="both"/>
        <w:rPr>
          <w:rFonts w:ascii="Arial" w:hAnsi="Arial" w:cs="Arial"/>
          <w:sz w:val="24"/>
          <w:szCs w:val="24"/>
          <w:lang w:val="sr-Latn-CS"/>
        </w:rPr>
      </w:pPr>
    </w:p>
    <w:p w:rsidR="002050A4" w:rsidRPr="00D41AEA" w:rsidRDefault="002050A4" w:rsidP="00D41AEA">
      <w:pPr>
        <w:spacing w:after="0"/>
        <w:jc w:val="both"/>
        <w:rPr>
          <w:rFonts w:ascii="Arial" w:hAnsi="Arial" w:cs="Arial"/>
          <w:sz w:val="24"/>
          <w:szCs w:val="24"/>
          <w:lang w:val="sr-Latn-CS"/>
        </w:rPr>
      </w:pPr>
      <w:r w:rsidRPr="00D41AEA">
        <w:rPr>
          <w:rFonts w:ascii="Arial" w:hAnsi="Arial" w:cs="Arial"/>
          <w:sz w:val="24"/>
          <w:szCs w:val="24"/>
          <w:lang w:val="sr-Latn-CS"/>
        </w:rPr>
        <w:t>Proizvodnja cementa u Crnoj Gori odvijala se u periodu od 1976. do 1988. godi</w:t>
      </w:r>
      <w:r w:rsidR="00CD1177" w:rsidRPr="00D41AEA">
        <w:rPr>
          <w:rFonts w:ascii="Arial" w:hAnsi="Arial" w:cs="Arial"/>
          <w:sz w:val="24"/>
          <w:szCs w:val="24"/>
          <w:lang w:val="sr-Latn-CS"/>
        </w:rPr>
        <w:t>ne u Pljevljima kada proizvedeno oko</w:t>
      </w:r>
      <w:r w:rsidRPr="00D41AEA">
        <w:rPr>
          <w:rFonts w:ascii="Arial" w:hAnsi="Arial" w:cs="Arial"/>
          <w:sz w:val="24"/>
          <w:szCs w:val="24"/>
          <w:lang w:val="sr-Latn-CS"/>
        </w:rPr>
        <w:t xml:space="preserve"> 2.000.000 t</w:t>
      </w:r>
      <w:r w:rsidR="00D41AEA" w:rsidRPr="00D41AEA">
        <w:rPr>
          <w:rFonts w:ascii="Arial" w:hAnsi="Arial" w:cs="Arial"/>
          <w:sz w:val="24"/>
          <w:szCs w:val="24"/>
          <w:lang w:val="sr-Latn-CS"/>
        </w:rPr>
        <w:t>ona</w:t>
      </w:r>
      <w:r w:rsidRPr="00D41AEA">
        <w:rPr>
          <w:rFonts w:ascii="Arial" w:hAnsi="Arial" w:cs="Arial"/>
          <w:sz w:val="24"/>
          <w:szCs w:val="24"/>
          <w:lang w:val="sr-Latn-CS"/>
        </w:rPr>
        <w:t xml:space="preserve"> kvalitetnog portland cementa. Razlog prestanka proizvodnje, prije svega, bili su tehničko – tehnološki nedostaci primjenjene tehnologije koji su doveli do narušavanja kvaliteta životne sredine.</w:t>
      </w:r>
    </w:p>
    <w:p w:rsidR="002050A4" w:rsidRPr="00D41AEA" w:rsidRDefault="002050A4" w:rsidP="00D41AEA">
      <w:pPr>
        <w:spacing w:after="0"/>
        <w:jc w:val="both"/>
        <w:rPr>
          <w:rFonts w:ascii="Arial" w:hAnsi="Arial" w:cs="Arial"/>
          <w:sz w:val="24"/>
          <w:szCs w:val="24"/>
          <w:lang w:val="sr-Latn-CS"/>
        </w:rPr>
      </w:pPr>
    </w:p>
    <w:p w:rsidR="002050A4" w:rsidRPr="00D41AEA" w:rsidRDefault="002050A4" w:rsidP="00D41AEA">
      <w:pPr>
        <w:spacing w:after="0"/>
        <w:jc w:val="both"/>
        <w:rPr>
          <w:rFonts w:ascii="Arial" w:hAnsi="Arial" w:cs="Arial"/>
          <w:sz w:val="24"/>
          <w:szCs w:val="24"/>
          <w:lang w:val="sr-Latn-CS"/>
        </w:rPr>
      </w:pPr>
      <w:r w:rsidRPr="00D41AEA">
        <w:rPr>
          <w:rFonts w:ascii="Arial" w:hAnsi="Arial" w:cs="Arial"/>
          <w:sz w:val="24"/>
          <w:szCs w:val="24"/>
          <w:lang w:val="sr-Latn-CS"/>
        </w:rPr>
        <w:t>Od 1952. godine, od kada se odvija eksploatacija uglja na površinskom kopu Potrlica, do 31.12.2017. god. ukupno je otkopano i odvezeno na unutrašnja i spoljašnja odlagališta oko 160.000.000 m</w:t>
      </w:r>
      <w:r w:rsidRPr="00D41AEA">
        <w:rPr>
          <w:rFonts w:ascii="Arial" w:hAnsi="Arial" w:cs="Arial"/>
          <w:sz w:val="24"/>
          <w:szCs w:val="24"/>
          <w:vertAlign w:val="superscript"/>
          <w:lang w:val="sr-Latn-CS"/>
        </w:rPr>
        <w:t>3</w:t>
      </w:r>
      <w:r w:rsidRPr="00D41AEA">
        <w:rPr>
          <w:rFonts w:ascii="Arial" w:hAnsi="Arial" w:cs="Arial"/>
          <w:sz w:val="24"/>
          <w:szCs w:val="24"/>
          <w:lang w:val="sr-Latn-CS"/>
        </w:rPr>
        <w:t>čm ili 300.000.000 t</w:t>
      </w:r>
      <w:r w:rsidR="00D41AEA" w:rsidRPr="00D41AEA">
        <w:rPr>
          <w:rFonts w:ascii="Arial" w:hAnsi="Arial" w:cs="Arial"/>
          <w:sz w:val="24"/>
          <w:szCs w:val="24"/>
          <w:lang w:val="sr-Latn-CS"/>
        </w:rPr>
        <w:t>ona</w:t>
      </w:r>
      <w:r w:rsidRPr="00D41AEA">
        <w:rPr>
          <w:rFonts w:ascii="Arial" w:hAnsi="Arial" w:cs="Arial"/>
          <w:sz w:val="24"/>
          <w:szCs w:val="24"/>
          <w:lang w:val="sr-Latn-CS"/>
        </w:rPr>
        <w:t xml:space="preserve"> laporca od čega na spoljašnje odlagalište </w:t>
      </w:r>
      <w:r w:rsidR="00CD1177" w:rsidRPr="00D41AEA">
        <w:rPr>
          <w:rFonts w:ascii="Arial" w:hAnsi="Arial" w:cs="Arial"/>
          <w:sz w:val="24"/>
          <w:szCs w:val="24"/>
          <w:lang w:val="sr-Latn-CS"/>
        </w:rPr>
        <w:t>„</w:t>
      </w:r>
      <w:r w:rsidRPr="00D41AEA">
        <w:rPr>
          <w:rFonts w:ascii="Arial" w:hAnsi="Arial" w:cs="Arial"/>
          <w:sz w:val="24"/>
          <w:szCs w:val="24"/>
          <w:lang w:val="sr-Latn-CS"/>
        </w:rPr>
        <w:t>Jagnjilo</w:t>
      </w:r>
      <w:r w:rsidR="00CD1177" w:rsidRPr="00D41AEA">
        <w:rPr>
          <w:rFonts w:ascii="Arial" w:hAnsi="Arial" w:cs="Arial"/>
          <w:sz w:val="24"/>
          <w:szCs w:val="24"/>
          <w:lang w:val="sr-Latn-CS"/>
        </w:rPr>
        <w:t>“</w:t>
      </w:r>
      <w:r w:rsidRPr="00D41AEA">
        <w:rPr>
          <w:rFonts w:ascii="Arial" w:hAnsi="Arial" w:cs="Arial"/>
          <w:sz w:val="24"/>
          <w:szCs w:val="24"/>
          <w:lang w:val="sr-Latn-CS"/>
        </w:rPr>
        <w:t xml:space="preserve"> oko 42.000.000 m</w:t>
      </w:r>
      <w:r w:rsidRPr="00D41AEA">
        <w:rPr>
          <w:rFonts w:ascii="Arial" w:hAnsi="Arial" w:cs="Arial"/>
          <w:sz w:val="24"/>
          <w:szCs w:val="24"/>
          <w:vertAlign w:val="superscript"/>
          <w:lang w:val="sr-Latn-CS"/>
        </w:rPr>
        <w:t>3</w:t>
      </w:r>
      <w:r w:rsidRPr="00D41AEA">
        <w:rPr>
          <w:rFonts w:ascii="Arial" w:hAnsi="Arial" w:cs="Arial"/>
          <w:sz w:val="24"/>
          <w:szCs w:val="24"/>
          <w:lang w:val="sr-Latn-CS"/>
        </w:rPr>
        <w:t>čm ili 80.000.000 t</w:t>
      </w:r>
      <w:r w:rsidR="00D41AEA" w:rsidRPr="00D41AEA">
        <w:rPr>
          <w:rFonts w:ascii="Arial" w:hAnsi="Arial" w:cs="Arial"/>
          <w:sz w:val="24"/>
          <w:szCs w:val="24"/>
          <w:lang w:val="sr-Latn-CS"/>
        </w:rPr>
        <w:t>ona</w:t>
      </w:r>
      <w:r w:rsidRPr="00D41AEA">
        <w:rPr>
          <w:rFonts w:ascii="Arial" w:hAnsi="Arial" w:cs="Arial"/>
          <w:sz w:val="24"/>
          <w:szCs w:val="24"/>
          <w:lang w:val="sr-Latn-CS"/>
        </w:rPr>
        <w:t xml:space="preserve">. </w:t>
      </w:r>
    </w:p>
    <w:p w:rsidR="002050A4" w:rsidRPr="00D41AEA" w:rsidRDefault="002050A4" w:rsidP="00D41AEA">
      <w:pPr>
        <w:spacing w:after="0"/>
        <w:jc w:val="both"/>
        <w:rPr>
          <w:rFonts w:ascii="Arial" w:hAnsi="Arial" w:cs="Arial"/>
          <w:sz w:val="24"/>
          <w:szCs w:val="24"/>
          <w:lang w:val="sr-Latn-CS"/>
        </w:rPr>
      </w:pPr>
    </w:p>
    <w:p w:rsidR="002050A4" w:rsidRPr="00D41AEA" w:rsidRDefault="002050A4" w:rsidP="00D41AEA">
      <w:pPr>
        <w:spacing w:after="0"/>
        <w:jc w:val="both"/>
        <w:rPr>
          <w:rFonts w:ascii="Arial" w:hAnsi="Arial" w:cs="Arial"/>
          <w:sz w:val="24"/>
          <w:szCs w:val="24"/>
          <w:lang w:val="sr-Latn-CS"/>
        </w:rPr>
      </w:pPr>
      <w:r w:rsidRPr="00D41AEA">
        <w:rPr>
          <w:rFonts w:ascii="Arial" w:hAnsi="Arial" w:cs="Arial"/>
          <w:sz w:val="24"/>
          <w:szCs w:val="24"/>
          <w:lang w:val="sr-Latn-CS"/>
        </w:rPr>
        <w:t>Razmatranje mogućnosti primjene cementnih laporaca pljevaljskog basena u proizvodnji portland cementa odnosi se prvenstveno na korišćenje tehnogenog ležišta ove sirovine „Jagnjilo“ kod Pljevalja. Nova tehnološka rješenja u proizvodnji cementa, kvalitetna osnovna mineralna sirovina, energetsko gorivo i aditivi predstavljaju značajan potencijal za razvoj ove važne industrijske grane za Crnu Goru u cjelini.</w:t>
      </w:r>
    </w:p>
    <w:p w:rsidR="002050A4" w:rsidRPr="00D41AEA" w:rsidRDefault="002050A4" w:rsidP="00D41AEA">
      <w:pPr>
        <w:spacing w:after="0"/>
        <w:jc w:val="both"/>
        <w:rPr>
          <w:rFonts w:ascii="Arial" w:hAnsi="Arial" w:cs="Arial"/>
          <w:sz w:val="24"/>
          <w:szCs w:val="24"/>
          <w:lang w:val="sr-Latn-CS"/>
        </w:rPr>
      </w:pPr>
    </w:p>
    <w:p w:rsidR="002050A4" w:rsidRPr="00D41AEA" w:rsidRDefault="002050A4" w:rsidP="00D41AEA">
      <w:pPr>
        <w:spacing w:after="0"/>
        <w:jc w:val="both"/>
        <w:rPr>
          <w:rFonts w:ascii="Arial" w:hAnsi="Arial" w:cs="Arial"/>
          <w:sz w:val="24"/>
          <w:szCs w:val="24"/>
          <w:lang w:val="sr-Latn-CS"/>
        </w:rPr>
      </w:pPr>
      <w:r w:rsidRPr="00D41AEA">
        <w:rPr>
          <w:rFonts w:ascii="Arial" w:hAnsi="Arial" w:cs="Arial"/>
          <w:sz w:val="24"/>
          <w:szCs w:val="24"/>
          <w:lang w:val="sr-Latn-CS"/>
        </w:rPr>
        <w:t>Prosječna vrijednost sadržaja CaCO</w:t>
      </w:r>
      <w:r w:rsidRPr="00D41AEA">
        <w:rPr>
          <w:rFonts w:ascii="Arial" w:hAnsi="Arial" w:cs="Arial"/>
          <w:sz w:val="24"/>
          <w:szCs w:val="24"/>
          <w:vertAlign w:val="subscript"/>
          <w:lang w:val="sr-Latn-CS"/>
        </w:rPr>
        <w:t xml:space="preserve">3 </w:t>
      </w:r>
      <w:r w:rsidRPr="00D41AEA">
        <w:rPr>
          <w:rFonts w:ascii="Arial" w:hAnsi="Arial" w:cs="Arial"/>
          <w:sz w:val="24"/>
          <w:szCs w:val="24"/>
          <w:lang w:val="sr-Latn-CS"/>
        </w:rPr>
        <w:t>i MgCO</w:t>
      </w:r>
      <w:r w:rsidRPr="00D41AEA">
        <w:rPr>
          <w:rFonts w:ascii="Arial" w:hAnsi="Arial" w:cs="Arial"/>
          <w:sz w:val="24"/>
          <w:szCs w:val="24"/>
          <w:vertAlign w:val="subscript"/>
          <w:lang w:val="sr-Latn-CS"/>
        </w:rPr>
        <w:t>3</w:t>
      </w:r>
      <w:r w:rsidRPr="00D41AEA">
        <w:rPr>
          <w:rFonts w:ascii="Arial" w:hAnsi="Arial" w:cs="Arial"/>
          <w:sz w:val="24"/>
          <w:szCs w:val="24"/>
          <w:lang w:val="sr-Latn-CS"/>
        </w:rPr>
        <w:t xml:space="preserve"> zbirno za sva tri produktivna sloja cementnog laporca u ležištu pljevaljskog basena iznosi 75,42% CaCO</w:t>
      </w:r>
      <w:r w:rsidRPr="00D41AEA">
        <w:rPr>
          <w:rFonts w:ascii="Arial" w:hAnsi="Arial" w:cs="Arial"/>
          <w:sz w:val="24"/>
          <w:szCs w:val="24"/>
          <w:vertAlign w:val="subscript"/>
          <w:lang w:val="sr-Latn-CS"/>
        </w:rPr>
        <w:t xml:space="preserve">3 </w:t>
      </w:r>
      <w:r w:rsidRPr="00D41AEA">
        <w:rPr>
          <w:rFonts w:ascii="Arial" w:hAnsi="Arial" w:cs="Arial"/>
          <w:sz w:val="24"/>
          <w:szCs w:val="24"/>
          <w:lang w:val="sr-Latn-CS"/>
        </w:rPr>
        <w:t>i 1,27% MgCO</w:t>
      </w:r>
      <w:r w:rsidRPr="00D41AEA">
        <w:rPr>
          <w:rFonts w:ascii="Arial" w:hAnsi="Arial" w:cs="Arial"/>
          <w:sz w:val="24"/>
          <w:szCs w:val="24"/>
          <w:vertAlign w:val="subscript"/>
          <w:lang w:val="sr-Latn-CS"/>
        </w:rPr>
        <w:t>3</w:t>
      </w:r>
      <w:r w:rsidRPr="00D41AEA">
        <w:rPr>
          <w:rFonts w:ascii="Arial" w:hAnsi="Arial" w:cs="Arial"/>
          <w:sz w:val="24"/>
          <w:szCs w:val="24"/>
          <w:lang w:val="sr-Latn-CS"/>
        </w:rPr>
        <w:t xml:space="preserve"> što odgovara zahtjevima za sirovinu u cementnoj industriji, a prosječna vrijednost 11 karakteristika kvaliteta za sva tri paketa cementnog laporca zbirno sračunatih na osnovu podataka iz kompletnih analiza iznosi: 13.48% SiO</w:t>
      </w:r>
      <w:r w:rsidRPr="00D41AEA">
        <w:rPr>
          <w:rFonts w:ascii="Arial" w:hAnsi="Arial" w:cs="Arial"/>
          <w:sz w:val="24"/>
          <w:szCs w:val="24"/>
          <w:vertAlign w:val="subscript"/>
          <w:lang w:val="sr-Latn-CS"/>
        </w:rPr>
        <w:t>2</w:t>
      </w:r>
      <w:r w:rsidRPr="00D41AEA">
        <w:rPr>
          <w:rFonts w:ascii="Arial" w:hAnsi="Arial" w:cs="Arial"/>
          <w:sz w:val="24"/>
          <w:szCs w:val="24"/>
          <w:lang w:val="sr-Latn-CS"/>
        </w:rPr>
        <w:t>, 3.11% Al</w:t>
      </w:r>
      <w:r w:rsidRPr="00D41AEA">
        <w:rPr>
          <w:rFonts w:ascii="Arial" w:hAnsi="Arial" w:cs="Arial"/>
          <w:sz w:val="24"/>
          <w:szCs w:val="24"/>
          <w:vertAlign w:val="subscript"/>
          <w:lang w:val="sr-Latn-CS"/>
        </w:rPr>
        <w:t>2</w:t>
      </w:r>
      <w:r w:rsidRPr="00D41AEA">
        <w:rPr>
          <w:rFonts w:ascii="Arial" w:hAnsi="Arial" w:cs="Arial"/>
          <w:sz w:val="24"/>
          <w:szCs w:val="24"/>
          <w:lang w:val="sr-Latn-CS"/>
        </w:rPr>
        <w:t>O</w:t>
      </w:r>
      <w:r w:rsidRPr="00D41AEA">
        <w:rPr>
          <w:rFonts w:ascii="Arial" w:hAnsi="Arial" w:cs="Arial"/>
          <w:sz w:val="24"/>
          <w:szCs w:val="24"/>
          <w:vertAlign w:val="subscript"/>
          <w:lang w:val="sr-Latn-CS"/>
        </w:rPr>
        <w:t>3</w:t>
      </w:r>
      <w:r w:rsidRPr="00D41AEA">
        <w:rPr>
          <w:rFonts w:ascii="Arial" w:hAnsi="Arial" w:cs="Arial"/>
          <w:sz w:val="24"/>
          <w:szCs w:val="24"/>
          <w:lang w:val="sr-Latn-CS"/>
        </w:rPr>
        <w:t>, 2.06% Fe</w:t>
      </w:r>
      <w:r w:rsidRPr="00D41AEA">
        <w:rPr>
          <w:rFonts w:ascii="Arial" w:hAnsi="Arial" w:cs="Arial"/>
          <w:sz w:val="24"/>
          <w:szCs w:val="24"/>
          <w:vertAlign w:val="subscript"/>
          <w:lang w:val="sr-Latn-CS"/>
        </w:rPr>
        <w:t>2</w:t>
      </w:r>
      <w:r w:rsidRPr="00D41AEA">
        <w:rPr>
          <w:rFonts w:ascii="Arial" w:hAnsi="Arial" w:cs="Arial"/>
          <w:sz w:val="24"/>
          <w:szCs w:val="24"/>
          <w:lang w:val="sr-Latn-CS"/>
        </w:rPr>
        <w:t>O</w:t>
      </w:r>
      <w:r w:rsidRPr="00D41AEA">
        <w:rPr>
          <w:rFonts w:ascii="Arial" w:hAnsi="Arial" w:cs="Arial"/>
          <w:sz w:val="24"/>
          <w:szCs w:val="24"/>
          <w:vertAlign w:val="subscript"/>
          <w:lang w:val="sr-Latn-CS"/>
        </w:rPr>
        <w:t>3</w:t>
      </w:r>
      <w:r w:rsidRPr="00D41AEA">
        <w:rPr>
          <w:rFonts w:ascii="Arial" w:hAnsi="Arial" w:cs="Arial"/>
          <w:sz w:val="24"/>
          <w:szCs w:val="24"/>
          <w:lang w:val="sr-Latn-CS"/>
        </w:rPr>
        <w:t>, 41.99% CaO, 37.39% GZ, 0.69% MgO, 0.19% SO</w:t>
      </w:r>
      <w:r w:rsidRPr="00D41AEA">
        <w:rPr>
          <w:rFonts w:ascii="Arial" w:hAnsi="Arial" w:cs="Arial"/>
          <w:sz w:val="24"/>
          <w:szCs w:val="24"/>
          <w:vertAlign w:val="subscript"/>
          <w:lang w:val="sr-Latn-CS"/>
        </w:rPr>
        <w:t>3</w:t>
      </w:r>
      <w:r w:rsidRPr="00D41AEA">
        <w:rPr>
          <w:rFonts w:ascii="Arial" w:hAnsi="Arial" w:cs="Arial"/>
          <w:sz w:val="24"/>
          <w:szCs w:val="24"/>
          <w:lang w:val="sr-Latn-CS"/>
        </w:rPr>
        <w:t>, 0.33% Na</w:t>
      </w:r>
      <w:r w:rsidRPr="00D41AEA">
        <w:rPr>
          <w:rFonts w:ascii="Arial" w:hAnsi="Arial" w:cs="Arial"/>
          <w:sz w:val="24"/>
          <w:szCs w:val="24"/>
          <w:vertAlign w:val="subscript"/>
          <w:lang w:val="sr-Latn-CS"/>
        </w:rPr>
        <w:t>2</w:t>
      </w:r>
      <w:r w:rsidRPr="00D41AEA">
        <w:rPr>
          <w:rFonts w:ascii="Arial" w:hAnsi="Arial" w:cs="Arial"/>
          <w:sz w:val="24"/>
          <w:szCs w:val="24"/>
          <w:lang w:val="sr-Latn-CS"/>
        </w:rPr>
        <w:t>O, 0.56% K</w:t>
      </w:r>
      <w:r w:rsidRPr="00D41AEA">
        <w:rPr>
          <w:rFonts w:ascii="Arial" w:hAnsi="Arial" w:cs="Arial"/>
          <w:sz w:val="24"/>
          <w:szCs w:val="24"/>
          <w:vertAlign w:val="subscript"/>
          <w:lang w:val="sr-Latn-CS"/>
        </w:rPr>
        <w:t>2</w:t>
      </w:r>
      <w:r w:rsidRPr="00D41AEA">
        <w:rPr>
          <w:rFonts w:ascii="Arial" w:hAnsi="Arial" w:cs="Arial"/>
          <w:sz w:val="24"/>
          <w:szCs w:val="24"/>
          <w:lang w:val="sr-Latn-CS"/>
        </w:rPr>
        <w:t>O, 0.25 MnO i 0.08% P</w:t>
      </w:r>
      <w:r w:rsidRPr="00D41AEA">
        <w:rPr>
          <w:rFonts w:ascii="Arial" w:hAnsi="Arial" w:cs="Arial"/>
          <w:sz w:val="24"/>
          <w:szCs w:val="24"/>
          <w:vertAlign w:val="subscript"/>
          <w:lang w:val="sr-Latn-CS"/>
        </w:rPr>
        <w:t>2</w:t>
      </w:r>
      <w:r w:rsidRPr="00D41AEA">
        <w:rPr>
          <w:rFonts w:ascii="Arial" w:hAnsi="Arial" w:cs="Arial"/>
          <w:sz w:val="24"/>
          <w:szCs w:val="24"/>
          <w:lang w:val="sr-Latn-CS"/>
        </w:rPr>
        <w:t>O</w:t>
      </w:r>
      <w:r w:rsidRPr="00D41AEA">
        <w:rPr>
          <w:rFonts w:ascii="Arial" w:hAnsi="Arial" w:cs="Arial"/>
          <w:sz w:val="24"/>
          <w:szCs w:val="24"/>
          <w:vertAlign w:val="subscript"/>
          <w:lang w:val="sr-Latn-CS"/>
        </w:rPr>
        <w:t>5</w:t>
      </w:r>
      <w:r w:rsidRPr="00D41AEA">
        <w:rPr>
          <w:rFonts w:ascii="Arial" w:hAnsi="Arial" w:cs="Arial"/>
          <w:sz w:val="24"/>
          <w:szCs w:val="24"/>
          <w:lang w:val="sr-Latn-CS"/>
        </w:rPr>
        <w:t>.</w:t>
      </w:r>
    </w:p>
    <w:p w:rsidR="002050A4" w:rsidRPr="00D41AEA" w:rsidRDefault="002050A4" w:rsidP="00D41AEA">
      <w:pPr>
        <w:spacing w:after="0"/>
        <w:jc w:val="both"/>
        <w:rPr>
          <w:rFonts w:ascii="Arial" w:hAnsi="Arial" w:cs="Arial"/>
          <w:sz w:val="24"/>
          <w:szCs w:val="24"/>
          <w:lang w:val="sr-Latn-CS"/>
        </w:rPr>
      </w:pPr>
    </w:p>
    <w:p w:rsidR="002050A4" w:rsidRPr="00D41AEA" w:rsidRDefault="002050A4" w:rsidP="00D41AEA">
      <w:pPr>
        <w:spacing w:after="0"/>
        <w:jc w:val="both"/>
        <w:rPr>
          <w:rFonts w:ascii="Arial" w:hAnsi="Arial" w:cs="Arial"/>
          <w:sz w:val="24"/>
          <w:szCs w:val="24"/>
          <w:lang w:val="sr-Latn-CS"/>
        </w:rPr>
      </w:pPr>
      <w:r w:rsidRPr="00D41AEA">
        <w:rPr>
          <w:rFonts w:ascii="Arial" w:hAnsi="Arial" w:cs="Arial"/>
          <w:sz w:val="24"/>
          <w:szCs w:val="24"/>
          <w:lang w:val="sr-Latn-CS"/>
        </w:rPr>
        <w:t>Pljevaljska opština raspolaže i s</w:t>
      </w:r>
      <w:r w:rsidR="005940A1">
        <w:rPr>
          <w:rFonts w:ascii="Arial" w:hAnsi="Arial" w:cs="Arial"/>
          <w:sz w:val="24"/>
          <w:szCs w:val="24"/>
          <w:lang w:val="sr-Latn-CS"/>
        </w:rPr>
        <w:t xml:space="preserve">a značajnim </w:t>
      </w:r>
      <w:r w:rsidRPr="00D41AEA">
        <w:rPr>
          <w:rFonts w:ascii="Arial" w:hAnsi="Arial" w:cs="Arial"/>
          <w:sz w:val="24"/>
          <w:szCs w:val="24"/>
          <w:lang w:val="sr-Latn-CS"/>
        </w:rPr>
        <w:t xml:space="preserve">rezervama elektrofilterskog pepela i šljake Maljevac koji nastaju kao ostaci sagorijevanja u Termoelektrani Pljevlja, a koji po svojim hemijskim, minerološkim, fizičko-hemijskim i mehaničkim svojstvima zadovoljavaju karakteristike pucolanskog dodatka u proizvodnji cementa. Izgradnjom sistema za odsumporavanje dimnih gasova iz termoelektrane mogle bi se proizvoditi i značajne količine gipsa.   </w:t>
      </w:r>
    </w:p>
    <w:p w:rsidR="002050A4" w:rsidRPr="00D41AEA" w:rsidRDefault="002050A4" w:rsidP="00D41AEA">
      <w:pPr>
        <w:spacing w:after="0"/>
        <w:jc w:val="both"/>
        <w:rPr>
          <w:rFonts w:ascii="Arial" w:hAnsi="Arial" w:cs="Arial"/>
          <w:sz w:val="24"/>
          <w:szCs w:val="24"/>
          <w:lang w:val="sr-Latn-CS"/>
        </w:rPr>
      </w:pPr>
    </w:p>
    <w:p w:rsidR="002050A4" w:rsidRPr="00D41AEA" w:rsidRDefault="002050A4" w:rsidP="00D41AEA">
      <w:pPr>
        <w:spacing w:after="0"/>
        <w:jc w:val="both"/>
        <w:rPr>
          <w:rFonts w:ascii="Arial" w:hAnsi="Arial" w:cs="Arial"/>
          <w:sz w:val="24"/>
          <w:szCs w:val="24"/>
          <w:lang w:val="sr-Latn-CS"/>
        </w:rPr>
      </w:pPr>
      <w:r w:rsidRPr="00D41AEA">
        <w:rPr>
          <w:rFonts w:ascii="Arial" w:hAnsi="Arial" w:cs="Arial"/>
          <w:sz w:val="24"/>
          <w:szCs w:val="24"/>
          <w:lang w:val="sr-Latn-CS"/>
        </w:rPr>
        <w:t xml:space="preserve">Nova tehnološka rješenja u proizvodnji cementa, kvalitetna osnovna mineralna sirovina, energetsko </w:t>
      </w:r>
      <w:r w:rsidR="00CD1177" w:rsidRPr="00D41AEA">
        <w:rPr>
          <w:rFonts w:ascii="Arial" w:hAnsi="Arial" w:cs="Arial"/>
          <w:sz w:val="24"/>
          <w:szCs w:val="24"/>
          <w:lang w:val="sr-Latn-CS"/>
        </w:rPr>
        <w:t xml:space="preserve">gorivo i aditivi predstavljaju </w:t>
      </w:r>
      <w:r w:rsidRPr="00D41AEA">
        <w:rPr>
          <w:rFonts w:ascii="Arial" w:hAnsi="Arial" w:cs="Arial"/>
          <w:sz w:val="24"/>
          <w:szCs w:val="24"/>
          <w:lang w:val="sr-Latn-CS"/>
        </w:rPr>
        <w:t>značajan potencijal za razvoj ove važne industrijske grane.</w:t>
      </w:r>
    </w:p>
    <w:p w:rsidR="002050A4" w:rsidRPr="00D41AEA" w:rsidRDefault="002050A4" w:rsidP="00D41AEA">
      <w:pPr>
        <w:spacing w:after="0"/>
        <w:jc w:val="both"/>
        <w:rPr>
          <w:rFonts w:ascii="Arial" w:hAnsi="Arial" w:cs="Arial"/>
          <w:sz w:val="24"/>
          <w:szCs w:val="24"/>
          <w:lang w:val="sr-Latn-CS"/>
        </w:rPr>
      </w:pPr>
    </w:p>
    <w:p w:rsidR="002050A4" w:rsidRPr="00D41AEA" w:rsidRDefault="002050A4" w:rsidP="00D41AEA">
      <w:pPr>
        <w:spacing w:after="0"/>
        <w:jc w:val="both"/>
        <w:rPr>
          <w:rFonts w:ascii="Arial" w:hAnsi="Arial" w:cs="Arial"/>
          <w:sz w:val="24"/>
          <w:szCs w:val="24"/>
        </w:rPr>
      </w:pPr>
      <w:r w:rsidRPr="00D41AEA">
        <w:rPr>
          <w:rFonts w:ascii="Arial" w:hAnsi="Arial" w:cs="Arial"/>
          <w:bCs/>
          <w:sz w:val="24"/>
          <w:szCs w:val="24"/>
        </w:rPr>
        <w:t>U funkciji sagledavanja laporca tehnogenog ležišta „Jagnjilo“ kao mineralne sirovine za proizvodnju cementa</w:t>
      </w:r>
      <w:r w:rsidRPr="00D41AEA">
        <w:rPr>
          <w:rFonts w:ascii="Arial" w:hAnsi="Arial" w:cs="Arial"/>
          <w:sz w:val="24"/>
          <w:szCs w:val="24"/>
        </w:rPr>
        <w:t xml:space="preserve"> urađena je</w:t>
      </w:r>
      <w:r w:rsidR="00D41AEA">
        <w:rPr>
          <w:rFonts w:ascii="Arial" w:hAnsi="Arial" w:cs="Arial"/>
          <w:sz w:val="24"/>
          <w:szCs w:val="24"/>
        </w:rPr>
        <w:t xml:space="preserve"> sledeća tehnička dokumentacija</w:t>
      </w:r>
      <w:r w:rsidRPr="00D41AEA">
        <w:rPr>
          <w:rFonts w:ascii="Arial" w:hAnsi="Arial" w:cs="Arial"/>
          <w:sz w:val="24"/>
          <w:szCs w:val="24"/>
        </w:rPr>
        <w:t xml:space="preserve"> “Elaborat o sirovinskim rezervama” i “Prethodna studija opravdanosti izgradnje fabrike cementa”, jun 2005. </w:t>
      </w:r>
      <w:r w:rsidRPr="00D41AEA">
        <w:rPr>
          <w:rFonts w:ascii="Arial" w:hAnsi="Arial" w:cs="Arial"/>
          <w:sz w:val="24"/>
          <w:szCs w:val="24"/>
        </w:rPr>
        <w:lastRenderedPageBreak/>
        <w:t>godine, Mašinoprojekt kopring – Beograd, kao i “Koncesioni elaborat za tehnogeno ležište cementnog laporca Jagnjilo kod Pljevalja”, novembar 2007. godine, Republički zavod za geološka istraživanja – Podgorica.</w:t>
      </w:r>
    </w:p>
    <w:p w:rsidR="002050A4" w:rsidRPr="00D41AEA" w:rsidRDefault="002050A4" w:rsidP="00D41AEA">
      <w:pPr>
        <w:spacing w:after="0"/>
        <w:jc w:val="both"/>
        <w:rPr>
          <w:rFonts w:ascii="Arial" w:hAnsi="Arial" w:cs="Arial"/>
          <w:sz w:val="24"/>
          <w:szCs w:val="24"/>
        </w:rPr>
      </w:pPr>
    </w:p>
    <w:p w:rsidR="002050A4" w:rsidRPr="00D41AEA" w:rsidRDefault="002050A4" w:rsidP="00D41AEA">
      <w:pPr>
        <w:spacing w:after="0"/>
        <w:jc w:val="both"/>
        <w:rPr>
          <w:rFonts w:ascii="Arial" w:hAnsi="Arial" w:cs="Arial"/>
          <w:sz w:val="24"/>
          <w:szCs w:val="24"/>
        </w:rPr>
      </w:pPr>
      <w:r w:rsidRPr="00D41AEA">
        <w:rPr>
          <w:rFonts w:ascii="Arial" w:hAnsi="Arial" w:cs="Arial"/>
          <w:bCs/>
          <w:sz w:val="24"/>
          <w:szCs w:val="24"/>
        </w:rPr>
        <w:t>U funkciji lokacije i urbanističko – tehničkih uslova za izgradnju fabrike cementa u Pljevljima</w:t>
      </w:r>
      <w:r w:rsidRPr="00D41AEA">
        <w:rPr>
          <w:rFonts w:ascii="Arial" w:hAnsi="Arial" w:cs="Arial"/>
          <w:sz w:val="24"/>
          <w:szCs w:val="24"/>
        </w:rPr>
        <w:t xml:space="preserve"> razmatrane su varijante za lokaciju fabrike cementa u okviru pljevaljske opštine, izabrana najpovoljnija lokacija za izgradnju, kao takva lokacija je uključena u prostorno - plansku dokumentaciju k</w:t>
      </w:r>
      <w:r w:rsidR="00D41E7B">
        <w:rPr>
          <w:rFonts w:ascii="Arial" w:hAnsi="Arial" w:cs="Arial"/>
          <w:sz w:val="24"/>
          <w:szCs w:val="24"/>
        </w:rPr>
        <w:t>roz izradu PUP-a Pljevlja (2011</w:t>
      </w:r>
      <w:r w:rsidRPr="00D41AEA">
        <w:rPr>
          <w:rFonts w:ascii="Arial" w:hAnsi="Arial" w:cs="Arial"/>
          <w:sz w:val="24"/>
          <w:szCs w:val="24"/>
        </w:rPr>
        <w:t>), urađena Lokalna studija lokacije Otilovići na osnovu koje će biti definisani urbanističko – tehnički za izgradnju i niz drugih preduslova za izgradnju fabrike cementa u Pljevljima.</w:t>
      </w:r>
    </w:p>
    <w:p w:rsidR="003F7A04" w:rsidRPr="00D41AEA" w:rsidRDefault="003F7A04" w:rsidP="00D41AEA">
      <w:pPr>
        <w:autoSpaceDE w:val="0"/>
        <w:autoSpaceDN w:val="0"/>
        <w:adjustRightInd w:val="0"/>
        <w:spacing w:after="0"/>
        <w:jc w:val="both"/>
        <w:rPr>
          <w:rFonts w:ascii="Arial" w:hAnsi="Arial" w:cs="Arial"/>
          <w:b/>
          <w:bCs/>
          <w:sz w:val="24"/>
          <w:szCs w:val="24"/>
        </w:rPr>
      </w:pPr>
    </w:p>
    <w:p w:rsidR="00ED5665" w:rsidRDefault="009F4BF7" w:rsidP="00ED5665">
      <w:pPr>
        <w:autoSpaceDE w:val="0"/>
        <w:autoSpaceDN w:val="0"/>
        <w:adjustRightInd w:val="0"/>
        <w:spacing w:after="0"/>
        <w:jc w:val="both"/>
        <w:rPr>
          <w:rFonts w:ascii="Arial" w:hAnsi="Arial" w:cs="Arial"/>
          <w:b/>
          <w:bCs/>
          <w:sz w:val="24"/>
          <w:szCs w:val="24"/>
        </w:rPr>
      </w:pPr>
      <w:r w:rsidRPr="00D41AEA">
        <w:rPr>
          <w:rFonts w:ascii="Arial" w:hAnsi="Arial" w:cs="Arial"/>
          <w:b/>
          <w:bCs/>
          <w:sz w:val="24"/>
          <w:szCs w:val="24"/>
        </w:rPr>
        <w:t>Eksploatacija</w:t>
      </w:r>
      <w:r w:rsidR="00D10C84" w:rsidRPr="00D41AEA">
        <w:rPr>
          <w:rFonts w:ascii="Arial" w:hAnsi="Arial" w:cs="Arial"/>
          <w:b/>
          <w:bCs/>
          <w:sz w:val="24"/>
          <w:szCs w:val="24"/>
        </w:rPr>
        <w:t xml:space="preserve"> </w:t>
      </w:r>
      <w:r w:rsidR="00B81686" w:rsidRPr="00D41AEA">
        <w:rPr>
          <w:rFonts w:ascii="Arial" w:hAnsi="Arial" w:cs="Arial"/>
          <w:b/>
          <w:bCs/>
          <w:sz w:val="24"/>
          <w:szCs w:val="24"/>
        </w:rPr>
        <w:t>tehnogenog ležišta</w:t>
      </w:r>
      <w:r w:rsidRPr="00D41AEA">
        <w:rPr>
          <w:rFonts w:ascii="Arial" w:hAnsi="Arial" w:cs="Arial"/>
          <w:b/>
          <w:bCs/>
          <w:sz w:val="24"/>
          <w:szCs w:val="24"/>
        </w:rPr>
        <w:t xml:space="preserve"> cementnog laporca</w:t>
      </w:r>
      <w:r w:rsidR="00B81686" w:rsidRPr="00D41AEA">
        <w:rPr>
          <w:rFonts w:ascii="Arial" w:hAnsi="Arial" w:cs="Arial"/>
          <w:b/>
          <w:bCs/>
          <w:sz w:val="24"/>
          <w:szCs w:val="24"/>
        </w:rPr>
        <w:t xml:space="preserve"> „Jagnjilo“</w:t>
      </w:r>
      <w:r w:rsidR="00D10C84" w:rsidRPr="00D41AEA">
        <w:rPr>
          <w:rFonts w:ascii="Arial" w:hAnsi="Arial" w:cs="Arial"/>
          <w:b/>
          <w:bCs/>
          <w:sz w:val="24"/>
          <w:szCs w:val="24"/>
        </w:rPr>
        <w:t xml:space="preserve"> </w:t>
      </w:r>
      <w:r w:rsidRPr="00D41AEA">
        <w:rPr>
          <w:rFonts w:ascii="Arial" w:hAnsi="Arial" w:cs="Arial"/>
          <w:b/>
          <w:bCs/>
          <w:sz w:val="24"/>
          <w:szCs w:val="24"/>
        </w:rPr>
        <w:t xml:space="preserve">zavisiće isključivo od </w:t>
      </w:r>
      <w:r w:rsidR="00D10C84" w:rsidRPr="00D41AEA">
        <w:rPr>
          <w:rFonts w:ascii="Arial" w:hAnsi="Arial" w:cs="Arial"/>
          <w:b/>
          <w:bCs/>
          <w:sz w:val="24"/>
          <w:szCs w:val="24"/>
        </w:rPr>
        <w:t>zainteresovanosti investito</w:t>
      </w:r>
      <w:r w:rsidR="00ED5665">
        <w:rPr>
          <w:rFonts w:ascii="Arial" w:hAnsi="Arial" w:cs="Arial"/>
          <w:b/>
          <w:bCs/>
          <w:sz w:val="24"/>
          <w:szCs w:val="24"/>
        </w:rPr>
        <w:t>ra za ovom mineralnom sirovinom, odnosno Planom eksploatacije mineralnih sirovina za period 2019-2028 godine eksploatacija cementnog laporca nije definisana.</w:t>
      </w:r>
    </w:p>
    <w:p w:rsidR="008914BE" w:rsidRPr="00722DF4" w:rsidRDefault="008914BE" w:rsidP="00722DF4">
      <w:pPr>
        <w:autoSpaceDE w:val="0"/>
        <w:autoSpaceDN w:val="0"/>
        <w:adjustRightInd w:val="0"/>
        <w:spacing w:after="0"/>
        <w:jc w:val="both"/>
        <w:rPr>
          <w:rFonts w:ascii="Arial" w:hAnsi="Arial" w:cs="Arial"/>
          <w:sz w:val="24"/>
          <w:szCs w:val="24"/>
        </w:rPr>
      </w:pPr>
    </w:p>
    <w:p w:rsidR="008914BE" w:rsidRPr="00722DF4"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Opekarske gline</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Sedimenti glina u u sjeveroistočnom dijelu Crne Gore vezani su za neogene basene Pljevalja, Maoča i Berana, a javljaju se i u bjelopoljskoj kotlini i lipovskoj dolini kod Kolašina. Pet od ukupno 14 ležišta i pojava opekarskih glina nalazi u okolini Pljevalja, a jedno kod Berana, tako da je šest ležišta, praktično, uz prozvođače uglja, koji je, još uvijek, poželjan energent u opekarskoj industriji. Sa aspekta opekarske proizvodnje povoljna je lokacija u toplijem predjelu i to u Spužu kod Danilovgrada, gdje su povoljni uslovi za prirodno sušenje opekarskih proizvoda. Jedno ležište opekarske gline nalazi se kod Kolašina.</w:t>
      </w:r>
    </w:p>
    <w:p w:rsidR="008914BE" w:rsidRDefault="008914BE" w:rsidP="00722DF4">
      <w:pPr>
        <w:autoSpaceDE w:val="0"/>
        <w:autoSpaceDN w:val="0"/>
        <w:adjustRightInd w:val="0"/>
        <w:spacing w:after="0"/>
        <w:jc w:val="both"/>
        <w:rPr>
          <w:rFonts w:ascii="Arial" w:hAnsi="Arial" w:cs="Arial"/>
          <w:sz w:val="24"/>
          <w:szCs w:val="24"/>
        </w:rPr>
      </w:pPr>
    </w:p>
    <w:p w:rsidR="005470D7" w:rsidRDefault="005470D7" w:rsidP="005470D7">
      <w:pPr>
        <w:autoSpaceDE w:val="0"/>
        <w:autoSpaceDN w:val="0"/>
        <w:adjustRightInd w:val="0"/>
        <w:spacing w:after="0"/>
        <w:jc w:val="both"/>
        <w:rPr>
          <w:rFonts w:ascii="Arial" w:hAnsi="Arial" w:cs="Arial"/>
          <w:b/>
          <w:bCs/>
          <w:sz w:val="24"/>
          <w:szCs w:val="24"/>
        </w:rPr>
      </w:pPr>
      <w:r>
        <w:rPr>
          <w:rFonts w:ascii="Arial" w:hAnsi="Arial" w:cs="Arial"/>
          <w:b/>
          <w:bCs/>
          <w:sz w:val="24"/>
          <w:szCs w:val="24"/>
        </w:rPr>
        <w:t>Prema P</w:t>
      </w:r>
      <w:r w:rsidR="004F57D2">
        <w:rPr>
          <w:rFonts w:ascii="Arial" w:hAnsi="Arial" w:cs="Arial"/>
          <w:b/>
          <w:bCs/>
          <w:sz w:val="24"/>
          <w:szCs w:val="24"/>
        </w:rPr>
        <w:t>lanu</w:t>
      </w:r>
      <w:r>
        <w:rPr>
          <w:rFonts w:ascii="Arial" w:hAnsi="Arial" w:cs="Arial"/>
          <w:b/>
          <w:bCs/>
          <w:sz w:val="24"/>
          <w:szCs w:val="24"/>
        </w:rPr>
        <w:t xml:space="preserve"> eksploatacije mineralnih sirovina</w:t>
      </w:r>
      <w:r w:rsidR="004F57D2">
        <w:rPr>
          <w:rFonts w:ascii="Arial" w:hAnsi="Arial" w:cs="Arial"/>
          <w:b/>
          <w:bCs/>
          <w:sz w:val="24"/>
          <w:szCs w:val="24"/>
        </w:rPr>
        <w:t xml:space="preserve"> za period</w:t>
      </w:r>
      <w:r w:rsidR="00D41AEA">
        <w:rPr>
          <w:rFonts w:ascii="Arial" w:hAnsi="Arial" w:cs="Arial"/>
          <w:b/>
          <w:bCs/>
          <w:sz w:val="24"/>
          <w:szCs w:val="24"/>
        </w:rPr>
        <w:t xml:space="preserve"> 2019-2028</w:t>
      </w:r>
      <w:r>
        <w:rPr>
          <w:rFonts w:ascii="Arial" w:hAnsi="Arial" w:cs="Arial"/>
          <w:b/>
          <w:bCs/>
          <w:sz w:val="24"/>
          <w:szCs w:val="24"/>
        </w:rPr>
        <w:t xml:space="preserve"> godine eksploatacija opekarske gline nije definisana.</w:t>
      </w:r>
    </w:p>
    <w:p w:rsidR="005470D7" w:rsidRPr="00722DF4" w:rsidRDefault="005470D7" w:rsidP="00722DF4">
      <w:pPr>
        <w:autoSpaceDE w:val="0"/>
        <w:autoSpaceDN w:val="0"/>
        <w:adjustRightInd w:val="0"/>
        <w:spacing w:after="0"/>
        <w:jc w:val="both"/>
        <w:rPr>
          <w:rFonts w:ascii="Arial" w:hAnsi="Arial" w:cs="Arial"/>
          <w:sz w:val="24"/>
          <w:szCs w:val="24"/>
        </w:rPr>
      </w:pPr>
    </w:p>
    <w:p w:rsidR="001B3B6D" w:rsidRPr="00722DF4"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Dolomit</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  području Crne Gore do sada, registrovana su samo četiri ležišta dolomita, i to </w:t>
      </w:r>
      <w:r w:rsidR="00E95CE1">
        <w:rPr>
          <w:rFonts w:ascii="Arial" w:hAnsi="Arial" w:cs="Arial"/>
          <w:sz w:val="24"/>
          <w:szCs w:val="24"/>
        </w:rPr>
        <w:t>na području Virpazara (ležišta Virpazar</w:t>
      </w:r>
      <w:r w:rsidRPr="00722DF4">
        <w:rPr>
          <w:rFonts w:ascii="Arial" w:hAnsi="Arial" w:cs="Arial"/>
          <w:sz w:val="24"/>
          <w:szCs w:val="24"/>
        </w:rPr>
        <w:t xml:space="preserve"> i Vranjina) </w:t>
      </w:r>
      <w:r w:rsidR="00E95CE1">
        <w:rPr>
          <w:rFonts w:ascii="Arial" w:hAnsi="Arial" w:cs="Arial"/>
          <w:sz w:val="24"/>
          <w:szCs w:val="24"/>
        </w:rPr>
        <w:t>i na području Nikšića (ležišta Bršno i Šume</w:t>
      </w:r>
      <w:r w:rsidRPr="00722DF4">
        <w:rPr>
          <w:rFonts w:ascii="Arial" w:hAnsi="Arial" w:cs="Arial"/>
          <w:sz w:val="24"/>
          <w:szCs w:val="24"/>
        </w:rPr>
        <w:t xml:space="preserve">). Međutim, imajući u vidu geološku građu Crne Gore i rasprostranjenost dolomite broj ležišta ove mineralne sirovine mogao bi biti znatno veći. Ukupne bilansne rezerve dolomita A+B+C1 kategorije iznose na ova četiri ležišta 88.810.000 tona, od čega A kategoriji rezervi pripada 6.678.000 tona a rezervama B+C1 kategorije 82.132 000 tona. </w:t>
      </w:r>
    </w:p>
    <w:p w:rsidR="008914BE" w:rsidRDefault="008914BE" w:rsidP="00722DF4">
      <w:pPr>
        <w:autoSpaceDE w:val="0"/>
        <w:autoSpaceDN w:val="0"/>
        <w:adjustRightInd w:val="0"/>
        <w:spacing w:after="0"/>
        <w:jc w:val="both"/>
        <w:rPr>
          <w:rFonts w:ascii="Arial" w:hAnsi="Arial" w:cs="Arial"/>
          <w:sz w:val="24"/>
          <w:szCs w:val="24"/>
        </w:rPr>
      </w:pPr>
    </w:p>
    <w:p w:rsidR="005470D7" w:rsidRDefault="005470D7" w:rsidP="005470D7">
      <w:pPr>
        <w:autoSpaceDE w:val="0"/>
        <w:autoSpaceDN w:val="0"/>
        <w:adjustRightInd w:val="0"/>
        <w:spacing w:after="0"/>
        <w:jc w:val="both"/>
        <w:rPr>
          <w:rFonts w:ascii="Arial" w:hAnsi="Arial" w:cs="Arial"/>
          <w:b/>
          <w:bCs/>
          <w:sz w:val="24"/>
          <w:szCs w:val="24"/>
        </w:rPr>
      </w:pPr>
      <w:r>
        <w:rPr>
          <w:rFonts w:ascii="Arial" w:hAnsi="Arial" w:cs="Arial"/>
          <w:b/>
          <w:bCs/>
          <w:sz w:val="24"/>
          <w:szCs w:val="24"/>
        </w:rPr>
        <w:t>Prema P</w:t>
      </w:r>
      <w:r w:rsidR="00BA3069">
        <w:rPr>
          <w:rFonts w:ascii="Arial" w:hAnsi="Arial" w:cs="Arial"/>
          <w:b/>
          <w:bCs/>
          <w:sz w:val="24"/>
          <w:szCs w:val="24"/>
        </w:rPr>
        <w:t>lanu</w:t>
      </w:r>
      <w:r>
        <w:rPr>
          <w:rFonts w:ascii="Arial" w:hAnsi="Arial" w:cs="Arial"/>
          <w:b/>
          <w:bCs/>
          <w:sz w:val="24"/>
          <w:szCs w:val="24"/>
        </w:rPr>
        <w:t xml:space="preserve"> eksploatacije mineralnih sirovina</w:t>
      </w:r>
      <w:r w:rsidR="00BA3069">
        <w:rPr>
          <w:rFonts w:ascii="Arial" w:hAnsi="Arial" w:cs="Arial"/>
          <w:b/>
          <w:bCs/>
          <w:sz w:val="24"/>
          <w:szCs w:val="24"/>
        </w:rPr>
        <w:t xml:space="preserve"> za period</w:t>
      </w:r>
      <w:r w:rsidR="00D41AEA">
        <w:rPr>
          <w:rFonts w:ascii="Arial" w:hAnsi="Arial" w:cs="Arial"/>
          <w:b/>
          <w:bCs/>
          <w:sz w:val="24"/>
          <w:szCs w:val="24"/>
        </w:rPr>
        <w:t xml:space="preserve"> 2019-2028</w:t>
      </w:r>
      <w:r>
        <w:rPr>
          <w:rFonts w:ascii="Arial" w:hAnsi="Arial" w:cs="Arial"/>
          <w:b/>
          <w:bCs/>
          <w:sz w:val="24"/>
          <w:szCs w:val="24"/>
        </w:rPr>
        <w:t xml:space="preserve"> godine eksploatacija dolomita nije definisana.</w:t>
      </w:r>
    </w:p>
    <w:p w:rsidR="005470D7" w:rsidRPr="00722DF4" w:rsidRDefault="005470D7" w:rsidP="00722DF4">
      <w:pPr>
        <w:autoSpaceDE w:val="0"/>
        <w:autoSpaceDN w:val="0"/>
        <w:adjustRightInd w:val="0"/>
        <w:spacing w:after="0"/>
        <w:jc w:val="both"/>
        <w:rPr>
          <w:rFonts w:ascii="Arial" w:hAnsi="Arial" w:cs="Arial"/>
          <w:sz w:val="24"/>
          <w:szCs w:val="24"/>
        </w:rPr>
      </w:pPr>
    </w:p>
    <w:p w:rsidR="001B3B6D" w:rsidRPr="00722DF4"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Kvarcni pijesak</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 prostoru Crne Gore ležišta/pojave kvarcnih pijeskova su jedino otkrivena u miocenskim sedimentima na krajnjem jugoistočnom dijelu crnogorskog primorja, odnosno u okolini Ulcinja. Geološka istraživanja su rađena na svega tri lokaliteta na teritoriji opštine Ulcinj: Zoganje, Škaret i Zekova glava. Do danas kvarcni pijesak iz ovih ležišta nije eksploatisan, niti je sagledavan njihov ekonomski značaj.</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Ukupne perspektivne rezerve kvarcnog pijeska n</w:t>
      </w:r>
      <w:r w:rsidR="000D2FE2">
        <w:rPr>
          <w:rFonts w:ascii="Arial" w:hAnsi="Arial" w:cs="Arial"/>
          <w:sz w:val="24"/>
          <w:szCs w:val="24"/>
        </w:rPr>
        <w:t xml:space="preserve">a ležištima/pojavama pijeskova Zoganje, </w:t>
      </w:r>
      <w:r w:rsidRPr="00722DF4">
        <w:rPr>
          <w:rFonts w:ascii="Arial" w:hAnsi="Arial" w:cs="Arial"/>
          <w:sz w:val="24"/>
          <w:szCs w:val="24"/>
        </w:rPr>
        <w:t>Š</w:t>
      </w:r>
      <w:r w:rsidR="000D2FE2">
        <w:rPr>
          <w:rFonts w:ascii="Arial" w:hAnsi="Arial" w:cs="Arial"/>
          <w:sz w:val="24"/>
          <w:szCs w:val="24"/>
        </w:rPr>
        <w:t>karet i Zekova šuma</w:t>
      </w:r>
      <w:r w:rsidRPr="00722DF4">
        <w:rPr>
          <w:rFonts w:ascii="Arial" w:hAnsi="Arial" w:cs="Arial"/>
          <w:sz w:val="24"/>
          <w:szCs w:val="24"/>
        </w:rPr>
        <w:t xml:space="preserve"> iznose oko 8 miliona tona sa relativno niskim sadržajem silicije od 70 do 77 %. Perspektivne re</w:t>
      </w:r>
      <w:r w:rsidR="000D2FE2">
        <w:rPr>
          <w:rFonts w:ascii="Arial" w:hAnsi="Arial" w:cs="Arial"/>
          <w:sz w:val="24"/>
          <w:szCs w:val="24"/>
        </w:rPr>
        <w:t>zerve C2 kategorije na ležištu Zoganje</w:t>
      </w:r>
      <w:r w:rsidRPr="00722DF4">
        <w:rPr>
          <w:rFonts w:ascii="Arial" w:hAnsi="Arial" w:cs="Arial"/>
          <w:sz w:val="24"/>
          <w:szCs w:val="24"/>
        </w:rPr>
        <w:t xml:space="preserve"> iznose </w:t>
      </w:r>
      <w:r w:rsidRPr="00D41AEA">
        <w:rPr>
          <w:rFonts w:ascii="Arial" w:hAnsi="Arial" w:cs="Arial"/>
          <w:sz w:val="24"/>
          <w:szCs w:val="24"/>
        </w:rPr>
        <w:t>3.600.000 m</w:t>
      </w:r>
      <w:r w:rsidRPr="00D41AEA">
        <w:rPr>
          <w:rFonts w:ascii="Arial" w:hAnsi="Arial" w:cs="Arial"/>
          <w:sz w:val="24"/>
          <w:szCs w:val="24"/>
          <w:vertAlign w:val="superscript"/>
        </w:rPr>
        <w:t>3</w:t>
      </w:r>
      <w:r w:rsidR="00EF4BA7" w:rsidRPr="00D41AEA">
        <w:rPr>
          <w:rFonts w:ascii="Arial" w:hAnsi="Arial" w:cs="Arial"/>
          <w:sz w:val="24"/>
          <w:szCs w:val="24"/>
        </w:rPr>
        <w:t>č.s.m</w:t>
      </w:r>
      <w:r w:rsidRPr="00722DF4">
        <w:rPr>
          <w:rFonts w:ascii="Arial" w:hAnsi="Arial" w:cs="Arial"/>
          <w:sz w:val="24"/>
          <w:szCs w:val="24"/>
        </w:rPr>
        <w:t xml:space="preserve"> ili uzimajući u obzir nasipnu gustinu od oko 1,3 t/m</w:t>
      </w:r>
      <w:r w:rsidRPr="00722DF4">
        <w:rPr>
          <w:rFonts w:ascii="Arial" w:hAnsi="Arial" w:cs="Arial"/>
          <w:sz w:val="24"/>
          <w:szCs w:val="24"/>
          <w:vertAlign w:val="superscript"/>
        </w:rPr>
        <w:t>3</w:t>
      </w:r>
      <w:r w:rsidRPr="00722DF4">
        <w:rPr>
          <w:rFonts w:ascii="Arial" w:hAnsi="Arial" w:cs="Arial"/>
          <w:sz w:val="24"/>
          <w:szCs w:val="24"/>
        </w:rPr>
        <w:t xml:space="preserve"> oko 4.680.000 t</w:t>
      </w:r>
      <w:r w:rsidR="00231047" w:rsidRPr="00722DF4">
        <w:rPr>
          <w:rFonts w:ascii="Arial" w:hAnsi="Arial" w:cs="Arial"/>
          <w:sz w:val="24"/>
          <w:szCs w:val="24"/>
        </w:rPr>
        <w:t>ona</w:t>
      </w:r>
      <w:r w:rsidRPr="00722DF4">
        <w:rPr>
          <w:rFonts w:ascii="Arial" w:hAnsi="Arial" w:cs="Arial"/>
          <w:sz w:val="24"/>
          <w:szCs w:val="24"/>
        </w:rPr>
        <w:t>. Procijenjene perspektivne reze</w:t>
      </w:r>
      <w:r w:rsidR="000D2FE2">
        <w:rPr>
          <w:rFonts w:ascii="Arial" w:hAnsi="Arial" w:cs="Arial"/>
          <w:sz w:val="24"/>
          <w:szCs w:val="24"/>
        </w:rPr>
        <w:t>rve na pojavi kvarcnog pijeska Škaret</w:t>
      </w:r>
      <w:r w:rsidRPr="00722DF4">
        <w:rPr>
          <w:rFonts w:ascii="Arial" w:hAnsi="Arial" w:cs="Arial"/>
          <w:sz w:val="24"/>
          <w:szCs w:val="24"/>
        </w:rPr>
        <w:t xml:space="preserve"> iznose 2.140.000 t</w:t>
      </w:r>
      <w:r w:rsidR="00231047" w:rsidRPr="00722DF4">
        <w:rPr>
          <w:rFonts w:ascii="Arial" w:hAnsi="Arial" w:cs="Arial"/>
          <w:sz w:val="24"/>
          <w:szCs w:val="24"/>
        </w:rPr>
        <w:t>ona</w:t>
      </w:r>
      <w:r w:rsidR="000D2FE2">
        <w:rPr>
          <w:rFonts w:ascii="Arial" w:hAnsi="Arial" w:cs="Arial"/>
          <w:sz w:val="24"/>
          <w:szCs w:val="24"/>
        </w:rPr>
        <w:t xml:space="preserve"> a na pojavi kvarcnog pijeska Zekova šuma</w:t>
      </w:r>
      <w:r w:rsidRPr="00722DF4">
        <w:rPr>
          <w:rFonts w:ascii="Arial" w:hAnsi="Arial" w:cs="Arial"/>
          <w:sz w:val="24"/>
          <w:szCs w:val="24"/>
        </w:rPr>
        <w:t xml:space="preserve"> 1.396.000 t</w:t>
      </w:r>
      <w:r w:rsidR="00231047" w:rsidRPr="00722DF4">
        <w:rPr>
          <w:rFonts w:ascii="Arial" w:hAnsi="Arial" w:cs="Arial"/>
          <w:sz w:val="24"/>
          <w:szCs w:val="24"/>
        </w:rPr>
        <w:t>ona</w:t>
      </w:r>
      <w:r w:rsidRPr="00722DF4">
        <w:rPr>
          <w:rFonts w:ascii="Arial" w:hAnsi="Arial" w:cs="Arial"/>
          <w:sz w:val="24"/>
          <w:szCs w:val="24"/>
        </w:rPr>
        <w:t>.</w:t>
      </w:r>
    </w:p>
    <w:p w:rsidR="00ED5665" w:rsidRPr="00722DF4" w:rsidRDefault="00ED5665"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Svakako da bi se proizvodnjom kvarcnih pijeskova postigli pozitivni ekonomski efekti, naročito ako se ima u vidu činjenica da su rezerve visokokvalitetnih pijeskova u zemljama iz okruženja sve manje. Međutim, i pored svega, treba istaći činjenicu da se predmetne pojave kvarcnih pijeskova u oklini Ulcinja nalaze na područjima Zoganja i Pistule koja se odlikuju relativnom gustom naseljenosti što u značajnoj mjeri sužava mogućnost eventualne buduće eksploatacije ove mineralne sirovine. Iz tog razloga znatno je umanjen i privredni značaj procijenjenih rezervi ove mineralne sirovine.</w:t>
      </w:r>
    </w:p>
    <w:p w:rsidR="008914BE" w:rsidRDefault="008914BE" w:rsidP="00722DF4">
      <w:pPr>
        <w:autoSpaceDE w:val="0"/>
        <w:autoSpaceDN w:val="0"/>
        <w:adjustRightInd w:val="0"/>
        <w:spacing w:after="0"/>
        <w:jc w:val="both"/>
        <w:rPr>
          <w:rFonts w:ascii="Arial" w:hAnsi="Arial" w:cs="Arial"/>
          <w:sz w:val="24"/>
          <w:szCs w:val="24"/>
        </w:rPr>
      </w:pPr>
    </w:p>
    <w:p w:rsidR="005470D7" w:rsidRDefault="005470D7" w:rsidP="005470D7">
      <w:pPr>
        <w:autoSpaceDE w:val="0"/>
        <w:autoSpaceDN w:val="0"/>
        <w:adjustRightInd w:val="0"/>
        <w:spacing w:after="0"/>
        <w:jc w:val="both"/>
        <w:rPr>
          <w:rFonts w:ascii="Arial" w:hAnsi="Arial" w:cs="Arial"/>
          <w:b/>
          <w:bCs/>
          <w:sz w:val="24"/>
          <w:szCs w:val="24"/>
        </w:rPr>
      </w:pPr>
      <w:r>
        <w:rPr>
          <w:rFonts w:ascii="Arial" w:hAnsi="Arial" w:cs="Arial"/>
          <w:b/>
          <w:bCs/>
          <w:sz w:val="24"/>
          <w:szCs w:val="24"/>
        </w:rPr>
        <w:t>Prema P</w:t>
      </w:r>
      <w:r w:rsidR="00BA3069">
        <w:rPr>
          <w:rFonts w:ascii="Arial" w:hAnsi="Arial" w:cs="Arial"/>
          <w:b/>
          <w:bCs/>
          <w:sz w:val="24"/>
          <w:szCs w:val="24"/>
        </w:rPr>
        <w:t>lanu</w:t>
      </w:r>
      <w:r>
        <w:rPr>
          <w:rFonts w:ascii="Arial" w:hAnsi="Arial" w:cs="Arial"/>
          <w:b/>
          <w:bCs/>
          <w:sz w:val="24"/>
          <w:szCs w:val="24"/>
        </w:rPr>
        <w:t xml:space="preserve"> eksploatacije mineralnih sirovina</w:t>
      </w:r>
      <w:r w:rsidR="00BA3069">
        <w:rPr>
          <w:rFonts w:ascii="Arial" w:hAnsi="Arial" w:cs="Arial"/>
          <w:b/>
          <w:bCs/>
          <w:sz w:val="24"/>
          <w:szCs w:val="24"/>
        </w:rPr>
        <w:t xml:space="preserve"> za period</w:t>
      </w:r>
      <w:r w:rsidR="00D41AEA">
        <w:rPr>
          <w:rFonts w:ascii="Arial" w:hAnsi="Arial" w:cs="Arial"/>
          <w:b/>
          <w:bCs/>
          <w:sz w:val="24"/>
          <w:szCs w:val="24"/>
        </w:rPr>
        <w:t xml:space="preserve"> 2019-2028</w:t>
      </w:r>
      <w:r>
        <w:rPr>
          <w:rFonts w:ascii="Arial" w:hAnsi="Arial" w:cs="Arial"/>
          <w:b/>
          <w:bCs/>
          <w:sz w:val="24"/>
          <w:szCs w:val="24"/>
        </w:rPr>
        <w:t xml:space="preserve"> godine eksploatacija </w:t>
      </w:r>
      <w:r w:rsidR="00BA3069">
        <w:rPr>
          <w:rFonts w:ascii="Arial" w:hAnsi="Arial" w:cs="Arial"/>
          <w:b/>
          <w:bCs/>
          <w:sz w:val="24"/>
          <w:szCs w:val="24"/>
        </w:rPr>
        <w:t>kvarcnog pijeska</w:t>
      </w:r>
      <w:r>
        <w:rPr>
          <w:rFonts w:ascii="Arial" w:hAnsi="Arial" w:cs="Arial"/>
          <w:b/>
          <w:bCs/>
          <w:sz w:val="24"/>
          <w:szCs w:val="24"/>
        </w:rPr>
        <w:t xml:space="preserve"> nije definisana.</w:t>
      </w:r>
    </w:p>
    <w:p w:rsidR="0090719F" w:rsidRPr="00722DF4" w:rsidRDefault="0090719F" w:rsidP="00722DF4">
      <w:pPr>
        <w:autoSpaceDE w:val="0"/>
        <w:autoSpaceDN w:val="0"/>
        <w:adjustRightInd w:val="0"/>
        <w:spacing w:after="0"/>
        <w:jc w:val="both"/>
        <w:rPr>
          <w:rFonts w:ascii="Arial" w:hAnsi="Arial" w:cs="Arial"/>
          <w:sz w:val="24"/>
          <w:szCs w:val="24"/>
        </w:rPr>
      </w:pPr>
    </w:p>
    <w:p w:rsidR="001B3B6D" w:rsidRPr="00722DF4" w:rsidRDefault="001B3B6D"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Barit</w:t>
      </w: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Ekonomski značajna nalazišta barita u Crnoj Gori jedino su otkrivene na krajnjem sjeveru Crne Gore, na prostoru Kovač planine, gdje su izdvojena tri rudna polja, sa ležištima i pojavama barita: Potkovač, Plakali i Plani-Arslanovina Baritska ležišta (Guta, Podguta i Bare) prvo su otkrivena u rudnom polju Potkovač (u blizini sela Rajišići). U ovim ležištima barit je znatnim dijelom bio otkriven na površini, tako da je, praktično samo na osnovu prospekcijskih istraživanja, eksploatacija barita iz ovih ležišta vršena u periodu 1953-1956. Otkopavanje rude vršeno je površinskim putem, sa ručnim odvajanjem čistog barita od jalovine, kada je proizvedeno oko 65.000 tona barita sa 92 do 94% BaSO</w:t>
      </w:r>
      <w:r w:rsidRPr="00722DF4">
        <w:rPr>
          <w:rFonts w:ascii="Arial" w:hAnsi="Arial" w:cs="Arial"/>
          <w:sz w:val="24"/>
          <w:szCs w:val="24"/>
          <w:vertAlign w:val="subscript"/>
        </w:rPr>
        <w:t>4</w:t>
      </w:r>
      <w:r w:rsidRPr="00722DF4">
        <w:rPr>
          <w:rFonts w:ascii="Arial" w:hAnsi="Arial" w:cs="Arial"/>
          <w:sz w:val="24"/>
          <w:szCs w:val="24"/>
        </w:rPr>
        <w:t>.</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Ukupne istražene rezerve barita u rejonu Kovač planine A+B+C1 kategorije, u iznosu od oko 392.000 tona, vrlo su značajan mineralni resurs Crne Gore. Perspektivne rezerve C2 kategorije rudnog polja Plani-Arslanovina su 36.500 tona</w:t>
      </w:r>
      <w:r w:rsidR="00231047" w:rsidRPr="00722DF4">
        <w:rPr>
          <w:rFonts w:ascii="Arial" w:hAnsi="Arial" w:cs="Arial"/>
          <w:sz w:val="24"/>
          <w:szCs w:val="24"/>
        </w:rPr>
        <w:t>.</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Ležišta barita iz rudnog polja Potkovač, istraživana su, ali u isto vrijeme i eksploatisana u periodu od 1953</w:t>
      </w:r>
      <w:r w:rsidR="000D2FE2">
        <w:rPr>
          <w:rFonts w:ascii="Arial" w:hAnsi="Arial" w:cs="Arial"/>
          <w:sz w:val="24"/>
          <w:szCs w:val="24"/>
        </w:rPr>
        <w:t>.</w:t>
      </w:r>
      <w:r w:rsidRPr="00722DF4">
        <w:rPr>
          <w:rFonts w:ascii="Arial" w:hAnsi="Arial" w:cs="Arial"/>
          <w:sz w:val="24"/>
          <w:szCs w:val="24"/>
        </w:rPr>
        <w:t xml:space="preserve"> do 1956</w:t>
      </w:r>
      <w:r w:rsidR="000D2FE2">
        <w:rPr>
          <w:rFonts w:ascii="Arial" w:hAnsi="Arial" w:cs="Arial"/>
          <w:sz w:val="24"/>
          <w:szCs w:val="24"/>
        </w:rPr>
        <w:t>.</w:t>
      </w:r>
      <w:r w:rsidRPr="00722DF4">
        <w:rPr>
          <w:rFonts w:ascii="Arial" w:hAnsi="Arial" w:cs="Arial"/>
          <w:sz w:val="24"/>
          <w:szCs w:val="24"/>
        </w:rPr>
        <w:t xml:space="preserve"> godine. U tom periodu, iz ležišta Guta, Podguta i Bare, otkopano je 65.435 tona čistog barita. </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Poslednjih godina pojedini inostrani koncesionari pokazuju interes za eksploataciju i valorizaciju barita Kovač planine, zbog čega bi prethodno trebalo sagledati stanje cijena, kao i upotrebu barita, na</w:t>
      </w:r>
      <w:r w:rsidR="00141142" w:rsidRPr="00722DF4">
        <w:rPr>
          <w:rFonts w:ascii="Arial" w:hAnsi="Arial" w:cs="Arial"/>
          <w:sz w:val="24"/>
          <w:szCs w:val="24"/>
        </w:rPr>
        <w:t xml:space="preserve"> evropskom i drugim tržištima. </w:t>
      </w:r>
    </w:p>
    <w:p w:rsidR="008914BE" w:rsidRDefault="008914BE" w:rsidP="00722DF4">
      <w:pPr>
        <w:autoSpaceDE w:val="0"/>
        <w:autoSpaceDN w:val="0"/>
        <w:adjustRightInd w:val="0"/>
        <w:spacing w:after="0"/>
        <w:jc w:val="both"/>
        <w:rPr>
          <w:rFonts w:ascii="Arial" w:hAnsi="Arial" w:cs="Arial"/>
          <w:sz w:val="24"/>
          <w:szCs w:val="24"/>
        </w:rPr>
      </w:pPr>
    </w:p>
    <w:p w:rsidR="005470D7" w:rsidRDefault="005470D7" w:rsidP="005470D7">
      <w:pPr>
        <w:autoSpaceDE w:val="0"/>
        <w:autoSpaceDN w:val="0"/>
        <w:adjustRightInd w:val="0"/>
        <w:spacing w:after="0"/>
        <w:jc w:val="both"/>
        <w:rPr>
          <w:rFonts w:ascii="Arial" w:hAnsi="Arial" w:cs="Arial"/>
          <w:b/>
          <w:bCs/>
          <w:sz w:val="24"/>
          <w:szCs w:val="24"/>
        </w:rPr>
      </w:pPr>
      <w:r>
        <w:rPr>
          <w:rFonts w:ascii="Arial" w:hAnsi="Arial" w:cs="Arial"/>
          <w:b/>
          <w:bCs/>
          <w:sz w:val="24"/>
          <w:szCs w:val="24"/>
        </w:rPr>
        <w:t>Prema P</w:t>
      </w:r>
      <w:r w:rsidR="00BA3069">
        <w:rPr>
          <w:rFonts w:ascii="Arial" w:hAnsi="Arial" w:cs="Arial"/>
          <w:b/>
          <w:bCs/>
          <w:sz w:val="24"/>
          <w:szCs w:val="24"/>
        </w:rPr>
        <w:t>lana</w:t>
      </w:r>
      <w:r>
        <w:rPr>
          <w:rFonts w:ascii="Arial" w:hAnsi="Arial" w:cs="Arial"/>
          <w:b/>
          <w:bCs/>
          <w:sz w:val="24"/>
          <w:szCs w:val="24"/>
        </w:rPr>
        <w:t xml:space="preserve"> eksploatacije mineralnih sirovina </w:t>
      </w:r>
      <w:r w:rsidR="00BA3069">
        <w:rPr>
          <w:rFonts w:ascii="Arial" w:hAnsi="Arial" w:cs="Arial"/>
          <w:b/>
          <w:bCs/>
          <w:sz w:val="24"/>
          <w:szCs w:val="24"/>
        </w:rPr>
        <w:t xml:space="preserve">za period </w:t>
      </w:r>
      <w:r w:rsidR="00D41AEA">
        <w:rPr>
          <w:rFonts w:ascii="Arial" w:hAnsi="Arial" w:cs="Arial"/>
          <w:b/>
          <w:bCs/>
          <w:sz w:val="24"/>
          <w:szCs w:val="24"/>
        </w:rPr>
        <w:t>2019-2028</w:t>
      </w:r>
      <w:r>
        <w:rPr>
          <w:rFonts w:ascii="Arial" w:hAnsi="Arial" w:cs="Arial"/>
          <w:b/>
          <w:bCs/>
          <w:sz w:val="24"/>
          <w:szCs w:val="24"/>
        </w:rPr>
        <w:t xml:space="preserve"> godine eksploatacija barita nije definisana.</w:t>
      </w:r>
    </w:p>
    <w:p w:rsidR="00B61137" w:rsidRDefault="00B61137" w:rsidP="005470D7">
      <w:pPr>
        <w:autoSpaceDE w:val="0"/>
        <w:autoSpaceDN w:val="0"/>
        <w:adjustRightInd w:val="0"/>
        <w:spacing w:after="0"/>
        <w:jc w:val="both"/>
        <w:rPr>
          <w:rFonts w:ascii="Arial" w:hAnsi="Arial" w:cs="Arial"/>
          <w:b/>
          <w:bCs/>
          <w:sz w:val="24"/>
          <w:szCs w:val="24"/>
        </w:rPr>
      </w:pPr>
    </w:p>
    <w:p w:rsidR="005470D7" w:rsidRDefault="005470D7" w:rsidP="005470D7">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Morska so</w:t>
      </w:r>
    </w:p>
    <w:p w:rsidR="005470D7" w:rsidRPr="00722DF4" w:rsidRDefault="005470D7" w:rsidP="005470D7">
      <w:pPr>
        <w:autoSpaceDE w:val="0"/>
        <w:autoSpaceDN w:val="0"/>
        <w:adjustRightInd w:val="0"/>
        <w:spacing w:after="0"/>
        <w:jc w:val="both"/>
        <w:rPr>
          <w:rFonts w:ascii="Arial" w:hAnsi="Arial" w:cs="Arial"/>
          <w:sz w:val="24"/>
          <w:szCs w:val="24"/>
        </w:rPr>
      </w:pPr>
      <w:r w:rsidRPr="00722DF4">
        <w:rPr>
          <w:rFonts w:ascii="Arial" w:hAnsi="Arial" w:cs="Arial"/>
          <w:sz w:val="24"/>
          <w:szCs w:val="24"/>
        </w:rPr>
        <w:t>Proizvodnja soli iz morske vode u Crnoj Gori vrši se u solani “Bajo Sekulić” u Ulcinju. Morska voda sadrži različita rastvorena jedinjenja od koje se dobija morska so, NaCl, jedinjenje sastavljeno od gasovitog hlorida (60%) i metala natrijuma (40%).</w:t>
      </w:r>
    </w:p>
    <w:p w:rsidR="005470D7" w:rsidRDefault="005470D7" w:rsidP="005470D7">
      <w:pPr>
        <w:autoSpaceDE w:val="0"/>
        <w:autoSpaceDN w:val="0"/>
        <w:adjustRightInd w:val="0"/>
        <w:spacing w:after="0"/>
        <w:jc w:val="both"/>
        <w:rPr>
          <w:rFonts w:ascii="Arial" w:hAnsi="Arial" w:cs="Arial"/>
          <w:sz w:val="24"/>
          <w:szCs w:val="24"/>
        </w:rPr>
      </w:pPr>
      <w:r w:rsidRPr="00722DF4">
        <w:rPr>
          <w:rFonts w:ascii="Arial" w:hAnsi="Arial" w:cs="Arial"/>
          <w:sz w:val="24"/>
          <w:szCs w:val="24"/>
        </w:rPr>
        <w:t>Proizvodnja se odvija prirodnim (solarnim) i industrijskim (termokompresionim) uparavanjem. Prirodna so sadrži 92 do 95% NaCl, a industrijska oko 97% NaCl. Do kraja 2000. godine solana u Ulcinju je proizvela 1,355 miliona tona soli.</w:t>
      </w:r>
    </w:p>
    <w:p w:rsidR="00BA3069" w:rsidRDefault="00BA3069" w:rsidP="005470D7">
      <w:pPr>
        <w:autoSpaceDE w:val="0"/>
        <w:autoSpaceDN w:val="0"/>
        <w:adjustRightInd w:val="0"/>
        <w:spacing w:after="0"/>
        <w:jc w:val="both"/>
        <w:rPr>
          <w:rFonts w:ascii="Arial" w:hAnsi="Arial" w:cs="Arial"/>
          <w:sz w:val="24"/>
          <w:szCs w:val="24"/>
        </w:rPr>
      </w:pPr>
    </w:p>
    <w:p w:rsidR="00BA3069" w:rsidRDefault="00BA3069" w:rsidP="005470D7">
      <w:pPr>
        <w:autoSpaceDE w:val="0"/>
        <w:autoSpaceDN w:val="0"/>
        <w:adjustRightInd w:val="0"/>
        <w:spacing w:after="0"/>
        <w:jc w:val="both"/>
        <w:rPr>
          <w:rFonts w:ascii="Arial" w:hAnsi="Arial" w:cs="Arial"/>
          <w:sz w:val="24"/>
          <w:szCs w:val="24"/>
        </w:rPr>
      </w:pPr>
      <w:r>
        <w:rPr>
          <w:rFonts w:ascii="Arial" w:hAnsi="Arial" w:cs="Arial"/>
          <w:sz w:val="24"/>
          <w:szCs w:val="24"/>
        </w:rPr>
        <w:t>Iako Plan ne daje jasne smjernice po pitanju proizvodnje soli, preporuka multidisciplinarnog tima koji je radio na izradi ovog Izvještaja je da Ulcinjaska solana treba da pokrene proizvodnju. Pokretanje proizvodnje soli je značajno za očuvanje veoma vrijednog biodivreziteta područja solane, koje je buduće zaštićeno prirodno dobro, a čije poptuno očuvanje zavisi od tehnološkog procesa priozvodnje soli. Pored navedenog, treba imati u vidu i ekonomsku vrijednost soli kao mineralne sirovine.</w:t>
      </w:r>
    </w:p>
    <w:p w:rsidR="005470D7" w:rsidRDefault="005470D7" w:rsidP="005470D7">
      <w:pPr>
        <w:autoSpaceDE w:val="0"/>
        <w:autoSpaceDN w:val="0"/>
        <w:adjustRightInd w:val="0"/>
        <w:spacing w:after="0"/>
        <w:jc w:val="both"/>
        <w:rPr>
          <w:rFonts w:ascii="Arial" w:hAnsi="Arial" w:cs="Arial"/>
          <w:b/>
          <w:bCs/>
          <w:sz w:val="24"/>
          <w:szCs w:val="24"/>
        </w:rPr>
      </w:pPr>
    </w:p>
    <w:p w:rsidR="001B3B6D" w:rsidRDefault="008914BE" w:rsidP="008914BE">
      <w:pPr>
        <w:pStyle w:val="Heading2"/>
        <w:numPr>
          <w:ilvl w:val="0"/>
          <w:numId w:val="0"/>
        </w:numPr>
        <w:rPr>
          <w:lang w:val="sr-Latn-CS"/>
        </w:rPr>
      </w:pPr>
      <w:bookmarkStart w:id="12" w:name="_Toc6172808"/>
      <w:r>
        <w:t xml:space="preserve">1.4. </w:t>
      </w:r>
      <w:r w:rsidR="001B3B6D" w:rsidRPr="00722DF4">
        <w:t>Osnovne smjernice</w:t>
      </w:r>
      <w:r w:rsidR="00576137">
        <w:rPr>
          <w:lang w:val="sr-Latn-CS"/>
        </w:rPr>
        <w:t xml:space="preserve"> </w:t>
      </w:r>
      <w:r w:rsidR="001B3B6D" w:rsidRPr="00722DF4">
        <w:t>- parametri za stratešku procjenu uticaja na životnu sredinu</w:t>
      </w:r>
      <w:bookmarkEnd w:id="12"/>
    </w:p>
    <w:p w:rsidR="008914BE" w:rsidRPr="008914BE" w:rsidRDefault="008914BE" w:rsidP="008914BE">
      <w:pPr>
        <w:rPr>
          <w:lang w:val="sr-Latn-CS"/>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Rudarska aktivnost na eksploataciji i preradi mineralnih sirovina, sama po sebi predstavlja devastaciju životne sredine. Pored uticaja na zagađenje vazduha, vode i zemljišta koji su osnovni elementi životne sredine površinska eksploatacija svojim kopovima i odlagalištima, a prerada svojim deponijama i jalovištima, imaju za posledicu promjenu reljefa i devastaciju prostora. Faktori koji utiču na životnu sredinu nikada se u potpunosti ne mogu eliminisati, ali se moraju svesti na najmanju moguću mjeru.</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lastRenderedPageBreak/>
        <w:t>U propisima koji regulušu zaštitu životne sredine naglašeni su osnovni principi njene zaštite, i to prirodnih vrijednosti zemljišta, vode i vazduha, kao i biodiverziteta (biljni i životinjski svijet).</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Izrada projekta rekultivacije i njegovo sprovođenje, tj. dovođenje terena u prvobitno stanje i sprovođenje rekultivacije površina nakon završene eksploatacije predstavlja zakonsku obavezu rudnika i mora se sprovoditi na najbolji mogući način zavisno od toga koliko uslovi dozvoljavaju. Završna kota na spoljašnjim i unutrašnjim odlagalištima otkrivke, kada za to postoji mogućnost, dovodi se u prvobitnu kotu terena i teren se planira tako da liči na onaj koji je bio prije eksploatacije ili kako je riješeno u projektu rekultivacije. Pored tehničke rekultivacije sprovodi se nanošenje i planiranje produktivnog sloja zemljišta i biološka rekultivacija narušenog prostora dajući mu novu upotrijebnu vrijednost. Rekultivacija se sprovodi sinhronizovano na površinama gdje je završena eksploatacija. Konačan cilj potpune rekultivacije prostora je vraćanje ambijentalnog izgleda i namjene površina u prvobitno ili slično stanje kakvo je bio prije eksploatacije.</w:t>
      </w:r>
    </w:p>
    <w:p w:rsidR="008914BE" w:rsidRPr="00722DF4" w:rsidRDefault="008914BE" w:rsidP="00722DF4">
      <w:pPr>
        <w:autoSpaceDE w:val="0"/>
        <w:autoSpaceDN w:val="0"/>
        <w:adjustRightInd w:val="0"/>
        <w:spacing w:after="0"/>
        <w:jc w:val="both"/>
        <w:rPr>
          <w:rFonts w:ascii="Arial" w:hAnsi="Arial" w:cs="Arial"/>
          <w:sz w:val="24"/>
          <w:szCs w:val="24"/>
        </w:rPr>
      </w:pPr>
    </w:p>
    <w:p w:rsidR="001B3B6D" w:rsidRPr="000D2FE2" w:rsidRDefault="001B3B6D" w:rsidP="00722DF4">
      <w:pPr>
        <w:autoSpaceDE w:val="0"/>
        <w:autoSpaceDN w:val="0"/>
        <w:adjustRightInd w:val="0"/>
        <w:spacing w:after="0"/>
        <w:jc w:val="both"/>
        <w:rPr>
          <w:rFonts w:ascii="Arial" w:hAnsi="Arial" w:cs="Arial"/>
          <w:sz w:val="24"/>
          <w:szCs w:val="24"/>
          <w:lang w:val="sr-Latn-CS"/>
        </w:rPr>
      </w:pPr>
      <w:r w:rsidRPr="00722DF4">
        <w:rPr>
          <w:rFonts w:ascii="Arial" w:hAnsi="Arial" w:cs="Arial"/>
          <w:sz w:val="24"/>
          <w:szCs w:val="24"/>
        </w:rPr>
        <w:t>Uticaj na zagađenje vazduha neposredne radne sredine na rudniku i uticaj na zagađenje vazduha šireg okruženja takođe se ne može u potpunosti eliminisati. Ono koliko se može učiniti u pogledu zaštite vazduha na rudniku je da se smanji emisija prašine na najmanju moguću mjeru, a postiže se: kvašenjem i pranjem radnih površina sa sitnom lebdećom prašinom, ugradnjom filtera i otprašivača, izradom zastora oko pretovarnih i presipnih mjesta i sl.</w:t>
      </w:r>
      <w:r w:rsidR="000D2FE2">
        <w:rPr>
          <w:rFonts w:ascii="Arial" w:hAnsi="Arial" w:cs="Arial"/>
          <w:sz w:val="24"/>
          <w:szCs w:val="24"/>
        </w:rPr>
        <w:t xml:space="preserve"> Upotreba savremene građevinske mehanizacije doprinusi smanjenju ukupnih emisija, odnosno spada u red mjera koje utiču na smanjenje uticaja rudarskih aktivnosti na kvalitet vazduha.</w:t>
      </w:r>
    </w:p>
    <w:p w:rsidR="008914BE" w:rsidRPr="00722DF4" w:rsidRDefault="008914BE" w:rsidP="00722DF4">
      <w:pPr>
        <w:autoSpaceDE w:val="0"/>
        <w:autoSpaceDN w:val="0"/>
        <w:adjustRightInd w:val="0"/>
        <w:spacing w:after="0"/>
        <w:jc w:val="both"/>
        <w:rPr>
          <w:rFonts w:ascii="Arial" w:hAnsi="Arial" w:cs="Arial"/>
          <w:sz w:val="24"/>
          <w:szCs w:val="24"/>
        </w:rPr>
      </w:pPr>
    </w:p>
    <w:p w:rsidR="008914BE"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Mjere koje se sprovode sa ciljem suzbijanja zagađenja zemljišta na površinskim kopovima u prvom redu odnose se na mjere koje se sprovode kako bi se spriječilo prosipanje i ispuštanje ulja, masti, naftnih derivata, eksplozivnih i drugih štetnih materija i spriječilo njihovo prodiranje u zemljište, podzemne vode i površinske vodotokove. Nakon upotrebe ovih hemikalija vrši se njihovo propisno skupljanje i ustupanje na reciklažu ovlašćenim subjektima, a na platoima radioničkih prostora izradom propisanog pada, odmuljivača i prečišćivača atmosferskih voda sprečava se kontaminacija zemljišta i podzemnih voda. U slučaju manjih prosipanja ili većeg izliva neophodno je primijeniti mjere propisnog čišćenja i dekontaminacije površina, a odstranjeni material odložiti propisno kao kontaminirani otpad.</w:t>
      </w:r>
    </w:p>
    <w:p w:rsidR="00B61137" w:rsidRPr="00722DF4" w:rsidRDefault="00B61137" w:rsidP="00722DF4">
      <w:pPr>
        <w:autoSpaceDE w:val="0"/>
        <w:autoSpaceDN w:val="0"/>
        <w:adjustRightInd w:val="0"/>
        <w:spacing w:after="0"/>
        <w:jc w:val="both"/>
        <w:rPr>
          <w:rFonts w:ascii="Arial" w:hAnsi="Arial" w:cs="Arial"/>
          <w:sz w:val="24"/>
          <w:szCs w:val="24"/>
        </w:rPr>
      </w:pPr>
    </w:p>
    <w:p w:rsidR="000D2FE2" w:rsidRDefault="001B3B6D"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Podzemne i površinske vode iz otvorene zone rudnika, koje se gravitacijski skupljaju u najdubljem dijelu, predstavljaju prirodne vode iz geoloških slojeva i uglavnom ne predstavljaju hemijske zagađivače životne sredine ukoliko u njih nisu ispuštane opasne </w:t>
      </w:r>
      <w:r w:rsidRPr="00722DF4">
        <w:rPr>
          <w:rFonts w:ascii="Arial" w:hAnsi="Arial" w:cs="Arial"/>
          <w:sz w:val="24"/>
          <w:szCs w:val="24"/>
        </w:rPr>
        <w:lastRenderedPageBreak/>
        <w:t>materije. Obično su to zamuljene vode i često je dovoljno samo taloženje ovih voda prije upuštanja u prirodni recipicijent. Taloženje čestica mulja u rudnicima postiže se izradom propisno izvedenih vodosabirnika, kontrolom zamućenosti crpne površine postavljenih pumpnih postrojenja i ako je neophodno njihovo ponovno taloženje prije uliva u prirodni recipijent.</w:t>
      </w:r>
    </w:p>
    <w:p w:rsidR="00B61137" w:rsidRDefault="00B61137" w:rsidP="00722DF4">
      <w:pPr>
        <w:autoSpaceDE w:val="0"/>
        <w:autoSpaceDN w:val="0"/>
        <w:adjustRightInd w:val="0"/>
        <w:spacing w:after="0"/>
        <w:jc w:val="both"/>
        <w:rPr>
          <w:rFonts w:ascii="Arial" w:hAnsi="Arial" w:cs="Arial"/>
          <w:sz w:val="24"/>
          <w:szCs w:val="24"/>
        </w:rPr>
      </w:pPr>
    </w:p>
    <w:p w:rsidR="00BC3A95" w:rsidRDefault="000D2FE2" w:rsidP="00722DF4">
      <w:pPr>
        <w:autoSpaceDE w:val="0"/>
        <w:autoSpaceDN w:val="0"/>
        <w:adjustRightInd w:val="0"/>
        <w:spacing w:after="0"/>
        <w:jc w:val="both"/>
        <w:rPr>
          <w:rFonts w:ascii="Arial" w:hAnsi="Arial" w:cs="Arial"/>
          <w:sz w:val="24"/>
          <w:szCs w:val="24"/>
        </w:rPr>
      </w:pPr>
      <w:r>
        <w:rPr>
          <w:rFonts w:ascii="Arial" w:hAnsi="Arial" w:cs="Arial"/>
          <w:sz w:val="24"/>
          <w:szCs w:val="24"/>
        </w:rPr>
        <w:t xml:space="preserve">Posebno pitanje kada su u pitanju smjernice za izradu strateške procjene uticaja na životnu sredinu predstavljaju odlagališta jalovine. Procesi proizvodnje i sam tip mineralne sirovine uslovljavaju vrstu i obim otpada koji nastaje tokom proizvodnje. Kada su u pitanju metalične mineralne sirovine, radi se o izrazito toksičnom otpadu, čije zbrinjavanje zahtjeva posebne mjere i uslove. </w:t>
      </w:r>
      <w:r w:rsidR="00BC3A95">
        <w:rPr>
          <w:rFonts w:ascii="Arial" w:hAnsi="Arial" w:cs="Arial"/>
          <w:sz w:val="24"/>
          <w:szCs w:val="24"/>
        </w:rPr>
        <w:t>Tokom eksploatacije</w:t>
      </w:r>
      <w:r>
        <w:rPr>
          <w:rFonts w:ascii="Arial" w:hAnsi="Arial" w:cs="Arial"/>
          <w:sz w:val="24"/>
          <w:szCs w:val="24"/>
        </w:rPr>
        <w:t xml:space="preserve"> nemetaličnih mineralnih sirovina </w:t>
      </w:r>
      <w:r w:rsidR="00BC3A95">
        <w:rPr>
          <w:rFonts w:ascii="Arial" w:hAnsi="Arial" w:cs="Arial"/>
          <w:sz w:val="24"/>
          <w:szCs w:val="24"/>
        </w:rPr>
        <w:t xml:space="preserve">takođe dolazi do stvaranja određene količine otpada, koji između ostalog, utiče i na kvalitet pejzaža i zauzetost prostora. </w:t>
      </w:r>
    </w:p>
    <w:p w:rsidR="00AA72C8" w:rsidRDefault="00BC3A95" w:rsidP="00722DF4">
      <w:pPr>
        <w:autoSpaceDE w:val="0"/>
        <w:autoSpaceDN w:val="0"/>
        <w:adjustRightInd w:val="0"/>
        <w:spacing w:after="0"/>
        <w:jc w:val="both"/>
        <w:rPr>
          <w:rFonts w:ascii="Arial" w:hAnsi="Arial" w:cs="Arial"/>
          <w:sz w:val="24"/>
          <w:szCs w:val="24"/>
        </w:rPr>
      </w:pPr>
      <w:r w:rsidRPr="00AA72C8">
        <w:rPr>
          <w:rFonts w:ascii="Arial" w:hAnsi="Arial" w:cs="Arial"/>
          <w:sz w:val="24"/>
          <w:szCs w:val="24"/>
        </w:rPr>
        <w:t>Posebnu pažnju neophodno je posvetiti rekultivaciji postojećih jalovišta i mogućnosti eventualne</w:t>
      </w:r>
      <w:r>
        <w:rPr>
          <w:rFonts w:ascii="Arial" w:hAnsi="Arial" w:cs="Arial"/>
          <w:sz w:val="24"/>
          <w:szCs w:val="24"/>
        </w:rPr>
        <w:t xml:space="preserve"> </w:t>
      </w:r>
      <w:r w:rsidR="00AA72C8">
        <w:rPr>
          <w:rFonts w:ascii="Arial" w:hAnsi="Arial" w:cs="Arial"/>
          <w:sz w:val="24"/>
          <w:szCs w:val="24"/>
        </w:rPr>
        <w:t>ponovne upotrebe (sekundarne sirovine).</w:t>
      </w:r>
    </w:p>
    <w:p w:rsidR="00B61137" w:rsidRDefault="00B61137" w:rsidP="00722DF4">
      <w:pPr>
        <w:autoSpaceDE w:val="0"/>
        <w:autoSpaceDN w:val="0"/>
        <w:adjustRightInd w:val="0"/>
        <w:spacing w:after="0"/>
        <w:jc w:val="both"/>
        <w:rPr>
          <w:rFonts w:ascii="Arial" w:hAnsi="Arial" w:cs="Arial"/>
          <w:sz w:val="24"/>
          <w:szCs w:val="24"/>
        </w:rPr>
      </w:pPr>
    </w:p>
    <w:p w:rsidR="00BA3069" w:rsidRDefault="000D2FE2" w:rsidP="00722DF4">
      <w:pPr>
        <w:autoSpaceDE w:val="0"/>
        <w:autoSpaceDN w:val="0"/>
        <w:adjustRightInd w:val="0"/>
        <w:spacing w:after="0"/>
        <w:jc w:val="both"/>
        <w:rPr>
          <w:rFonts w:ascii="Arial" w:hAnsi="Arial" w:cs="Arial"/>
          <w:sz w:val="24"/>
          <w:szCs w:val="24"/>
        </w:rPr>
      </w:pPr>
      <w:r>
        <w:rPr>
          <w:rFonts w:ascii="Arial" w:hAnsi="Arial" w:cs="Arial"/>
          <w:sz w:val="24"/>
          <w:szCs w:val="24"/>
        </w:rPr>
        <w:t>Više o jalovištima na teritorije Crne Gore biće riječi u odgovarajućim</w:t>
      </w:r>
      <w:r w:rsidR="00231FAD">
        <w:rPr>
          <w:rFonts w:ascii="Arial" w:hAnsi="Arial" w:cs="Arial"/>
          <w:sz w:val="24"/>
          <w:szCs w:val="24"/>
        </w:rPr>
        <w:t xml:space="preserve"> poglavljima u ovom Izvještaju.</w:t>
      </w:r>
    </w:p>
    <w:p w:rsidR="00B61137" w:rsidRDefault="00B61137" w:rsidP="00722DF4">
      <w:pPr>
        <w:autoSpaceDE w:val="0"/>
        <w:autoSpaceDN w:val="0"/>
        <w:adjustRightInd w:val="0"/>
        <w:spacing w:after="0"/>
        <w:jc w:val="both"/>
        <w:rPr>
          <w:rFonts w:ascii="Arial" w:hAnsi="Arial" w:cs="Arial"/>
          <w:sz w:val="24"/>
          <w:szCs w:val="24"/>
        </w:rPr>
      </w:pPr>
    </w:p>
    <w:p w:rsidR="005470D7" w:rsidRDefault="005470D7" w:rsidP="00722DF4">
      <w:pPr>
        <w:autoSpaceDE w:val="0"/>
        <w:autoSpaceDN w:val="0"/>
        <w:adjustRightInd w:val="0"/>
        <w:spacing w:after="0"/>
        <w:jc w:val="both"/>
        <w:rPr>
          <w:rFonts w:ascii="Arial" w:hAnsi="Arial" w:cs="Arial"/>
          <w:sz w:val="24"/>
          <w:szCs w:val="24"/>
        </w:rPr>
      </w:pPr>
      <w:r>
        <w:rPr>
          <w:rFonts w:ascii="Arial" w:hAnsi="Arial" w:cs="Arial"/>
          <w:sz w:val="24"/>
          <w:szCs w:val="24"/>
        </w:rPr>
        <w:t>Mnoge sirovine su definisane na nivou potencijala, pojedine od njih su korišćen</w:t>
      </w:r>
      <w:r w:rsidR="00BA3069">
        <w:rPr>
          <w:rFonts w:ascii="Arial" w:hAnsi="Arial" w:cs="Arial"/>
          <w:sz w:val="24"/>
          <w:szCs w:val="24"/>
        </w:rPr>
        <w:t>e</w:t>
      </w:r>
      <w:r>
        <w:rPr>
          <w:rFonts w:ascii="Arial" w:hAnsi="Arial" w:cs="Arial"/>
          <w:sz w:val="24"/>
          <w:szCs w:val="24"/>
        </w:rPr>
        <w:t xml:space="preserve"> u prethodnom </w:t>
      </w:r>
      <w:r w:rsidR="00BA3069">
        <w:rPr>
          <w:rFonts w:ascii="Arial" w:hAnsi="Arial" w:cs="Arial"/>
          <w:sz w:val="24"/>
          <w:szCs w:val="24"/>
        </w:rPr>
        <w:t>period</w:t>
      </w:r>
      <w:r w:rsidR="00B11640">
        <w:rPr>
          <w:rFonts w:ascii="Arial" w:hAnsi="Arial" w:cs="Arial"/>
          <w:sz w:val="24"/>
          <w:szCs w:val="24"/>
        </w:rPr>
        <w:t>u</w:t>
      </w:r>
      <w:r w:rsidR="00BA3069">
        <w:rPr>
          <w:rFonts w:ascii="Arial" w:hAnsi="Arial" w:cs="Arial"/>
          <w:sz w:val="24"/>
          <w:szCs w:val="24"/>
        </w:rPr>
        <w:t>,</w:t>
      </w:r>
      <w:r>
        <w:rPr>
          <w:rFonts w:ascii="Arial" w:hAnsi="Arial" w:cs="Arial"/>
          <w:sz w:val="24"/>
          <w:szCs w:val="24"/>
        </w:rPr>
        <w:t xml:space="preserve"> a danas se ne koriste (cementni laporac, opekarske gline, bijeli boksiti). Na procjenu ponovnog aktiviranja korišćenja ovih i drugih mineralnih sirovina utiče mnogo faktora, u prvom redu ekonomski i tehnološki.</w:t>
      </w:r>
      <w:r w:rsidR="00BA3069">
        <w:rPr>
          <w:rFonts w:ascii="Arial" w:hAnsi="Arial" w:cs="Arial"/>
          <w:sz w:val="24"/>
          <w:szCs w:val="24"/>
        </w:rPr>
        <w:t xml:space="preserve"> Dalje eventualno korišćenje navedenih mineralnih sirovina zahtjeva dodatnu detaljnu analizu i procjena mogućih uticaja planiranih aktivnosti na životnu sredinu. </w:t>
      </w:r>
    </w:p>
    <w:p w:rsidR="00231FAD" w:rsidRDefault="00231FAD" w:rsidP="00722DF4">
      <w:pPr>
        <w:autoSpaceDE w:val="0"/>
        <w:autoSpaceDN w:val="0"/>
        <w:adjustRightInd w:val="0"/>
        <w:spacing w:after="0"/>
        <w:jc w:val="both"/>
        <w:rPr>
          <w:rFonts w:ascii="Arial" w:hAnsi="Arial" w:cs="Arial"/>
          <w:sz w:val="24"/>
          <w:szCs w:val="24"/>
        </w:rPr>
      </w:pPr>
    </w:p>
    <w:p w:rsidR="008914BE" w:rsidRPr="00722DF4" w:rsidRDefault="008914BE" w:rsidP="00722DF4">
      <w:pPr>
        <w:autoSpaceDE w:val="0"/>
        <w:autoSpaceDN w:val="0"/>
        <w:adjustRightInd w:val="0"/>
        <w:spacing w:after="0"/>
        <w:jc w:val="both"/>
        <w:rPr>
          <w:rFonts w:ascii="Arial" w:hAnsi="Arial" w:cs="Arial"/>
          <w:sz w:val="24"/>
          <w:szCs w:val="24"/>
        </w:rPr>
      </w:pPr>
    </w:p>
    <w:p w:rsidR="00D30862" w:rsidRPr="00722DF4" w:rsidRDefault="00231FAD" w:rsidP="00722DF4">
      <w:pPr>
        <w:pStyle w:val="Heading1"/>
        <w:numPr>
          <w:ilvl w:val="0"/>
          <w:numId w:val="0"/>
        </w:numPr>
        <w:spacing w:before="0"/>
        <w:jc w:val="both"/>
        <w:rPr>
          <w:rFonts w:cs="Arial"/>
          <w:szCs w:val="24"/>
        </w:rPr>
      </w:pPr>
      <w:bookmarkStart w:id="13" w:name="page149"/>
      <w:bookmarkStart w:id="14" w:name="page150"/>
      <w:bookmarkStart w:id="15" w:name="page151"/>
      <w:bookmarkStart w:id="16" w:name="page152"/>
      <w:bookmarkEnd w:id="13"/>
      <w:bookmarkEnd w:id="14"/>
      <w:bookmarkEnd w:id="15"/>
      <w:bookmarkEnd w:id="16"/>
      <w:r>
        <w:rPr>
          <w:rFonts w:cs="Arial"/>
          <w:szCs w:val="24"/>
        </w:rPr>
        <w:br w:type="page"/>
      </w:r>
      <w:bookmarkStart w:id="17" w:name="_Toc6172809"/>
      <w:r w:rsidR="3B4348E7" w:rsidRPr="00722DF4">
        <w:rPr>
          <w:rFonts w:cs="Arial"/>
          <w:szCs w:val="24"/>
        </w:rPr>
        <w:lastRenderedPageBreak/>
        <w:t>2. OPIS POSTOJEĆEG STANJA ŽIVOTNE SREDINE</w:t>
      </w:r>
      <w:bookmarkEnd w:id="17"/>
    </w:p>
    <w:p w:rsidR="00293AB9" w:rsidRPr="00722DF4" w:rsidRDefault="3B4348E7" w:rsidP="00722DF4">
      <w:pPr>
        <w:pStyle w:val="Heading2"/>
        <w:numPr>
          <w:ilvl w:val="0"/>
          <w:numId w:val="0"/>
        </w:numPr>
        <w:spacing w:before="0"/>
        <w:jc w:val="both"/>
        <w:rPr>
          <w:rFonts w:cs="Arial"/>
          <w:szCs w:val="24"/>
        </w:rPr>
      </w:pPr>
      <w:bookmarkStart w:id="18" w:name="_Toc6172810"/>
      <w:r w:rsidRPr="00722DF4">
        <w:rPr>
          <w:rFonts w:cs="Arial"/>
          <w:szCs w:val="24"/>
        </w:rPr>
        <w:t>2.1. Kvalitet vazduha i klimatske promjene</w:t>
      </w:r>
      <w:bookmarkEnd w:id="18"/>
      <w:r w:rsidRPr="00722DF4">
        <w:rPr>
          <w:rFonts w:cs="Arial"/>
          <w:szCs w:val="24"/>
        </w:rPr>
        <w:t xml:space="preserve"> </w:t>
      </w:r>
    </w:p>
    <w:p w:rsidR="3B4348E7" w:rsidRPr="008914BE" w:rsidRDefault="3B4348E7" w:rsidP="00722DF4">
      <w:pPr>
        <w:pStyle w:val="Heading3"/>
        <w:numPr>
          <w:ilvl w:val="0"/>
          <w:numId w:val="0"/>
        </w:numPr>
        <w:spacing w:before="0"/>
        <w:jc w:val="both"/>
        <w:rPr>
          <w:rFonts w:cs="Arial"/>
          <w:szCs w:val="24"/>
        </w:rPr>
      </w:pPr>
      <w:bookmarkStart w:id="19" w:name="_Toc6172811"/>
      <w:r w:rsidRPr="008914BE">
        <w:rPr>
          <w:rFonts w:cs="Arial"/>
          <w:szCs w:val="24"/>
        </w:rPr>
        <w:t>2.1.1 Kvalitet vazduha</w:t>
      </w:r>
      <w:bookmarkEnd w:id="19"/>
      <w:r w:rsidRPr="008914BE">
        <w:rPr>
          <w:rFonts w:cs="Arial"/>
          <w:szCs w:val="24"/>
        </w:rPr>
        <w:t xml:space="preserve"> </w:t>
      </w:r>
    </w:p>
    <w:p w:rsidR="00293AB9" w:rsidRPr="00722DF4" w:rsidRDefault="00293AB9" w:rsidP="00722DF4">
      <w:pPr>
        <w:spacing w:after="0"/>
        <w:jc w:val="both"/>
        <w:rPr>
          <w:rFonts w:ascii="Arial" w:hAnsi="Arial" w:cs="Arial"/>
          <w:sz w:val="24"/>
          <w:szCs w:val="24"/>
        </w:rPr>
      </w:pPr>
    </w:p>
    <w:p w:rsidR="3B4348E7" w:rsidRDefault="3B4348E7" w:rsidP="00722DF4">
      <w:pPr>
        <w:spacing w:after="0"/>
        <w:jc w:val="both"/>
        <w:rPr>
          <w:rFonts w:ascii="Arial" w:hAnsi="Arial" w:cs="Arial"/>
          <w:sz w:val="24"/>
          <w:szCs w:val="24"/>
        </w:rPr>
      </w:pPr>
      <w:r w:rsidRPr="00722DF4">
        <w:rPr>
          <w:rFonts w:ascii="Arial" w:hAnsi="Arial" w:cs="Arial"/>
          <w:sz w:val="24"/>
          <w:szCs w:val="24"/>
        </w:rPr>
        <w:t>Realizacija Programa monitoringa kvaliteta vazduha, kojeg sprovodi Agencija za zaštitu prirode i živote sredine, vrši se  u skladu sa Pravilnikom o načinu i uslovima praćenja kvaliteta vazduha ("Službeni list CG", br. 21/2011), kojim je propisan način praćenja kvaliteta vazduha i prikupljanja podataka, kao i referentne metode mjerenja, kriterijumi za postizanje kvaliteteta podataka, obezbjeđivanje kvaliteta podataka i njihova validacija.</w:t>
      </w:r>
    </w:p>
    <w:p w:rsidR="008914BE" w:rsidRPr="00722DF4" w:rsidRDefault="008914BE" w:rsidP="00722DF4">
      <w:pPr>
        <w:spacing w:after="0"/>
        <w:jc w:val="both"/>
        <w:rPr>
          <w:rFonts w:ascii="Arial" w:hAnsi="Arial" w:cs="Arial"/>
          <w:sz w:val="24"/>
          <w:szCs w:val="24"/>
        </w:rPr>
      </w:pPr>
    </w:p>
    <w:p w:rsidR="3B4348E7" w:rsidRDefault="3B4348E7" w:rsidP="00722DF4">
      <w:pPr>
        <w:spacing w:after="0"/>
        <w:jc w:val="both"/>
        <w:rPr>
          <w:rFonts w:ascii="Arial" w:hAnsi="Arial" w:cs="Arial"/>
          <w:sz w:val="24"/>
          <w:szCs w:val="24"/>
        </w:rPr>
      </w:pPr>
      <w:r w:rsidRPr="00722DF4">
        <w:rPr>
          <w:rFonts w:ascii="Arial" w:hAnsi="Arial" w:cs="Arial"/>
          <w:sz w:val="24"/>
          <w:szCs w:val="24"/>
        </w:rPr>
        <w:t>Kontrola i praćenje kvaliteta vazduha u Crnoj Gori vrši se radi ocjenjivanja, planiranja i upravljanja kvalitetom vazduha. Analiza dobijenih rezultata služi kao osnov za prijedlog mjera za poboljšanje i unapređenje kvaliteta vazduha.</w:t>
      </w:r>
    </w:p>
    <w:p w:rsidR="008914BE" w:rsidRPr="00722DF4" w:rsidRDefault="008914BE" w:rsidP="00722DF4">
      <w:pPr>
        <w:spacing w:after="0"/>
        <w:jc w:val="both"/>
        <w:rPr>
          <w:rFonts w:ascii="Arial" w:hAnsi="Arial" w:cs="Arial"/>
          <w:sz w:val="24"/>
          <w:szCs w:val="24"/>
        </w:rPr>
      </w:pPr>
    </w:p>
    <w:p w:rsidR="3B4348E7" w:rsidRDefault="3B4348E7" w:rsidP="00722DF4">
      <w:pPr>
        <w:spacing w:after="0"/>
        <w:jc w:val="both"/>
        <w:rPr>
          <w:rFonts w:ascii="Arial" w:hAnsi="Arial" w:cs="Arial"/>
          <w:sz w:val="24"/>
          <w:szCs w:val="24"/>
        </w:rPr>
      </w:pPr>
      <w:r w:rsidRPr="00722DF4">
        <w:rPr>
          <w:rFonts w:ascii="Arial" w:hAnsi="Arial" w:cs="Arial"/>
          <w:sz w:val="24"/>
          <w:szCs w:val="24"/>
        </w:rPr>
        <w:t>Na automatskim stacionarnim stanicama praćen je kvalitet vazduha u Podgorici, Nikšiću, Pljevljima, Baru, Tivtu, Golubovcima i Gradini (Pljevlja). Mjerena je koncentracija sledećih parametara: sumpor dioksida (SO</w:t>
      </w:r>
      <w:r w:rsidRPr="00722DF4">
        <w:rPr>
          <w:rFonts w:ascii="Arial" w:hAnsi="Arial" w:cs="Arial"/>
          <w:sz w:val="24"/>
          <w:szCs w:val="24"/>
          <w:vertAlign w:val="subscript"/>
        </w:rPr>
        <w:t>2</w:t>
      </w:r>
      <w:r w:rsidRPr="00722DF4">
        <w:rPr>
          <w:rFonts w:ascii="Arial" w:hAnsi="Arial" w:cs="Arial"/>
          <w:sz w:val="24"/>
          <w:szCs w:val="24"/>
        </w:rPr>
        <w:t>), azot monoksida (NO), azot dioksida (NO</w:t>
      </w:r>
      <w:r w:rsidRPr="00722DF4">
        <w:rPr>
          <w:rFonts w:ascii="Arial" w:hAnsi="Arial" w:cs="Arial"/>
          <w:sz w:val="24"/>
          <w:szCs w:val="24"/>
          <w:vertAlign w:val="subscript"/>
        </w:rPr>
        <w:t>2</w:t>
      </w:r>
      <w:r w:rsidRPr="00722DF4">
        <w:rPr>
          <w:rFonts w:ascii="Arial" w:hAnsi="Arial" w:cs="Arial"/>
          <w:sz w:val="24"/>
          <w:szCs w:val="24"/>
        </w:rPr>
        <w:t>), ukupnih azotnih oksida (NO</w:t>
      </w:r>
      <w:r w:rsidRPr="00722DF4">
        <w:rPr>
          <w:rFonts w:ascii="Arial" w:hAnsi="Arial" w:cs="Arial"/>
          <w:sz w:val="24"/>
          <w:szCs w:val="24"/>
          <w:vertAlign w:val="subscript"/>
        </w:rPr>
        <w:t>x</w:t>
      </w:r>
      <w:r w:rsidRPr="00722DF4">
        <w:rPr>
          <w:rFonts w:ascii="Arial" w:hAnsi="Arial" w:cs="Arial"/>
          <w:sz w:val="24"/>
          <w:szCs w:val="24"/>
        </w:rPr>
        <w:t>), ugljen monoksida (CO), metana (CH</w:t>
      </w:r>
      <w:r w:rsidRPr="00722DF4">
        <w:rPr>
          <w:rFonts w:ascii="Arial" w:hAnsi="Arial" w:cs="Arial"/>
          <w:sz w:val="24"/>
          <w:szCs w:val="24"/>
          <w:vertAlign w:val="subscript"/>
        </w:rPr>
        <w:t>4</w:t>
      </w:r>
      <w:r w:rsidRPr="00722DF4">
        <w:rPr>
          <w:rFonts w:ascii="Arial" w:hAnsi="Arial" w:cs="Arial"/>
          <w:sz w:val="24"/>
          <w:szCs w:val="24"/>
        </w:rPr>
        <w:t>), nemetanskih ugljovodonika (NMHC), ukupnih ugljovodonika (THC), PM10 čestica, prizemnog ozona (O</w:t>
      </w:r>
      <w:r w:rsidRPr="00722DF4">
        <w:rPr>
          <w:rFonts w:ascii="Arial" w:hAnsi="Arial" w:cs="Arial"/>
          <w:sz w:val="24"/>
          <w:szCs w:val="24"/>
          <w:vertAlign w:val="subscript"/>
        </w:rPr>
        <w:t>3</w:t>
      </w:r>
      <w:r w:rsidRPr="00722DF4">
        <w:rPr>
          <w:rFonts w:ascii="Arial" w:hAnsi="Arial" w:cs="Arial"/>
          <w:sz w:val="24"/>
          <w:szCs w:val="24"/>
        </w:rPr>
        <w:t>), benzena, toluena, etilbenzena, o-m-p xilena (BTX).</w:t>
      </w:r>
    </w:p>
    <w:p w:rsidR="008914BE" w:rsidRPr="00722DF4" w:rsidRDefault="008914BE" w:rsidP="00722DF4">
      <w:pPr>
        <w:spacing w:after="0"/>
        <w:jc w:val="both"/>
        <w:rPr>
          <w:rFonts w:ascii="Arial" w:hAnsi="Arial" w:cs="Arial"/>
          <w:sz w:val="24"/>
          <w:szCs w:val="24"/>
        </w:rPr>
      </w:pPr>
    </w:p>
    <w:p w:rsidR="3B4348E7" w:rsidRDefault="3B4348E7" w:rsidP="00722DF4">
      <w:pPr>
        <w:spacing w:after="0"/>
        <w:jc w:val="both"/>
        <w:rPr>
          <w:rFonts w:ascii="Arial" w:hAnsi="Arial" w:cs="Arial"/>
          <w:sz w:val="24"/>
          <w:szCs w:val="24"/>
        </w:rPr>
      </w:pPr>
      <w:r w:rsidRPr="00722DF4">
        <w:rPr>
          <w:rFonts w:ascii="Arial" w:hAnsi="Arial" w:cs="Arial"/>
          <w:sz w:val="24"/>
          <w:szCs w:val="24"/>
        </w:rPr>
        <w:t>Ocjena kvaliteta vazduha vršena je u skladu sa Uredbom o utvrđivanju vrsta zagađujućih materija, graničnih vrijednosti i drugih standarda kvaliteta vazduha ("Službeni list CG", br. 45/2008, 25/2012), (u daljem tekstu Uredba).</w:t>
      </w:r>
    </w:p>
    <w:p w:rsidR="008914BE" w:rsidRPr="00722DF4" w:rsidRDefault="008914BE" w:rsidP="00722DF4">
      <w:pPr>
        <w:spacing w:after="0"/>
        <w:jc w:val="both"/>
        <w:rPr>
          <w:rFonts w:ascii="Arial" w:hAnsi="Arial" w:cs="Arial"/>
          <w:sz w:val="24"/>
          <w:szCs w:val="24"/>
        </w:rPr>
      </w:pP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Na slici 2.1. prikazan je položaj automatskih stacionarnih stanica u okviru zona kvaliteta vazduha (mreža mjernih mjesta).</w:t>
      </w:r>
    </w:p>
    <w:p w:rsidR="3B4348E7" w:rsidRPr="00722DF4" w:rsidRDefault="001210F4" w:rsidP="00B61137">
      <w:pPr>
        <w:spacing w:after="0"/>
        <w:jc w:val="center"/>
        <w:rPr>
          <w:rFonts w:ascii="Arial" w:hAnsi="Arial" w:cs="Arial"/>
          <w:sz w:val="24"/>
          <w:szCs w:val="24"/>
        </w:rPr>
      </w:pPr>
      <w:r>
        <w:rPr>
          <w:rFonts w:ascii="Arial" w:hAnsi="Arial" w:cs="Arial"/>
          <w:i/>
          <w:noProof/>
          <w:sz w:val="24"/>
          <w:szCs w:val="24"/>
        </w:rPr>
        <w:lastRenderedPageBreak/>
        <w:drawing>
          <wp:inline distT="0" distB="0" distL="0" distR="0">
            <wp:extent cx="3898900" cy="4822190"/>
            <wp:effectExtent l="1905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3898900" cy="4822190"/>
                    </a:xfrm>
                    <a:prstGeom prst="rect">
                      <a:avLst/>
                    </a:prstGeom>
                    <a:noFill/>
                    <a:ln w="9525">
                      <a:noFill/>
                      <a:miter lim="800000"/>
                      <a:headEnd/>
                      <a:tailEnd/>
                    </a:ln>
                  </pic:spPr>
                </pic:pic>
              </a:graphicData>
            </a:graphic>
          </wp:inline>
        </w:drawing>
      </w:r>
    </w:p>
    <w:p w:rsidR="3B4348E7" w:rsidRPr="00B61137" w:rsidRDefault="3B4348E7" w:rsidP="00B61137">
      <w:pPr>
        <w:spacing w:after="0"/>
        <w:jc w:val="center"/>
        <w:rPr>
          <w:rFonts w:ascii="Arial" w:hAnsi="Arial" w:cs="Arial"/>
        </w:rPr>
      </w:pPr>
      <w:r w:rsidRPr="00B61137">
        <w:rPr>
          <w:rFonts w:ascii="Arial" w:hAnsi="Arial" w:cs="Arial"/>
          <w:b/>
        </w:rPr>
        <w:t xml:space="preserve">Slika 2.1. </w:t>
      </w:r>
      <w:r w:rsidRPr="00B61137">
        <w:rPr>
          <w:rFonts w:ascii="Arial" w:hAnsi="Arial" w:cs="Arial"/>
        </w:rPr>
        <w:t>Mreža mjernih mjesta - zone kvaliteta vazduha</w:t>
      </w:r>
    </w:p>
    <w:p w:rsidR="008914BE" w:rsidRPr="00722DF4" w:rsidRDefault="008914BE" w:rsidP="00722DF4">
      <w:pPr>
        <w:spacing w:after="0"/>
        <w:jc w:val="both"/>
        <w:rPr>
          <w:rFonts w:ascii="Arial" w:hAnsi="Arial" w:cs="Arial"/>
          <w:sz w:val="24"/>
          <w:szCs w:val="24"/>
        </w:rPr>
      </w:pPr>
    </w:p>
    <w:p w:rsidR="009753A8" w:rsidRDefault="3B4348E7" w:rsidP="00722DF4">
      <w:pPr>
        <w:spacing w:after="0"/>
        <w:jc w:val="both"/>
        <w:rPr>
          <w:rFonts w:ascii="Arial" w:hAnsi="Arial" w:cs="Arial"/>
          <w:sz w:val="24"/>
          <w:szCs w:val="24"/>
        </w:rPr>
      </w:pPr>
      <w:r w:rsidRPr="00722DF4">
        <w:rPr>
          <w:rFonts w:ascii="Arial" w:hAnsi="Arial" w:cs="Arial"/>
          <w:sz w:val="24"/>
          <w:szCs w:val="24"/>
        </w:rPr>
        <w:t>U skladu sa Uredbom o uspostavljanju mreže mjernih mjesta za praćenje kvaliteta vazduha ("Službeni list CG", br. 44/2010 i 13/2011), teritorija Crne Gore podijeljena je tri zone (Tabela 2.1), koje su određene preliminarnom procjenom kvaliteta vazduha u odnosu na granice ocjenjivanja zagađujućih materija na osnovu dostupnih podataka o koncetracijama zagađujućih materija i modeliranjem postojećih podataka. Granice zona kvaliteta vazduha podudaraju se sa spoljnim administrativnim granicama opština koje se nala</w:t>
      </w:r>
      <w:r w:rsidR="00B72D05" w:rsidRPr="00722DF4">
        <w:rPr>
          <w:rFonts w:ascii="Arial" w:hAnsi="Arial" w:cs="Arial"/>
          <w:sz w:val="24"/>
          <w:szCs w:val="24"/>
        </w:rPr>
        <w:t>ze u sastavu tih zona.</w:t>
      </w:r>
    </w:p>
    <w:p w:rsidR="008914BE" w:rsidRPr="00722DF4" w:rsidRDefault="008914BE" w:rsidP="00722DF4">
      <w:pPr>
        <w:spacing w:after="0"/>
        <w:jc w:val="both"/>
        <w:rPr>
          <w:rFonts w:ascii="Arial" w:hAnsi="Arial" w:cs="Arial"/>
          <w:sz w:val="24"/>
          <w:szCs w:val="24"/>
        </w:rPr>
      </w:pPr>
    </w:p>
    <w:p w:rsidR="3B4348E7" w:rsidRPr="00722DF4" w:rsidRDefault="3B4348E7" w:rsidP="00722DF4">
      <w:pPr>
        <w:spacing w:after="0"/>
        <w:jc w:val="both"/>
        <w:rPr>
          <w:rFonts w:ascii="Arial" w:hAnsi="Arial" w:cs="Arial"/>
          <w:sz w:val="24"/>
          <w:szCs w:val="24"/>
        </w:rPr>
      </w:pPr>
      <w:r w:rsidRPr="00744115">
        <w:rPr>
          <w:rFonts w:ascii="Arial" w:hAnsi="Arial" w:cs="Arial"/>
          <w:b/>
        </w:rPr>
        <w:t>Tabela 2.1.</w:t>
      </w:r>
      <w:r w:rsidR="00722DF4" w:rsidRPr="00744115">
        <w:rPr>
          <w:rFonts w:ascii="Arial" w:hAnsi="Arial" w:cs="Arial"/>
          <w:b/>
        </w:rPr>
        <w:t xml:space="preserve"> </w:t>
      </w:r>
      <w:r w:rsidRPr="00744115">
        <w:rPr>
          <w:rFonts w:ascii="Arial" w:hAnsi="Arial" w:cs="Arial"/>
        </w:rPr>
        <w:t>Zone kvaliteta vazduha</w:t>
      </w:r>
      <w:r w:rsidRPr="00744115">
        <w:rPr>
          <w:rFonts w:ascii="Arial" w:hAnsi="Arial" w:cs="Arial"/>
          <w:b/>
          <w:color w:val="FFFFFF"/>
        </w:rPr>
        <w:t>na</w:t>
      </w:r>
      <w:r w:rsidRPr="00B61137">
        <w:rPr>
          <w:rFonts w:ascii="Arial" w:hAnsi="Arial" w:cs="Arial"/>
          <w:b/>
          <w:i/>
          <w:color w:val="FFFFFF"/>
          <w:sz w:val="24"/>
          <w:szCs w:val="24"/>
        </w:rPr>
        <w:t xml:space="preserve"> </w:t>
      </w:r>
      <w:r w:rsidRPr="00722DF4">
        <w:rPr>
          <w:rFonts w:ascii="Arial" w:hAnsi="Arial" w:cs="Arial"/>
          <w:b/>
          <w:color w:val="FFFFFF"/>
          <w:sz w:val="24"/>
          <w:szCs w:val="24"/>
        </w:rPr>
        <w:t>kvaliteta vazduha Opštine u sastavu zone</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4675"/>
        <w:gridCol w:w="4675"/>
      </w:tblGrid>
      <w:tr w:rsidR="3B4348E7" w:rsidRPr="00722DF4" w:rsidTr="00CA2879">
        <w:tc>
          <w:tcPr>
            <w:tcW w:w="4680" w:type="dxa"/>
            <w:tcBorders>
              <w:bottom w:val="single" w:sz="12" w:space="0" w:color="95B3D7"/>
            </w:tcBorders>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Zona kvaliteta vazduha</w:t>
            </w:r>
          </w:p>
        </w:tc>
        <w:tc>
          <w:tcPr>
            <w:tcW w:w="4680" w:type="dxa"/>
            <w:tcBorders>
              <w:bottom w:val="single" w:sz="12" w:space="0" w:color="95B3D7"/>
            </w:tcBorders>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Opštine u sastavu zone</w:t>
            </w:r>
          </w:p>
        </w:tc>
      </w:tr>
      <w:tr w:rsidR="3B4348E7" w:rsidRPr="00722DF4" w:rsidTr="00CA2879">
        <w:tc>
          <w:tcPr>
            <w:tcW w:w="4680"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Zona održavanja kvaliteta vazduha</w:t>
            </w:r>
          </w:p>
        </w:tc>
        <w:tc>
          <w:tcPr>
            <w:tcW w:w="4680"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Andrijevica, Budva, Danilovgrad, Herceg Novi, Kolašin, Kotor, Mojkovac, Plav, </w:t>
            </w:r>
            <w:r w:rsidRPr="00722DF4">
              <w:rPr>
                <w:rFonts w:ascii="Arial" w:hAnsi="Arial" w:cs="Arial"/>
                <w:sz w:val="24"/>
                <w:szCs w:val="24"/>
              </w:rPr>
              <w:lastRenderedPageBreak/>
              <w:t>Plužine, Rožaje, Šavnik, Tivat, Ulcinj i Žabljak</w:t>
            </w:r>
          </w:p>
        </w:tc>
      </w:tr>
      <w:tr w:rsidR="3B4348E7" w:rsidRPr="00722DF4" w:rsidTr="00CA2879">
        <w:tc>
          <w:tcPr>
            <w:tcW w:w="4680"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Sjeverna zona u kojoj je neophodno unapređenje kvaliteta vazduha</w:t>
            </w:r>
          </w:p>
        </w:tc>
        <w:tc>
          <w:tcPr>
            <w:tcW w:w="4680" w:type="dxa"/>
          </w:tcPr>
          <w:p w:rsidR="3B4348E7" w:rsidRPr="00722DF4" w:rsidRDefault="008E3AF8" w:rsidP="00722DF4">
            <w:pPr>
              <w:spacing w:after="0"/>
              <w:jc w:val="both"/>
              <w:rPr>
                <w:rFonts w:ascii="Arial" w:hAnsi="Arial" w:cs="Arial"/>
                <w:sz w:val="24"/>
                <w:szCs w:val="24"/>
              </w:rPr>
            </w:pPr>
            <w:r w:rsidRPr="00722DF4">
              <w:rPr>
                <w:rFonts w:ascii="Arial" w:hAnsi="Arial" w:cs="Arial"/>
                <w:sz w:val="24"/>
                <w:szCs w:val="24"/>
              </w:rPr>
              <w:t>Berane, Bijelo P</w:t>
            </w:r>
            <w:r w:rsidR="3B4348E7" w:rsidRPr="00722DF4">
              <w:rPr>
                <w:rFonts w:ascii="Arial" w:hAnsi="Arial" w:cs="Arial"/>
                <w:sz w:val="24"/>
                <w:szCs w:val="24"/>
              </w:rPr>
              <w:t>olje i Pljevlja</w:t>
            </w:r>
          </w:p>
        </w:tc>
      </w:tr>
      <w:tr w:rsidR="3B4348E7" w:rsidRPr="00722DF4" w:rsidTr="00CA2879">
        <w:tc>
          <w:tcPr>
            <w:tcW w:w="4680"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Južna zona u kojoj je neophodno unapređenje kvaliteta vazduha</w:t>
            </w:r>
          </w:p>
        </w:tc>
        <w:tc>
          <w:tcPr>
            <w:tcW w:w="4680"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Bar, Cetinje, Nikšić i Podgorica</w:t>
            </w:r>
          </w:p>
        </w:tc>
      </w:tr>
    </w:tbl>
    <w:p w:rsidR="0003555C" w:rsidRPr="00722DF4" w:rsidRDefault="0003555C" w:rsidP="00722DF4">
      <w:pPr>
        <w:spacing w:after="0"/>
        <w:jc w:val="both"/>
        <w:rPr>
          <w:rFonts w:ascii="Arial" w:hAnsi="Arial" w:cs="Arial"/>
          <w:sz w:val="24"/>
          <w:szCs w:val="24"/>
        </w:rPr>
      </w:pPr>
    </w:p>
    <w:p w:rsidR="00837286" w:rsidRDefault="00837286" w:rsidP="00722DF4">
      <w:pPr>
        <w:spacing w:after="0"/>
        <w:jc w:val="both"/>
        <w:rPr>
          <w:rFonts w:ascii="Arial" w:hAnsi="Arial" w:cs="Arial"/>
          <w:sz w:val="24"/>
          <w:szCs w:val="24"/>
        </w:rPr>
      </w:pPr>
      <w:r w:rsidRPr="00722DF4">
        <w:rPr>
          <w:rFonts w:ascii="Arial" w:hAnsi="Arial" w:cs="Arial"/>
          <w:sz w:val="24"/>
          <w:szCs w:val="24"/>
        </w:rPr>
        <w:t>Na mjernoj stanici u Pljevljima (urbana pozadinska stanica) 17 srednjih jednočasovnih vrijednosti sumpor(IV)oksida je tokom 2016. godine bilo iznad propisane g</w:t>
      </w:r>
      <w:r w:rsidR="00AA72C8">
        <w:rPr>
          <w:rFonts w:ascii="Arial" w:hAnsi="Arial" w:cs="Arial"/>
          <w:sz w:val="24"/>
          <w:szCs w:val="24"/>
        </w:rPr>
        <w:t>ranične vrijednosti od 350 μg/m</w:t>
      </w:r>
      <w:r w:rsidR="00AA72C8">
        <w:rPr>
          <w:rFonts w:ascii="Arial" w:hAnsi="Arial" w:cs="Arial"/>
          <w:sz w:val="24"/>
          <w:szCs w:val="24"/>
          <w:vertAlign w:val="superscript"/>
        </w:rPr>
        <w:t>3</w:t>
      </w:r>
      <w:r w:rsidRPr="00722DF4">
        <w:rPr>
          <w:rFonts w:ascii="Arial" w:hAnsi="Arial" w:cs="Arial"/>
          <w:sz w:val="24"/>
          <w:szCs w:val="24"/>
        </w:rPr>
        <w:t>. Dvadeset jedan dan srednje dnevne vrijednosti su bile iznad 125 μg/m3, odnosno iznad granične srednje dnevne vrijednosti. Sva prekoračenja ovog polutanta, zabilježena su tokom zimske sezone (od oktobra do marta mjeseca).</w:t>
      </w:r>
    </w:p>
    <w:p w:rsidR="008914BE" w:rsidRPr="00722DF4" w:rsidRDefault="008914BE" w:rsidP="00722DF4">
      <w:pPr>
        <w:spacing w:after="0"/>
        <w:jc w:val="both"/>
        <w:rPr>
          <w:rFonts w:ascii="Arial" w:hAnsi="Arial" w:cs="Arial"/>
          <w:sz w:val="24"/>
          <w:szCs w:val="24"/>
        </w:rPr>
      </w:pPr>
    </w:p>
    <w:p w:rsidR="00837286" w:rsidRDefault="00837286" w:rsidP="00722DF4">
      <w:pPr>
        <w:spacing w:after="0"/>
        <w:jc w:val="both"/>
        <w:rPr>
          <w:rFonts w:ascii="Arial" w:hAnsi="Arial" w:cs="Arial"/>
          <w:sz w:val="24"/>
          <w:szCs w:val="24"/>
        </w:rPr>
      </w:pPr>
      <w:r w:rsidRPr="00722DF4">
        <w:rPr>
          <w:rFonts w:ascii="Arial" w:hAnsi="Arial" w:cs="Arial"/>
          <w:sz w:val="24"/>
          <w:szCs w:val="24"/>
        </w:rPr>
        <w:t>Na mjernim stanicama u Baru i Nikšiću (urbane pozadinske stanice) sve izmjerenje vrijednosti sumpor(IV)oksida, izražene kao jednočasovne i srednje dnevne, su bile značajno ispod propisanih imisionih graničnih vrijednosti, odnosno donje granice ocjenjivanja za zaštitu zdravlja. Na pozadinskim ruralnim stanicama Gradina i Golubovci sve jednočasovne i dnevne srednje vrijednosti sumpor(IV)oksida su bile ispod propisaneih graničnih vrijednosti.</w:t>
      </w:r>
    </w:p>
    <w:p w:rsidR="008914BE" w:rsidRPr="00722DF4" w:rsidRDefault="008914BE" w:rsidP="00722DF4">
      <w:pPr>
        <w:spacing w:after="0"/>
        <w:jc w:val="both"/>
        <w:rPr>
          <w:rFonts w:ascii="Arial" w:hAnsi="Arial" w:cs="Arial"/>
          <w:sz w:val="24"/>
          <w:szCs w:val="24"/>
        </w:rPr>
      </w:pPr>
    </w:p>
    <w:p w:rsidR="00837286" w:rsidRDefault="00837286" w:rsidP="00722DF4">
      <w:pPr>
        <w:spacing w:after="0"/>
        <w:jc w:val="both"/>
        <w:rPr>
          <w:rFonts w:ascii="Arial" w:hAnsi="Arial" w:cs="Arial"/>
          <w:sz w:val="24"/>
          <w:szCs w:val="24"/>
        </w:rPr>
      </w:pPr>
      <w:r w:rsidRPr="00722DF4">
        <w:rPr>
          <w:rFonts w:ascii="Arial" w:hAnsi="Arial" w:cs="Arial"/>
          <w:sz w:val="24"/>
          <w:szCs w:val="24"/>
        </w:rPr>
        <w:t>Na mjernoj stanici u Podgorici (urbana saobraćajna) dvije jednočasovne srednje vrijednosti azot(IV)oksida su bile iznad propisane granične vrijednosti. Tolerantni nivo je 18 prekoračenja. Na stacionarnim stanicama u Baru, Pljevljima, Golubovcima i Gradini sve jednočasovne vrijednosti azot (IV)oksida su bile ispod propisanih graničnih vrijednosti, a i sve srednje godišnje vrijednosti su bile ispod propisanih normi.</w:t>
      </w:r>
    </w:p>
    <w:p w:rsidR="008914BE" w:rsidRPr="00722DF4" w:rsidRDefault="008914BE" w:rsidP="00722DF4">
      <w:pPr>
        <w:spacing w:after="0"/>
        <w:jc w:val="both"/>
        <w:rPr>
          <w:rFonts w:ascii="Arial" w:hAnsi="Arial" w:cs="Arial"/>
          <w:sz w:val="24"/>
          <w:szCs w:val="24"/>
        </w:rPr>
      </w:pPr>
    </w:p>
    <w:p w:rsidR="008914BE" w:rsidRDefault="00837286" w:rsidP="00722DF4">
      <w:pPr>
        <w:spacing w:after="0"/>
        <w:jc w:val="both"/>
        <w:rPr>
          <w:rFonts w:ascii="Arial" w:hAnsi="Arial" w:cs="Arial"/>
          <w:sz w:val="24"/>
          <w:szCs w:val="24"/>
        </w:rPr>
      </w:pPr>
      <w:r w:rsidRPr="00722DF4">
        <w:rPr>
          <w:rFonts w:ascii="Arial" w:hAnsi="Arial" w:cs="Arial"/>
          <w:sz w:val="24"/>
          <w:szCs w:val="24"/>
        </w:rPr>
        <w:t>Mjerenja suspendovanih čestica PM10 su kao i prethodnih godina vršena na četiri mjerne stanice (Podgorica, Bar, Nikšić i Pljevlja). Srednje dnevne vrijednosti PM10 na mjernom mjestu Podgorica-Nova Varoš su 81 dan prelazile propisanu graničnu</w:t>
      </w:r>
      <w:r w:rsidR="00CF744E" w:rsidRPr="00722DF4">
        <w:rPr>
          <w:rFonts w:ascii="Arial" w:hAnsi="Arial" w:cs="Arial"/>
          <w:sz w:val="24"/>
          <w:szCs w:val="24"/>
        </w:rPr>
        <w:t xml:space="preserve"> </w:t>
      </w:r>
      <w:r w:rsidRPr="00722DF4">
        <w:rPr>
          <w:rFonts w:ascii="Arial" w:hAnsi="Arial" w:cs="Arial"/>
          <w:sz w:val="24"/>
          <w:szCs w:val="24"/>
        </w:rPr>
        <w:t>vrijednost (50μg/m3).</w:t>
      </w:r>
      <w:r w:rsidR="00CF744E" w:rsidRPr="00722DF4">
        <w:rPr>
          <w:rFonts w:ascii="Arial" w:hAnsi="Arial" w:cs="Arial"/>
          <w:sz w:val="24"/>
          <w:szCs w:val="24"/>
        </w:rPr>
        <w:t xml:space="preserve"> </w:t>
      </w:r>
      <w:r w:rsidRPr="00722DF4">
        <w:rPr>
          <w:rFonts w:ascii="Arial" w:hAnsi="Arial" w:cs="Arial"/>
          <w:sz w:val="24"/>
          <w:szCs w:val="24"/>
        </w:rPr>
        <w:t>Trideset sedam dana srednje dnevne vrijednosti PM10 čestica su na mjernom</w:t>
      </w:r>
      <w:r w:rsidR="00CF744E" w:rsidRPr="00722DF4">
        <w:rPr>
          <w:rFonts w:ascii="Arial" w:hAnsi="Arial" w:cs="Arial"/>
          <w:sz w:val="24"/>
          <w:szCs w:val="24"/>
        </w:rPr>
        <w:t xml:space="preserve"> </w:t>
      </w:r>
      <w:r w:rsidRPr="00722DF4">
        <w:rPr>
          <w:rFonts w:ascii="Arial" w:hAnsi="Arial" w:cs="Arial"/>
          <w:sz w:val="24"/>
          <w:szCs w:val="24"/>
        </w:rPr>
        <w:t>mjestu u Baru prelazile propisanu graničnu vrijednost. Na mjernoj stnici u Nikšiću, u</w:t>
      </w:r>
      <w:r w:rsidR="00CF744E" w:rsidRPr="00722DF4">
        <w:rPr>
          <w:rFonts w:ascii="Arial" w:hAnsi="Arial" w:cs="Arial"/>
          <w:sz w:val="24"/>
          <w:szCs w:val="24"/>
        </w:rPr>
        <w:t xml:space="preserve"> </w:t>
      </w:r>
      <w:r w:rsidRPr="00722DF4">
        <w:rPr>
          <w:rFonts w:ascii="Arial" w:hAnsi="Arial" w:cs="Arial"/>
          <w:sz w:val="24"/>
          <w:szCs w:val="24"/>
        </w:rPr>
        <w:t>toku 2016. godine srednja dnevna vrijednost PM10 prelazila propisanu normu od</w:t>
      </w:r>
      <w:r w:rsidR="00CF744E" w:rsidRPr="00722DF4">
        <w:rPr>
          <w:rFonts w:ascii="Arial" w:hAnsi="Arial" w:cs="Arial"/>
          <w:sz w:val="24"/>
          <w:szCs w:val="24"/>
        </w:rPr>
        <w:t xml:space="preserve"> </w:t>
      </w:r>
      <w:r w:rsidRPr="00722DF4">
        <w:rPr>
          <w:rFonts w:ascii="Arial" w:hAnsi="Arial" w:cs="Arial"/>
          <w:sz w:val="24"/>
          <w:szCs w:val="24"/>
        </w:rPr>
        <w:t>50 μg/m3 72 dana. Srednja godišnja vrijednost PM10 čestica takođe je prelazila</w:t>
      </w:r>
      <w:r w:rsidR="00CF744E" w:rsidRPr="00722DF4">
        <w:rPr>
          <w:rFonts w:ascii="Arial" w:hAnsi="Arial" w:cs="Arial"/>
          <w:sz w:val="24"/>
          <w:szCs w:val="24"/>
        </w:rPr>
        <w:t xml:space="preserve"> </w:t>
      </w:r>
      <w:r w:rsidRPr="00722DF4">
        <w:rPr>
          <w:rFonts w:ascii="Arial" w:hAnsi="Arial" w:cs="Arial"/>
          <w:sz w:val="24"/>
          <w:szCs w:val="24"/>
        </w:rPr>
        <w:t>graničnu vrijednost na ovoj lokaciji</w:t>
      </w:r>
      <w:r w:rsidR="00CF744E" w:rsidRPr="00722DF4">
        <w:rPr>
          <w:rFonts w:ascii="Arial" w:hAnsi="Arial" w:cs="Arial"/>
          <w:sz w:val="24"/>
          <w:szCs w:val="24"/>
        </w:rPr>
        <w:t xml:space="preserve"> (m</w:t>
      </w:r>
      <w:r w:rsidRPr="00722DF4">
        <w:rPr>
          <w:rFonts w:ascii="Arial" w:hAnsi="Arial" w:cs="Arial"/>
          <w:sz w:val="24"/>
          <w:szCs w:val="24"/>
        </w:rPr>
        <w:t>jerenja suspendovanih čestica PM10 na ovoj lokaciji, zbog kvara uzorkivača,</w:t>
      </w:r>
      <w:r w:rsidR="00CF744E" w:rsidRPr="00722DF4">
        <w:rPr>
          <w:rFonts w:ascii="Arial" w:hAnsi="Arial" w:cs="Arial"/>
          <w:sz w:val="24"/>
          <w:szCs w:val="24"/>
        </w:rPr>
        <w:t xml:space="preserve"> </w:t>
      </w:r>
      <w:r w:rsidRPr="00722DF4">
        <w:rPr>
          <w:rFonts w:ascii="Arial" w:hAnsi="Arial" w:cs="Arial"/>
          <w:sz w:val="24"/>
          <w:szCs w:val="24"/>
        </w:rPr>
        <w:t>nijesu vršena od kraja j</w:t>
      </w:r>
      <w:r w:rsidR="00CF744E" w:rsidRPr="00722DF4">
        <w:rPr>
          <w:rFonts w:ascii="Arial" w:hAnsi="Arial" w:cs="Arial"/>
          <w:sz w:val="24"/>
          <w:szCs w:val="24"/>
        </w:rPr>
        <w:t>una do početka decembra mjeseca). Srednja dnevna vrijednost PM10 u Pljevljima je 181 dan bila iznad propisane granične vrijednosti. Srednja godišnja vrijednost suspendovanih čestica PM10 prelazi graničnu vrijednost na ovoj lokaciji.</w:t>
      </w:r>
    </w:p>
    <w:p w:rsidR="00B61137" w:rsidRPr="00722DF4" w:rsidRDefault="00B61137" w:rsidP="00722DF4">
      <w:pPr>
        <w:spacing w:after="0"/>
        <w:jc w:val="both"/>
        <w:rPr>
          <w:rFonts w:ascii="Arial" w:hAnsi="Arial" w:cs="Arial"/>
          <w:sz w:val="24"/>
          <w:szCs w:val="24"/>
        </w:rPr>
      </w:pPr>
    </w:p>
    <w:p w:rsidR="00CF744E" w:rsidRDefault="00CF744E" w:rsidP="00722DF4">
      <w:pPr>
        <w:spacing w:after="0"/>
        <w:jc w:val="both"/>
        <w:rPr>
          <w:rFonts w:ascii="Arial" w:hAnsi="Arial" w:cs="Arial"/>
          <w:sz w:val="24"/>
          <w:szCs w:val="24"/>
        </w:rPr>
      </w:pPr>
      <w:r w:rsidRPr="00722DF4">
        <w:rPr>
          <w:rFonts w:ascii="Arial" w:hAnsi="Arial" w:cs="Arial"/>
          <w:sz w:val="24"/>
          <w:szCs w:val="24"/>
        </w:rPr>
        <w:lastRenderedPageBreak/>
        <w:t>Na mjernoj stanici Bar-2 srednja vrijednost suspendovanih čestica PM2.5 je bila ispod propisane granične vrijednosti. U Nikšiću srednja godišnja vrijednost PM2.5 od 25,04 μg/m3 je bila u nivou propisane granične vrijednosti (25μg/m3). U Pljevljima srednja vrijednost PM2.5 na godišnjem nivou je bila iznad propisane granične vrijednosti i izno</w:t>
      </w:r>
      <w:r w:rsidR="00AA72C8">
        <w:rPr>
          <w:rFonts w:ascii="Arial" w:hAnsi="Arial" w:cs="Arial"/>
          <w:sz w:val="24"/>
          <w:szCs w:val="24"/>
        </w:rPr>
        <w:t>sila je 44,86 μg/m</w:t>
      </w:r>
      <w:r w:rsidR="00AA72C8">
        <w:rPr>
          <w:rFonts w:ascii="Arial" w:hAnsi="Arial" w:cs="Arial"/>
          <w:sz w:val="24"/>
          <w:szCs w:val="24"/>
          <w:vertAlign w:val="superscript"/>
        </w:rPr>
        <w:t>3</w:t>
      </w:r>
      <w:r w:rsidRPr="00722DF4">
        <w:rPr>
          <w:rFonts w:ascii="Arial" w:hAnsi="Arial" w:cs="Arial"/>
          <w:sz w:val="24"/>
          <w:szCs w:val="24"/>
        </w:rPr>
        <w:t>. Na lokaciji u Tivtu srednja vrijednost PM2.5 na godišnjem nivou je bila ispod propisane granične vrijednosti ali prelazi donju granicu ocjenjivanja.</w:t>
      </w:r>
    </w:p>
    <w:p w:rsidR="008914BE" w:rsidRPr="00722DF4" w:rsidRDefault="008914BE" w:rsidP="00722DF4">
      <w:pPr>
        <w:spacing w:after="0"/>
        <w:jc w:val="both"/>
        <w:rPr>
          <w:rFonts w:ascii="Arial" w:hAnsi="Arial" w:cs="Arial"/>
          <w:sz w:val="24"/>
          <w:szCs w:val="24"/>
        </w:rPr>
      </w:pPr>
    </w:p>
    <w:p w:rsidR="00CF744E" w:rsidRPr="00722DF4" w:rsidRDefault="00CF744E" w:rsidP="00722DF4">
      <w:pPr>
        <w:spacing w:after="0"/>
        <w:jc w:val="both"/>
        <w:rPr>
          <w:rFonts w:ascii="Arial" w:hAnsi="Arial" w:cs="Arial"/>
          <w:sz w:val="24"/>
          <w:szCs w:val="24"/>
        </w:rPr>
      </w:pPr>
      <w:r w:rsidRPr="00722DF4">
        <w:rPr>
          <w:rFonts w:ascii="Arial" w:hAnsi="Arial" w:cs="Arial"/>
          <w:sz w:val="24"/>
          <w:szCs w:val="24"/>
        </w:rPr>
        <w:t>Sve maksimalne osmočasovne srednje vrijednosti ugljen(II)oksida (CO), na svim mjernim mjestima su tokom 2016. godine bile ispod propisanih graničnih vrijednosti.</w:t>
      </w:r>
    </w:p>
    <w:p w:rsidR="00CF744E" w:rsidRDefault="00AA72C8" w:rsidP="00722DF4">
      <w:pPr>
        <w:spacing w:after="0"/>
        <w:jc w:val="both"/>
        <w:rPr>
          <w:rFonts w:ascii="Arial" w:hAnsi="Arial" w:cs="Arial"/>
          <w:sz w:val="24"/>
          <w:szCs w:val="24"/>
        </w:rPr>
      </w:pPr>
      <w:r>
        <w:rPr>
          <w:rFonts w:ascii="Arial" w:hAnsi="Arial" w:cs="Arial"/>
          <w:sz w:val="24"/>
          <w:szCs w:val="24"/>
        </w:rPr>
        <w:t>Prizemni (troposferski) ozon (O</w:t>
      </w:r>
      <w:r>
        <w:rPr>
          <w:rFonts w:ascii="Arial" w:hAnsi="Arial" w:cs="Arial"/>
          <w:sz w:val="24"/>
          <w:szCs w:val="24"/>
          <w:vertAlign w:val="subscript"/>
        </w:rPr>
        <w:t>3</w:t>
      </w:r>
      <w:r w:rsidR="00CF744E" w:rsidRPr="00722DF4">
        <w:rPr>
          <w:rFonts w:ascii="Arial" w:hAnsi="Arial" w:cs="Arial"/>
          <w:sz w:val="24"/>
          <w:szCs w:val="24"/>
        </w:rPr>
        <w:t>), sekundarni polutant, se formira složenim hemijskim reakcijama. Njegova koncentracija zavisi od emisije njegovih prekursora, kao što su azotni oksidi (poznati</w:t>
      </w:r>
      <w:r>
        <w:rPr>
          <w:rFonts w:ascii="Arial" w:hAnsi="Arial" w:cs="Arial"/>
          <w:sz w:val="24"/>
          <w:szCs w:val="24"/>
        </w:rPr>
        <w:t xml:space="preserve"> kao NOX koji uključuju NO i NO</w:t>
      </w:r>
      <w:r>
        <w:rPr>
          <w:rFonts w:ascii="Arial" w:hAnsi="Arial" w:cs="Arial"/>
          <w:sz w:val="24"/>
          <w:szCs w:val="24"/>
          <w:vertAlign w:val="subscript"/>
        </w:rPr>
        <w:t>2</w:t>
      </w:r>
      <w:r w:rsidR="00CF744E" w:rsidRPr="00722DF4">
        <w:rPr>
          <w:rFonts w:ascii="Arial" w:hAnsi="Arial" w:cs="Arial"/>
          <w:sz w:val="24"/>
          <w:szCs w:val="24"/>
        </w:rPr>
        <w:t>) i nemetanska lakoisparljiva organska jedinjenja od kojih daljim reakcijama iniciran sunčevim zračenjem nastaje ozon. U Baru, zbog kvara mjernog instrumenta, nijesu vršena mjerenja ovog polutanta u ljetnjim mjesecima, odnosno od sredine juna mjeseca. Broj prekoračenja u mjernom periodu april-sredina juna, na ovoj lokaciji, je četiri. Sve osmočasovne srednje dnevne vrijednosti ozona na mjernoj stanici u Nikšiću su bile ispod ciljnu vrijednost. Do prekoračenja ciljnih vrijednosti za prizemni ozon došlo je na pozadinskoj stanici Gradina. Na ovoj mjernoj stanici 2 dana maksimalne osmočasovne vrijednosti ozona su prekoračivale propisanu ciljnu vrijednost. Ciljna vrijednost, sa aspekta zaštite zdravlja ljudi od 120 μg/</w:t>
      </w:r>
      <w:r>
        <w:rPr>
          <w:rFonts w:ascii="Arial" w:hAnsi="Arial" w:cs="Arial"/>
          <w:sz w:val="24"/>
          <w:szCs w:val="24"/>
        </w:rPr>
        <w:t>m</w:t>
      </w:r>
      <w:r>
        <w:rPr>
          <w:rFonts w:ascii="Arial" w:hAnsi="Arial" w:cs="Arial"/>
          <w:sz w:val="24"/>
          <w:szCs w:val="24"/>
          <w:vertAlign w:val="superscript"/>
        </w:rPr>
        <w:t>3</w:t>
      </w:r>
      <w:r w:rsidR="00CF744E" w:rsidRPr="00722DF4">
        <w:rPr>
          <w:rFonts w:ascii="Arial" w:hAnsi="Arial" w:cs="Arial"/>
          <w:sz w:val="24"/>
          <w:szCs w:val="24"/>
        </w:rPr>
        <w:t>, ne smije biti prekoračena više od 25 puta tokom kalendarske godine.</w:t>
      </w:r>
    </w:p>
    <w:p w:rsidR="008914BE" w:rsidRPr="00722DF4" w:rsidRDefault="008914BE" w:rsidP="00722DF4">
      <w:pPr>
        <w:spacing w:after="0"/>
        <w:jc w:val="both"/>
        <w:rPr>
          <w:rFonts w:ascii="Arial" w:hAnsi="Arial" w:cs="Arial"/>
          <w:sz w:val="24"/>
          <w:szCs w:val="24"/>
        </w:rPr>
      </w:pPr>
    </w:p>
    <w:p w:rsidR="00CF744E" w:rsidRDefault="00CF744E" w:rsidP="00722DF4">
      <w:pPr>
        <w:spacing w:after="0"/>
        <w:jc w:val="both"/>
        <w:rPr>
          <w:rFonts w:ascii="Arial" w:hAnsi="Arial" w:cs="Arial"/>
          <w:sz w:val="24"/>
          <w:szCs w:val="24"/>
        </w:rPr>
      </w:pPr>
      <w:r w:rsidRPr="00722DF4">
        <w:rPr>
          <w:rFonts w:ascii="Arial" w:hAnsi="Arial" w:cs="Arial"/>
          <w:sz w:val="24"/>
          <w:szCs w:val="24"/>
        </w:rPr>
        <w:t>Srednja godišnja vrijednost benzo(a)pirena u Podgorici, Baru, Nikšiću i Pljevljima je bila iznad propisane ciljne vrijednosti.</w:t>
      </w:r>
    </w:p>
    <w:p w:rsidR="008914BE" w:rsidRPr="00722DF4" w:rsidRDefault="008914BE" w:rsidP="00722DF4">
      <w:pPr>
        <w:spacing w:after="0"/>
        <w:jc w:val="both"/>
        <w:rPr>
          <w:rFonts w:ascii="Arial" w:hAnsi="Arial" w:cs="Arial"/>
          <w:sz w:val="24"/>
          <w:szCs w:val="24"/>
        </w:rPr>
      </w:pPr>
    </w:p>
    <w:p w:rsidR="00CF744E" w:rsidRDefault="00CF744E" w:rsidP="00722DF4">
      <w:pPr>
        <w:spacing w:after="0"/>
        <w:jc w:val="both"/>
        <w:rPr>
          <w:rFonts w:ascii="Arial" w:hAnsi="Arial" w:cs="Arial"/>
          <w:sz w:val="24"/>
          <w:szCs w:val="24"/>
        </w:rPr>
      </w:pPr>
      <w:r w:rsidRPr="00722DF4">
        <w:rPr>
          <w:rFonts w:ascii="Arial" w:hAnsi="Arial" w:cs="Arial"/>
          <w:sz w:val="24"/>
          <w:szCs w:val="24"/>
        </w:rPr>
        <w:t>Srednje godišnje vrijednosti sadržaja olova, kadmijuma, arsena i nikla u suspendovanim česticama PM10 na mjernim stanicama u Baru, Nikšiću i Pljevljima, kao i olova na mjernoj stanici Podgorica-Nova Varoš su bile ispod propisanih graničnih i ciljnih vrijednosti.</w:t>
      </w:r>
    </w:p>
    <w:p w:rsidR="008914BE" w:rsidRPr="00722DF4" w:rsidRDefault="008914BE" w:rsidP="00722DF4">
      <w:pPr>
        <w:spacing w:after="0"/>
        <w:jc w:val="both"/>
        <w:rPr>
          <w:rFonts w:ascii="Arial" w:hAnsi="Arial" w:cs="Arial"/>
          <w:sz w:val="24"/>
          <w:szCs w:val="24"/>
        </w:rPr>
      </w:pPr>
    </w:p>
    <w:p w:rsidR="00CF744E" w:rsidRDefault="00CF744E" w:rsidP="00722DF4">
      <w:pPr>
        <w:spacing w:after="0"/>
        <w:jc w:val="both"/>
        <w:rPr>
          <w:rFonts w:ascii="Arial" w:hAnsi="Arial" w:cs="Arial"/>
          <w:sz w:val="24"/>
          <w:szCs w:val="24"/>
        </w:rPr>
      </w:pPr>
      <w:r w:rsidRPr="00722DF4">
        <w:rPr>
          <w:rFonts w:ascii="Arial" w:hAnsi="Arial" w:cs="Arial"/>
          <w:sz w:val="24"/>
          <w:szCs w:val="24"/>
        </w:rPr>
        <w:t>Zagađenje benzo(a)pirenom produktom sagorijevanja fosilnih goriva (grijanje, industrija i saobraćaj) je evidentno u urbanim sredinama što potvrđuju i rezultati mjerenja ovog polutanta na lokacijama u Pljevljima, Nikšiću, Podgorici i Baru. Treba svakako naglasiti da su vrijednosti ovog polutanta u direktnoj zavisnosti od koncentracija suspendovanih čestica, samim tim visoke vrijednosti su uobičajene u zimskom periodu.</w:t>
      </w:r>
    </w:p>
    <w:p w:rsidR="008914BE" w:rsidRPr="00722DF4" w:rsidRDefault="008914BE" w:rsidP="00722DF4">
      <w:pPr>
        <w:spacing w:after="0"/>
        <w:jc w:val="both"/>
        <w:rPr>
          <w:rFonts w:ascii="Arial" w:hAnsi="Arial" w:cs="Arial"/>
          <w:sz w:val="24"/>
          <w:szCs w:val="24"/>
        </w:rPr>
      </w:pPr>
    </w:p>
    <w:p w:rsidR="00CF744E" w:rsidRPr="00722DF4" w:rsidRDefault="00CF744E" w:rsidP="00722DF4">
      <w:pPr>
        <w:spacing w:after="0"/>
        <w:jc w:val="both"/>
        <w:rPr>
          <w:rFonts w:ascii="Arial" w:hAnsi="Arial" w:cs="Arial"/>
          <w:sz w:val="24"/>
          <w:szCs w:val="24"/>
        </w:rPr>
      </w:pPr>
      <w:r w:rsidRPr="00722DF4">
        <w:rPr>
          <w:rFonts w:ascii="Arial" w:hAnsi="Arial" w:cs="Arial"/>
          <w:sz w:val="24"/>
          <w:szCs w:val="24"/>
        </w:rPr>
        <w:t>Na kvalitet vazduha najviše su uticale emisije koje su rezultat sagorijevanja goriva u velikim i malim ložištimai u motorima sa unutrašnjim sagorijevanjem, emisije iz industrije, kao i nepovoljni meteorološki uslovi. Meteorološki uslovi u velikoj mjeri utiču na kvalitet vazduha i koncentracije zagadjujućih materija u prizemnom sloju atmosfere.</w:t>
      </w:r>
    </w:p>
    <w:p w:rsidR="00CF744E" w:rsidRDefault="00CF744E" w:rsidP="00722DF4">
      <w:pPr>
        <w:spacing w:after="0"/>
        <w:jc w:val="both"/>
        <w:rPr>
          <w:rFonts w:ascii="Arial" w:hAnsi="Arial" w:cs="Arial"/>
          <w:sz w:val="24"/>
          <w:szCs w:val="24"/>
        </w:rPr>
      </w:pPr>
      <w:r w:rsidRPr="00722DF4">
        <w:rPr>
          <w:rFonts w:ascii="Arial" w:hAnsi="Arial" w:cs="Arial"/>
          <w:bCs/>
          <w:sz w:val="24"/>
          <w:szCs w:val="24"/>
        </w:rPr>
        <w:lastRenderedPageBreak/>
        <w:t>U Južnoj i Sjevernoj zoni</w:t>
      </w:r>
      <w:r w:rsidRPr="00722DF4">
        <w:rPr>
          <w:rFonts w:ascii="Arial" w:hAnsi="Arial" w:cs="Arial"/>
          <w:b/>
          <w:bCs/>
          <w:sz w:val="24"/>
          <w:szCs w:val="24"/>
        </w:rPr>
        <w:t xml:space="preserve"> </w:t>
      </w:r>
      <w:r w:rsidRPr="00722DF4">
        <w:rPr>
          <w:rFonts w:ascii="Arial" w:hAnsi="Arial" w:cs="Arial"/>
          <w:sz w:val="24"/>
          <w:szCs w:val="24"/>
        </w:rPr>
        <w:t>u kojima je, u skladu sa Uredbom o uspostavljanju mreže mjernih mjesta za praćenje kvaliteta vazduha neophodno unaprijeđenje kvaliteta vazduha, najveći uticaj na lošiji kvalitet vazduha imaju praškaste materije PM10 i PM2,5, sadržaj benzo(a)pirena u PM10 česticama, sadržaj sum</w:t>
      </w:r>
      <w:r w:rsidR="009016AF">
        <w:rPr>
          <w:rFonts w:ascii="Arial" w:hAnsi="Arial" w:cs="Arial"/>
          <w:sz w:val="24"/>
          <w:szCs w:val="24"/>
        </w:rPr>
        <w:t>por(IV)oksida (SO</w:t>
      </w:r>
      <w:r w:rsidR="009016AF">
        <w:rPr>
          <w:rFonts w:ascii="Arial" w:hAnsi="Arial" w:cs="Arial"/>
          <w:sz w:val="24"/>
          <w:szCs w:val="24"/>
          <w:vertAlign w:val="subscript"/>
        </w:rPr>
        <w:t>2</w:t>
      </w:r>
      <w:r w:rsidRPr="00722DF4">
        <w:rPr>
          <w:rFonts w:ascii="Arial" w:hAnsi="Arial" w:cs="Arial"/>
          <w:sz w:val="24"/>
          <w:szCs w:val="24"/>
        </w:rPr>
        <w:t>) u Pljevljima. Ovim zonama pripadaju: Berane, Bijelo Polje i Pljevlja (Sjeverna zona) i Bar, Cetinje, Nikšić i Podgorica (Južna zona).</w:t>
      </w:r>
    </w:p>
    <w:p w:rsidR="008914BE" w:rsidRPr="00722DF4" w:rsidRDefault="008914BE" w:rsidP="00722DF4">
      <w:pPr>
        <w:spacing w:after="0"/>
        <w:jc w:val="both"/>
        <w:rPr>
          <w:rFonts w:ascii="Arial" w:hAnsi="Arial" w:cs="Arial"/>
          <w:sz w:val="24"/>
          <w:szCs w:val="24"/>
        </w:rPr>
      </w:pPr>
    </w:p>
    <w:p w:rsidR="00837286" w:rsidRDefault="00CF744E" w:rsidP="00722DF4">
      <w:pPr>
        <w:spacing w:after="0"/>
        <w:jc w:val="both"/>
        <w:rPr>
          <w:rFonts w:ascii="Arial" w:hAnsi="Arial" w:cs="Arial"/>
          <w:sz w:val="24"/>
          <w:szCs w:val="24"/>
        </w:rPr>
      </w:pPr>
      <w:r w:rsidRPr="00722DF4">
        <w:rPr>
          <w:rFonts w:ascii="Arial" w:hAnsi="Arial" w:cs="Arial"/>
          <w:bCs/>
          <w:sz w:val="24"/>
          <w:szCs w:val="24"/>
        </w:rPr>
        <w:t>U Zoni održavanja kvaliteta vazduha</w:t>
      </w:r>
      <w:r w:rsidRPr="00722DF4">
        <w:rPr>
          <w:rFonts w:ascii="Arial" w:hAnsi="Arial" w:cs="Arial"/>
          <w:b/>
          <w:bCs/>
          <w:sz w:val="24"/>
          <w:szCs w:val="24"/>
        </w:rPr>
        <w:t xml:space="preserve"> </w:t>
      </w:r>
      <w:r w:rsidRPr="00722DF4">
        <w:rPr>
          <w:rFonts w:ascii="Arial" w:hAnsi="Arial" w:cs="Arial"/>
          <w:sz w:val="24"/>
          <w:szCs w:val="24"/>
        </w:rPr>
        <w:t>kojoj pripadaju: Andrijevica, Budva, Danilovgrad, Herceg Novi, Kolašin, Kotor, Mojkovac, Plav, Plužine, Rožaje, Šavnik, Tivat, Ulcinj i Žabljak, kvalitet vazduha se prati na EMEP stanici na Žabljaku sa opremom za tzv. poluautomatski monitoring i u Tivtu, u kojem je zbog kvara mjernih instumenata mjerena samo koncentracija PM2,5 čestica. Na osnovu izmjerenih koncentracija praćenih parametara, kvalitet vazduha u ovoj zoni je zadovolja</w:t>
      </w:r>
      <w:r w:rsidR="00141142" w:rsidRPr="00722DF4">
        <w:rPr>
          <w:rFonts w:ascii="Arial" w:hAnsi="Arial" w:cs="Arial"/>
          <w:sz w:val="24"/>
          <w:szCs w:val="24"/>
        </w:rPr>
        <w:t>vajući</w:t>
      </w:r>
      <w:r w:rsidR="008914BE">
        <w:rPr>
          <w:rFonts w:ascii="Arial" w:hAnsi="Arial" w:cs="Arial"/>
          <w:sz w:val="24"/>
          <w:szCs w:val="24"/>
        </w:rPr>
        <w:t>.</w:t>
      </w:r>
    </w:p>
    <w:p w:rsidR="008914BE" w:rsidRPr="00722DF4" w:rsidRDefault="008914BE" w:rsidP="00722DF4">
      <w:pPr>
        <w:spacing w:after="0"/>
        <w:jc w:val="both"/>
        <w:rPr>
          <w:rFonts w:ascii="Arial" w:hAnsi="Arial" w:cs="Arial"/>
          <w:sz w:val="24"/>
          <w:szCs w:val="24"/>
        </w:rPr>
      </w:pPr>
    </w:p>
    <w:p w:rsidR="005F00BE" w:rsidRPr="00722DF4" w:rsidRDefault="3B4348E7" w:rsidP="00722DF4">
      <w:pPr>
        <w:pStyle w:val="Heading3"/>
        <w:numPr>
          <w:ilvl w:val="0"/>
          <w:numId w:val="0"/>
        </w:numPr>
        <w:spacing w:before="0"/>
        <w:jc w:val="both"/>
        <w:rPr>
          <w:rFonts w:cs="Arial"/>
          <w:color w:val="000000"/>
          <w:szCs w:val="24"/>
        </w:rPr>
      </w:pPr>
      <w:bookmarkStart w:id="20" w:name="_Toc6172812"/>
      <w:r w:rsidRPr="00722DF4">
        <w:rPr>
          <w:rFonts w:cs="Arial"/>
          <w:color w:val="000000"/>
          <w:szCs w:val="24"/>
        </w:rPr>
        <w:t>2.</w:t>
      </w:r>
      <w:r w:rsidR="00140B29" w:rsidRPr="00722DF4">
        <w:rPr>
          <w:rFonts w:cs="Arial"/>
          <w:color w:val="000000"/>
          <w:szCs w:val="24"/>
        </w:rPr>
        <w:t>1.</w:t>
      </w:r>
      <w:r w:rsidRPr="00722DF4">
        <w:rPr>
          <w:rFonts w:cs="Arial"/>
          <w:color w:val="000000"/>
          <w:szCs w:val="24"/>
        </w:rPr>
        <w:t>2 Klima i klimatske promjene</w:t>
      </w:r>
      <w:bookmarkEnd w:id="20"/>
    </w:p>
    <w:p w:rsidR="008C4F95" w:rsidRDefault="008C4F95" w:rsidP="00722DF4">
      <w:pPr>
        <w:spacing w:after="0"/>
        <w:jc w:val="both"/>
        <w:rPr>
          <w:rStyle w:val="Heading4Char"/>
          <w:rFonts w:ascii="Arial" w:eastAsia="Calibri" w:hAnsi="Arial" w:cs="Arial"/>
          <w:i/>
          <w:color w:val="auto"/>
          <w:szCs w:val="24"/>
        </w:rPr>
      </w:pPr>
      <w:r w:rsidRPr="00722DF4">
        <w:rPr>
          <w:rStyle w:val="Heading4Char"/>
          <w:rFonts w:ascii="Arial" w:eastAsia="Calibri" w:hAnsi="Arial" w:cs="Arial"/>
          <w:i/>
          <w:color w:val="auto"/>
          <w:szCs w:val="24"/>
        </w:rPr>
        <w:t xml:space="preserve">2.1.2.1 </w:t>
      </w:r>
      <w:r w:rsidR="005F00BE" w:rsidRPr="00722DF4">
        <w:rPr>
          <w:rStyle w:val="Heading4Char"/>
          <w:rFonts w:ascii="Arial" w:eastAsia="Calibri" w:hAnsi="Arial" w:cs="Arial"/>
          <w:i/>
          <w:color w:val="auto"/>
          <w:szCs w:val="24"/>
        </w:rPr>
        <w:t>Klimatske karakteristike</w:t>
      </w:r>
    </w:p>
    <w:p w:rsidR="008914BE" w:rsidRPr="00722DF4" w:rsidRDefault="008914BE" w:rsidP="00722DF4">
      <w:pPr>
        <w:spacing w:after="0"/>
        <w:jc w:val="both"/>
        <w:rPr>
          <w:rFonts w:ascii="Arial" w:hAnsi="Arial" w:cs="Arial"/>
          <w:sz w:val="24"/>
          <w:szCs w:val="24"/>
        </w:rPr>
      </w:pPr>
    </w:p>
    <w:p w:rsidR="005D6739" w:rsidRDefault="005D6739" w:rsidP="00722DF4">
      <w:pPr>
        <w:spacing w:after="0"/>
        <w:jc w:val="both"/>
        <w:rPr>
          <w:rFonts w:ascii="Arial" w:hAnsi="Arial" w:cs="Arial"/>
          <w:sz w:val="24"/>
          <w:szCs w:val="24"/>
        </w:rPr>
      </w:pPr>
      <w:r w:rsidRPr="00722DF4">
        <w:rPr>
          <w:rFonts w:ascii="Arial" w:hAnsi="Arial" w:cs="Arial"/>
          <w:sz w:val="24"/>
          <w:szCs w:val="24"/>
        </w:rPr>
        <w:t>Crna Gora je veoma složeno klimatsko podru</w:t>
      </w:r>
      <w:r w:rsidRPr="00722DF4">
        <w:rPr>
          <w:rFonts w:ascii="Arial" w:hAnsi="Arial" w:cs="Arial"/>
          <w:sz w:val="24"/>
          <w:szCs w:val="24"/>
          <w:lang w:val="sr-Latn-CS"/>
        </w:rPr>
        <w:t>č</w:t>
      </w:r>
      <w:r w:rsidRPr="00722DF4">
        <w:rPr>
          <w:rFonts w:ascii="Arial" w:hAnsi="Arial" w:cs="Arial"/>
          <w:sz w:val="24"/>
          <w:szCs w:val="24"/>
        </w:rPr>
        <w:t>je koje se odlikuje izraženim varijacijamau vremenu i prostoru zbog svog geografskog položaja, blizine mora, morfoloških oblika – planisnkih lanaca kojisprječavaju dublji prodor u kopno maritimnih uticaja, kao i vazdušnih struja.</w:t>
      </w:r>
    </w:p>
    <w:p w:rsidR="008914BE" w:rsidRPr="00722DF4" w:rsidRDefault="008914BE" w:rsidP="00722DF4">
      <w:pPr>
        <w:spacing w:after="0"/>
        <w:jc w:val="both"/>
        <w:rPr>
          <w:rFonts w:ascii="Arial" w:hAnsi="Arial" w:cs="Arial"/>
          <w:sz w:val="24"/>
          <w:szCs w:val="24"/>
        </w:rPr>
      </w:pPr>
    </w:p>
    <w:p w:rsidR="005D6739" w:rsidRDefault="005D6739" w:rsidP="00722DF4">
      <w:pPr>
        <w:spacing w:after="0"/>
        <w:jc w:val="both"/>
        <w:rPr>
          <w:rFonts w:ascii="Arial" w:hAnsi="Arial" w:cs="Arial"/>
          <w:sz w:val="24"/>
          <w:szCs w:val="24"/>
        </w:rPr>
      </w:pPr>
      <w:r w:rsidRPr="00722DF4">
        <w:rPr>
          <w:rFonts w:ascii="Arial" w:hAnsi="Arial" w:cs="Arial"/>
          <w:sz w:val="24"/>
          <w:szCs w:val="24"/>
        </w:rPr>
        <w:t>Dva su dominantna uticaja na klimatsku sliku Crne Gore. Prvi je tzv. Đenovski ciklon, koji uslovljavavisoke padavine, a drugi je tzv. Sibirski anticiklon, koji uslovljava ekstremne vrijednosti vazdušnogpritiska i veoma niske temperature.</w:t>
      </w:r>
    </w:p>
    <w:p w:rsidR="008914BE" w:rsidRPr="00722DF4" w:rsidRDefault="008914BE" w:rsidP="00722DF4">
      <w:pPr>
        <w:spacing w:after="0"/>
        <w:jc w:val="both"/>
        <w:rPr>
          <w:rFonts w:ascii="Arial" w:hAnsi="Arial" w:cs="Arial"/>
          <w:sz w:val="24"/>
          <w:szCs w:val="24"/>
        </w:rPr>
      </w:pPr>
    </w:p>
    <w:p w:rsidR="005D6739" w:rsidRDefault="005D6739" w:rsidP="00722DF4">
      <w:pPr>
        <w:spacing w:after="0"/>
        <w:jc w:val="both"/>
        <w:rPr>
          <w:rFonts w:ascii="Arial" w:hAnsi="Arial" w:cs="Arial"/>
          <w:sz w:val="24"/>
          <w:szCs w:val="24"/>
          <w:u w:val="single"/>
        </w:rPr>
      </w:pPr>
      <w:r w:rsidRPr="00722DF4">
        <w:rPr>
          <w:rFonts w:ascii="Arial" w:hAnsi="Arial" w:cs="Arial"/>
          <w:sz w:val="24"/>
          <w:szCs w:val="24"/>
          <w:u w:val="single"/>
        </w:rPr>
        <w:t>Temperatura vazduha</w:t>
      </w:r>
    </w:p>
    <w:p w:rsidR="008914BE" w:rsidRPr="00722DF4" w:rsidRDefault="008914BE" w:rsidP="00722DF4">
      <w:pPr>
        <w:spacing w:after="0"/>
        <w:jc w:val="both"/>
        <w:rPr>
          <w:rFonts w:ascii="Arial" w:hAnsi="Arial" w:cs="Arial"/>
          <w:sz w:val="24"/>
          <w:szCs w:val="24"/>
          <w:u w:val="single"/>
        </w:rPr>
      </w:pPr>
    </w:p>
    <w:p w:rsidR="005D6739" w:rsidRDefault="005D6739" w:rsidP="00722DF4">
      <w:pPr>
        <w:spacing w:after="0"/>
        <w:jc w:val="both"/>
        <w:rPr>
          <w:rFonts w:ascii="Arial" w:hAnsi="Arial" w:cs="Arial"/>
          <w:sz w:val="24"/>
          <w:szCs w:val="24"/>
        </w:rPr>
      </w:pPr>
      <w:r w:rsidRPr="00722DF4">
        <w:rPr>
          <w:rFonts w:ascii="Arial" w:hAnsi="Arial" w:cs="Arial"/>
          <w:sz w:val="24"/>
          <w:szCs w:val="24"/>
        </w:rPr>
        <w:t>Primorje i Zetsko-Bjelopavlićka ravnica su oblasti u kojima vlada mediteranska klima, koju</w:t>
      </w:r>
      <w:r w:rsidR="008914BE">
        <w:rPr>
          <w:rFonts w:ascii="Arial" w:hAnsi="Arial" w:cs="Arial"/>
          <w:sz w:val="24"/>
          <w:szCs w:val="24"/>
        </w:rPr>
        <w:t xml:space="preserve"> k</w:t>
      </w:r>
      <w:r w:rsidRPr="00722DF4">
        <w:rPr>
          <w:rFonts w:ascii="Arial" w:hAnsi="Arial" w:cs="Arial"/>
          <w:sz w:val="24"/>
          <w:szCs w:val="24"/>
        </w:rPr>
        <w:t>arakterišu duga, vrela i suva ljeta i relativno blage i kišovite zime. Mjesta u dolinama, kao što su</w:t>
      </w:r>
      <w:r w:rsidR="00A204FD" w:rsidRPr="00722DF4">
        <w:rPr>
          <w:rFonts w:ascii="Arial" w:hAnsi="Arial" w:cs="Arial"/>
          <w:sz w:val="24"/>
          <w:szCs w:val="24"/>
        </w:rPr>
        <w:t xml:space="preserve"> </w:t>
      </w:r>
      <w:r w:rsidRPr="00722DF4">
        <w:rPr>
          <w:rFonts w:ascii="Arial" w:hAnsi="Arial" w:cs="Arial"/>
          <w:sz w:val="24"/>
          <w:szCs w:val="24"/>
        </w:rPr>
        <w:t>Podgorica, Danilovgrad i druga, imaju u januaru nižu temparaturu od primorskih mjesta na približnoistoj geografskoj širini, dok u toku ljeta imaju nešto višu temperaturu.</w:t>
      </w:r>
    </w:p>
    <w:p w:rsidR="008914BE" w:rsidRPr="00722DF4" w:rsidRDefault="008914BE" w:rsidP="00722DF4">
      <w:pPr>
        <w:spacing w:after="0"/>
        <w:jc w:val="both"/>
        <w:rPr>
          <w:rFonts w:ascii="Arial" w:hAnsi="Arial" w:cs="Arial"/>
          <w:sz w:val="24"/>
          <w:szCs w:val="24"/>
        </w:rPr>
      </w:pPr>
    </w:p>
    <w:p w:rsidR="005D6739" w:rsidRPr="00722DF4" w:rsidRDefault="005D6739" w:rsidP="00722DF4">
      <w:pPr>
        <w:spacing w:after="0"/>
        <w:jc w:val="both"/>
        <w:rPr>
          <w:rFonts w:ascii="Arial" w:hAnsi="Arial" w:cs="Arial"/>
          <w:sz w:val="24"/>
          <w:szCs w:val="24"/>
        </w:rPr>
      </w:pPr>
      <w:r w:rsidRPr="00722DF4">
        <w:rPr>
          <w:rFonts w:ascii="Arial" w:hAnsi="Arial" w:cs="Arial"/>
          <w:sz w:val="24"/>
          <w:szCs w:val="24"/>
        </w:rPr>
        <w:t>Toplim ljetima se naročito ističe dolina Zete i na ovom podrucju je registrovan apsolutni maksimum</w:t>
      </w:r>
      <w:r w:rsidR="00A204FD" w:rsidRPr="00722DF4">
        <w:rPr>
          <w:rFonts w:ascii="Arial" w:hAnsi="Arial" w:cs="Arial"/>
          <w:sz w:val="24"/>
          <w:szCs w:val="24"/>
        </w:rPr>
        <w:t xml:space="preserve"> </w:t>
      </w:r>
      <w:r w:rsidRPr="00722DF4">
        <w:rPr>
          <w:rFonts w:ascii="Arial" w:hAnsi="Arial" w:cs="Arial"/>
          <w:sz w:val="24"/>
          <w:szCs w:val="24"/>
        </w:rPr>
        <w:t>temperature vazduha u Crnoj Gori i najveći prosječni broj tropskih dana.</w:t>
      </w:r>
    </w:p>
    <w:p w:rsidR="005D6739" w:rsidRDefault="00A204FD" w:rsidP="00722DF4">
      <w:pPr>
        <w:spacing w:after="0"/>
        <w:jc w:val="both"/>
        <w:rPr>
          <w:rFonts w:ascii="Arial" w:hAnsi="Arial" w:cs="Arial"/>
          <w:sz w:val="24"/>
          <w:szCs w:val="24"/>
        </w:rPr>
      </w:pPr>
      <w:r w:rsidRPr="00722DF4">
        <w:rPr>
          <w:rFonts w:ascii="Arial" w:hAnsi="Arial" w:cs="Arial"/>
          <w:sz w:val="24"/>
          <w:szCs w:val="24"/>
        </w:rPr>
        <w:t>Znatno oštriju klimu</w:t>
      </w:r>
      <w:r w:rsidR="005D6739" w:rsidRPr="00722DF4">
        <w:rPr>
          <w:rFonts w:ascii="Arial" w:hAnsi="Arial" w:cs="Arial"/>
          <w:sz w:val="24"/>
          <w:szCs w:val="24"/>
        </w:rPr>
        <w:t xml:space="preserve"> imaju kraška polja, koja se nalaze na višim nadmorskim visinama i koja su od Jadrana udaljena desetinama kilometara. Zimi, tokom anticiklonarnih prilika, u tim poljima se taloži hladanvazduh spuštajuci se po stranama okolnih planina, dok se ljeti </w:t>
      </w:r>
      <w:r w:rsidR="005D6739" w:rsidRPr="00722DF4">
        <w:rPr>
          <w:rFonts w:ascii="Arial" w:hAnsi="Arial" w:cs="Arial"/>
          <w:sz w:val="24"/>
          <w:szCs w:val="24"/>
        </w:rPr>
        <w:lastRenderedPageBreak/>
        <w:t>prizemni sloj vazduha u njima prilično</w:t>
      </w:r>
      <w:r w:rsidRPr="00722DF4">
        <w:rPr>
          <w:rFonts w:ascii="Arial" w:hAnsi="Arial" w:cs="Arial"/>
          <w:sz w:val="24"/>
          <w:szCs w:val="24"/>
        </w:rPr>
        <w:t xml:space="preserve"> </w:t>
      </w:r>
      <w:r w:rsidR="005D6739" w:rsidRPr="00722DF4">
        <w:rPr>
          <w:rFonts w:ascii="Arial" w:hAnsi="Arial" w:cs="Arial"/>
          <w:sz w:val="24"/>
          <w:szCs w:val="24"/>
        </w:rPr>
        <w:t>zagrije, usljed čega je godišnje kolebanje temperature vazduha povećano.</w:t>
      </w:r>
    </w:p>
    <w:p w:rsidR="008914BE" w:rsidRPr="00722DF4" w:rsidRDefault="008914BE" w:rsidP="00722DF4">
      <w:pPr>
        <w:spacing w:after="0"/>
        <w:jc w:val="both"/>
        <w:rPr>
          <w:rFonts w:ascii="Arial" w:hAnsi="Arial" w:cs="Arial"/>
          <w:sz w:val="24"/>
          <w:szCs w:val="24"/>
        </w:rPr>
      </w:pPr>
    </w:p>
    <w:p w:rsidR="00F9376A" w:rsidRPr="00744115" w:rsidRDefault="00F9376A" w:rsidP="00722DF4">
      <w:pPr>
        <w:spacing w:after="0"/>
        <w:jc w:val="both"/>
        <w:rPr>
          <w:rFonts w:ascii="Arial" w:hAnsi="Arial" w:cs="Arial"/>
        </w:rPr>
      </w:pPr>
      <w:r w:rsidRPr="00744115">
        <w:rPr>
          <w:rFonts w:ascii="Arial" w:hAnsi="Arial" w:cs="Arial"/>
          <w:b/>
        </w:rPr>
        <w:t>Tabela 2.2.</w:t>
      </w:r>
      <w:r w:rsidR="00722DF4" w:rsidRPr="00744115">
        <w:rPr>
          <w:rFonts w:ascii="Arial" w:hAnsi="Arial" w:cs="Arial"/>
          <w:b/>
        </w:rPr>
        <w:t xml:space="preserve"> </w:t>
      </w:r>
      <w:r w:rsidRPr="00744115">
        <w:rPr>
          <w:rFonts w:ascii="Arial" w:hAnsi="Arial" w:cs="Arial"/>
          <w:i/>
        </w:rPr>
        <w:t>Srednje mjesečne i godišnje temperature vazduha na mjernim stanicama za period 1949- 1991 u °C (Vodoprivredna osnova Republika Crne Gore, 2001)</w:t>
      </w: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194"/>
        <w:gridCol w:w="586"/>
        <w:gridCol w:w="597"/>
        <w:gridCol w:w="624"/>
        <w:gridCol w:w="623"/>
        <w:gridCol w:w="623"/>
        <w:gridCol w:w="623"/>
        <w:gridCol w:w="623"/>
        <w:gridCol w:w="624"/>
        <w:gridCol w:w="624"/>
        <w:gridCol w:w="624"/>
        <w:gridCol w:w="624"/>
        <w:gridCol w:w="624"/>
        <w:gridCol w:w="717"/>
      </w:tblGrid>
      <w:tr w:rsidR="00CD0614" w:rsidRPr="008914BE" w:rsidTr="00CA2879">
        <w:tc>
          <w:tcPr>
            <w:tcW w:w="1146"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Stanica</w:t>
            </w:r>
          </w:p>
        </w:tc>
        <w:tc>
          <w:tcPr>
            <w:tcW w:w="625"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Jan</w:t>
            </w:r>
          </w:p>
        </w:tc>
        <w:tc>
          <w:tcPr>
            <w:tcW w:w="635"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Feb</w:t>
            </w:r>
          </w:p>
        </w:tc>
        <w:tc>
          <w:tcPr>
            <w:tcW w:w="650"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Mar</w:t>
            </w:r>
          </w:p>
        </w:tc>
        <w:tc>
          <w:tcPr>
            <w:tcW w:w="648"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Apr</w:t>
            </w:r>
          </w:p>
        </w:tc>
        <w:tc>
          <w:tcPr>
            <w:tcW w:w="648"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Maj</w:t>
            </w:r>
          </w:p>
        </w:tc>
        <w:tc>
          <w:tcPr>
            <w:tcW w:w="648"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Jun</w:t>
            </w:r>
          </w:p>
        </w:tc>
        <w:tc>
          <w:tcPr>
            <w:tcW w:w="647"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Jul</w:t>
            </w:r>
          </w:p>
        </w:tc>
        <w:tc>
          <w:tcPr>
            <w:tcW w:w="649"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Avg</w:t>
            </w:r>
          </w:p>
        </w:tc>
        <w:tc>
          <w:tcPr>
            <w:tcW w:w="649"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Sep</w:t>
            </w:r>
          </w:p>
        </w:tc>
        <w:tc>
          <w:tcPr>
            <w:tcW w:w="649"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Okt</w:t>
            </w:r>
          </w:p>
        </w:tc>
        <w:tc>
          <w:tcPr>
            <w:tcW w:w="650"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Nov</w:t>
            </w:r>
          </w:p>
        </w:tc>
        <w:tc>
          <w:tcPr>
            <w:tcW w:w="649"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Dec</w:t>
            </w:r>
          </w:p>
        </w:tc>
        <w:tc>
          <w:tcPr>
            <w:tcW w:w="683" w:type="dxa"/>
            <w:shd w:val="clear" w:color="auto" w:fill="F2F2F2"/>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Sred.</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Žabljak</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-4,4</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-3,7</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-1,0</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3,2</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8,3</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12,0</w:t>
            </w:r>
          </w:p>
        </w:tc>
        <w:tc>
          <w:tcPr>
            <w:tcW w:w="647"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14,1</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13,7</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10,2</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5,5</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1,2</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-2,4</w:t>
            </w:r>
          </w:p>
        </w:tc>
        <w:tc>
          <w:tcPr>
            <w:tcW w:w="683"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4,7</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Pljevlja</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-2,5</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-0,3</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3,5</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8,0</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12,7</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15,7</w:t>
            </w:r>
          </w:p>
        </w:tc>
        <w:tc>
          <w:tcPr>
            <w:tcW w:w="647"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17,6</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17,4</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13,8</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9,0</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4,1</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-0,6</w:t>
            </w:r>
          </w:p>
        </w:tc>
        <w:tc>
          <w:tcPr>
            <w:tcW w:w="683"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8,2</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Bijelo Polje</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-1,7</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0,7</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4,6</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9,0</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13,2</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16,2</w:t>
            </w:r>
          </w:p>
        </w:tc>
        <w:tc>
          <w:tcPr>
            <w:tcW w:w="647"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18,0</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17,6</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14,3</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9,4</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4,7</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0,1</w:t>
            </w:r>
          </w:p>
        </w:tc>
        <w:tc>
          <w:tcPr>
            <w:tcW w:w="683"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8,8</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Kolašin</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-1,9</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-0,6</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2,1</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6,3</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10,8</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14,0</w:t>
            </w:r>
          </w:p>
        </w:tc>
        <w:tc>
          <w:tcPr>
            <w:tcW w:w="647"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15,9</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15,3</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12,1</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7,7</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3,7</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-0,1</w:t>
            </w:r>
          </w:p>
        </w:tc>
        <w:tc>
          <w:tcPr>
            <w:tcW w:w="683"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7,1</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 xml:space="preserve">Berane </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-1,5</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0,7</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4,5</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8,9</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13,6</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16,5</w:t>
            </w:r>
          </w:p>
        </w:tc>
        <w:tc>
          <w:tcPr>
            <w:tcW w:w="647"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18,9</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18,4</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14,6</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9,5</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4,9</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0,4</w:t>
            </w:r>
          </w:p>
        </w:tc>
        <w:tc>
          <w:tcPr>
            <w:tcW w:w="683"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9,1</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H. Novi</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8,3</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8,7</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10,7</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13,7</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17,9</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21,7</w:t>
            </w:r>
          </w:p>
        </w:tc>
        <w:tc>
          <w:tcPr>
            <w:tcW w:w="647"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24,4</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24,1</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20,9</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16,7</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12,8</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9,9</w:t>
            </w:r>
          </w:p>
        </w:tc>
        <w:tc>
          <w:tcPr>
            <w:tcW w:w="683"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15,8</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Budva</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8,4</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8,8</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10,7</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13,8</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17,9</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21,7</w:t>
            </w:r>
          </w:p>
        </w:tc>
        <w:tc>
          <w:tcPr>
            <w:tcW w:w="647"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24,2</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23,7</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20,7</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16,7</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13,1</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10,0</w:t>
            </w:r>
          </w:p>
        </w:tc>
        <w:tc>
          <w:tcPr>
            <w:tcW w:w="683"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12,8</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Bar</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8,3</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8,9</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10,6</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13,6</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17,8</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21,3</w:t>
            </w:r>
          </w:p>
        </w:tc>
        <w:tc>
          <w:tcPr>
            <w:tcW w:w="647"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23,5</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21,1</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20,3</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16,6</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13,0</w:t>
            </w:r>
          </w:p>
        </w:tc>
        <w:tc>
          <w:tcPr>
            <w:tcW w:w="649"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9,8</w:t>
            </w:r>
          </w:p>
        </w:tc>
        <w:tc>
          <w:tcPr>
            <w:tcW w:w="683"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15,6</w:t>
            </w:r>
          </w:p>
        </w:tc>
      </w:tr>
      <w:tr w:rsidR="00BA15BD"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Ulcinj</w:t>
            </w:r>
          </w:p>
        </w:tc>
        <w:tc>
          <w:tcPr>
            <w:tcW w:w="62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7,0</w:t>
            </w:r>
          </w:p>
        </w:tc>
        <w:tc>
          <w:tcPr>
            <w:tcW w:w="635"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8,0</w:t>
            </w:r>
          </w:p>
        </w:tc>
        <w:tc>
          <w:tcPr>
            <w:tcW w:w="650"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10,4</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13,8</w:t>
            </w:r>
          </w:p>
        </w:tc>
        <w:tc>
          <w:tcPr>
            <w:tcW w:w="648" w:type="dxa"/>
          </w:tcPr>
          <w:p w:rsidR="00CD0614" w:rsidRPr="008914BE" w:rsidRDefault="00CD0614" w:rsidP="00722DF4">
            <w:pPr>
              <w:spacing w:after="0"/>
              <w:jc w:val="both"/>
              <w:rPr>
                <w:rFonts w:ascii="Arial" w:hAnsi="Arial" w:cs="Arial"/>
                <w:sz w:val="20"/>
                <w:szCs w:val="20"/>
              </w:rPr>
            </w:pPr>
            <w:r w:rsidRPr="008914BE">
              <w:rPr>
                <w:rFonts w:ascii="Arial" w:hAnsi="Arial" w:cs="Arial"/>
                <w:sz w:val="20"/>
                <w:szCs w:val="20"/>
              </w:rPr>
              <w:t>17,9</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21,8</w:t>
            </w:r>
          </w:p>
        </w:tc>
        <w:tc>
          <w:tcPr>
            <w:tcW w:w="647"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24,4</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24,3</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21,2</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16,9</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12,4</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8,8</w:t>
            </w:r>
          </w:p>
        </w:tc>
        <w:tc>
          <w:tcPr>
            <w:tcW w:w="683"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15,6</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Cetinje</w:t>
            </w:r>
          </w:p>
        </w:tc>
        <w:tc>
          <w:tcPr>
            <w:tcW w:w="62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0,8</w:t>
            </w:r>
          </w:p>
        </w:tc>
        <w:tc>
          <w:tcPr>
            <w:tcW w:w="63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1,7</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4,7</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9,0</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13,7</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17,5</w:t>
            </w:r>
          </w:p>
        </w:tc>
        <w:tc>
          <w:tcPr>
            <w:tcW w:w="647"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20,1</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19,5</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15,3</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10,1</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5,8</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2,4</w:t>
            </w:r>
          </w:p>
        </w:tc>
        <w:tc>
          <w:tcPr>
            <w:tcW w:w="683"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10,0</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Nikšić</w:t>
            </w:r>
          </w:p>
        </w:tc>
        <w:tc>
          <w:tcPr>
            <w:tcW w:w="62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1,3</w:t>
            </w:r>
          </w:p>
        </w:tc>
        <w:tc>
          <w:tcPr>
            <w:tcW w:w="63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2,4</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5,5</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9,6</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14,1</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17,7</w:t>
            </w:r>
          </w:p>
        </w:tc>
        <w:tc>
          <w:tcPr>
            <w:tcW w:w="647"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20,7</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20,4</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16,4</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11,3</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6,7</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3,1</w:t>
            </w:r>
          </w:p>
        </w:tc>
        <w:tc>
          <w:tcPr>
            <w:tcW w:w="683"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10,8</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Podgorica</w:t>
            </w:r>
          </w:p>
        </w:tc>
        <w:tc>
          <w:tcPr>
            <w:tcW w:w="62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5,1</w:t>
            </w:r>
          </w:p>
        </w:tc>
        <w:tc>
          <w:tcPr>
            <w:tcW w:w="63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6,6</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9,9</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14,0</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18,9</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23,0</w:t>
            </w:r>
          </w:p>
        </w:tc>
        <w:tc>
          <w:tcPr>
            <w:tcW w:w="647"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26,1</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25,8</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21,5</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15,8</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10,5</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6,8</w:t>
            </w:r>
          </w:p>
        </w:tc>
        <w:tc>
          <w:tcPr>
            <w:tcW w:w="683"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15,3</w:t>
            </w:r>
          </w:p>
        </w:tc>
      </w:tr>
      <w:tr w:rsidR="00CD0614"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Tmin</w:t>
            </w:r>
          </w:p>
        </w:tc>
        <w:tc>
          <w:tcPr>
            <w:tcW w:w="62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-4,4</w:t>
            </w:r>
          </w:p>
        </w:tc>
        <w:tc>
          <w:tcPr>
            <w:tcW w:w="63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-3,7</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3,2</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8,3</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12,0</w:t>
            </w:r>
          </w:p>
        </w:tc>
        <w:tc>
          <w:tcPr>
            <w:tcW w:w="647"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14,1</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13,7</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10,2</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5,5</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1,2</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-2,4</w:t>
            </w:r>
          </w:p>
        </w:tc>
        <w:tc>
          <w:tcPr>
            <w:tcW w:w="683"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4,7</w:t>
            </w:r>
          </w:p>
        </w:tc>
      </w:tr>
      <w:tr w:rsidR="00BA15BD"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Tmax</w:t>
            </w:r>
          </w:p>
        </w:tc>
        <w:tc>
          <w:tcPr>
            <w:tcW w:w="62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8,4</w:t>
            </w:r>
          </w:p>
        </w:tc>
        <w:tc>
          <w:tcPr>
            <w:tcW w:w="63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8,9</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10,7</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14,0</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18,9</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23,0</w:t>
            </w:r>
          </w:p>
        </w:tc>
        <w:tc>
          <w:tcPr>
            <w:tcW w:w="647"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26,1</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25,8</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21,5</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16,9</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13,1</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10,0</w:t>
            </w:r>
          </w:p>
        </w:tc>
        <w:tc>
          <w:tcPr>
            <w:tcW w:w="683"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15,8</w:t>
            </w:r>
          </w:p>
        </w:tc>
      </w:tr>
      <w:tr w:rsidR="00BA15BD" w:rsidRPr="008914BE" w:rsidTr="00CA2879">
        <w:tc>
          <w:tcPr>
            <w:tcW w:w="1146" w:type="dxa"/>
            <w:shd w:val="clear" w:color="auto" w:fill="D9D9D9"/>
          </w:tcPr>
          <w:p w:rsidR="00CD0614" w:rsidRPr="008914BE" w:rsidRDefault="00CD0614" w:rsidP="00722DF4">
            <w:pPr>
              <w:spacing w:after="0"/>
              <w:jc w:val="both"/>
              <w:rPr>
                <w:rFonts w:ascii="Arial" w:hAnsi="Arial" w:cs="Arial"/>
                <w:b/>
                <w:sz w:val="20"/>
                <w:szCs w:val="20"/>
              </w:rPr>
            </w:pPr>
            <w:r w:rsidRPr="008914BE">
              <w:rPr>
                <w:rFonts w:ascii="Arial" w:hAnsi="Arial" w:cs="Arial"/>
                <w:b/>
                <w:sz w:val="20"/>
                <w:szCs w:val="20"/>
              </w:rPr>
              <w:t>Tsred.</w:t>
            </w:r>
          </w:p>
        </w:tc>
        <w:tc>
          <w:tcPr>
            <w:tcW w:w="62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2,3</w:t>
            </w:r>
          </w:p>
        </w:tc>
        <w:tc>
          <w:tcPr>
            <w:tcW w:w="635"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3,5</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6,3</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10,2</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14,7</w:t>
            </w:r>
          </w:p>
        </w:tc>
        <w:tc>
          <w:tcPr>
            <w:tcW w:w="648"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18,3</w:t>
            </w:r>
          </w:p>
        </w:tc>
        <w:tc>
          <w:tcPr>
            <w:tcW w:w="647"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20,6</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20,3</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16,8</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12,1</w:t>
            </w:r>
          </w:p>
        </w:tc>
        <w:tc>
          <w:tcPr>
            <w:tcW w:w="650"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7,7</w:t>
            </w:r>
          </w:p>
        </w:tc>
        <w:tc>
          <w:tcPr>
            <w:tcW w:w="649"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4,0</w:t>
            </w:r>
          </w:p>
        </w:tc>
        <w:tc>
          <w:tcPr>
            <w:tcW w:w="683" w:type="dxa"/>
          </w:tcPr>
          <w:p w:rsidR="00CD0614" w:rsidRPr="008914BE" w:rsidRDefault="00BA15BD" w:rsidP="00722DF4">
            <w:pPr>
              <w:spacing w:after="0"/>
              <w:jc w:val="both"/>
              <w:rPr>
                <w:rFonts w:ascii="Arial" w:hAnsi="Arial" w:cs="Arial"/>
                <w:sz w:val="20"/>
                <w:szCs w:val="20"/>
              </w:rPr>
            </w:pPr>
            <w:r w:rsidRPr="008914BE">
              <w:rPr>
                <w:rFonts w:ascii="Arial" w:hAnsi="Arial" w:cs="Arial"/>
                <w:sz w:val="20"/>
                <w:szCs w:val="20"/>
              </w:rPr>
              <w:t>11,4</w:t>
            </w:r>
          </w:p>
        </w:tc>
      </w:tr>
    </w:tbl>
    <w:p w:rsidR="005D6739" w:rsidRPr="00722DF4" w:rsidRDefault="005D6739" w:rsidP="00722DF4">
      <w:pPr>
        <w:autoSpaceDE w:val="0"/>
        <w:autoSpaceDN w:val="0"/>
        <w:adjustRightInd w:val="0"/>
        <w:spacing w:after="0"/>
        <w:jc w:val="both"/>
        <w:rPr>
          <w:rFonts w:ascii="Arial" w:hAnsi="Arial" w:cs="Arial"/>
          <w:b/>
          <w:bCs/>
          <w:color w:val="FFFFFF"/>
          <w:sz w:val="24"/>
          <w:szCs w:val="24"/>
        </w:rPr>
      </w:pPr>
      <w:r w:rsidRPr="00722DF4">
        <w:rPr>
          <w:rFonts w:ascii="Arial" w:hAnsi="Arial" w:cs="Arial"/>
          <w:b/>
          <w:bCs/>
          <w:color w:val="FFFFFF"/>
          <w:sz w:val="24"/>
          <w:szCs w:val="24"/>
        </w:rPr>
        <w:t>tanica Jan Feb Mar Apr Maj Jun Jul Avg Sep Okt Nov Dec Sred.</w:t>
      </w:r>
    </w:p>
    <w:p w:rsidR="005D6739" w:rsidRPr="00722DF4" w:rsidRDefault="005D6739" w:rsidP="00722DF4">
      <w:pPr>
        <w:spacing w:after="0"/>
        <w:jc w:val="both"/>
        <w:rPr>
          <w:rFonts w:ascii="Arial" w:hAnsi="Arial" w:cs="Arial"/>
          <w:b/>
          <w:bCs/>
          <w:sz w:val="24"/>
          <w:szCs w:val="24"/>
        </w:rPr>
      </w:pPr>
    </w:p>
    <w:p w:rsidR="005D6739" w:rsidRPr="00722DF4" w:rsidRDefault="00F9376A" w:rsidP="00722DF4">
      <w:pPr>
        <w:spacing w:after="0"/>
        <w:jc w:val="both"/>
        <w:rPr>
          <w:rFonts w:ascii="Arial" w:hAnsi="Arial" w:cs="Arial"/>
          <w:sz w:val="24"/>
          <w:szCs w:val="24"/>
        </w:rPr>
      </w:pPr>
      <w:r w:rsidRPr="00722DF4">
        <w:rPr>
          <w:rFonts w:ascii="Arial" w:hAnsi="Arial" w:cs="Arial"/>
          <w:sz w:val="24"/>
          <w:szCs w:val="24"/>
        </w:rPr>
        <w:t>Centralni i sjeverni dio Crne Gore ima neke karakteristike planinske klime, ali je evidentan i uticaj</w:t>
      </w:r>
      <w:r w:rsidR="00A204FD" w:rsidRPr="00722DF4">
        <w:rPr>
          <w:rFonts w:ascii="Arial" w:hAnsi="Arial" w:cs="Arial"/>
          <w:sz w:val="24"/>
          <w:szCs w:val="24"/>
        </w:rPr>
        <w:t xml:space="preserve"> </w:t>
      </w:r>
      <w:r w:rsidRPr="00722DF4">
        <w:rPr>
          <w:rFonts w:ascii="Arial" w:hAnsi="Arial" w:cs="Arial"/>
          <w:sz w:val="24"/>
          <w:szCs w:val="24"/>
        </w:rPr>
        <w:t>Sredozemnog mora, što se ogleda kroz režim padavina i u višoj srednjoj temperaturi najhladnijeg</w:t>
      </w:r>
      <w:r w:rsidR="00A204FD" w:rsidRPr="00722DF4">
        <w:rPr>
          <w:rFonts w:ascii="Arial" w:hAnsi="Arial" w:cs="Arial"/>
          <w:sz w:val="24"/>
          <w:szCs w:val="24"/>
        </w:rPr>
        <w:t xml:space="preserve"> </w:t>
      </w:r>
      <w:r w:rsidRPr="00722DF4">
        <w:rPr>
          <w:rFonts w:ascii="Arial" w:hAnsi="Arial" w:cs="Arial"/>
          <w:sz w:val="24"/>
          <w:szCs w:val="24"/>
        </w:rPr>
        <w:t>mjeseca. Krajnji sjever Crne Gore ima kontinentalni tip klime, koji osim velikih dnevnih i godišnjih</w:t>
      </w:r>
      <w:r w:rsidR="00A204FD" w:rsidRPr="00722DF4">
        <w:rPr>
          <w:rFonts w:ascii="Arial" w:hAnsi="Arial" w:cs="Arial"/>
          <w:sz w:val="24"/>
          <w:szCs w:val="24"/>
        </w:rPr>
        <w:t xml:space="preserve"> </w:t>
      </w:r>
      <w:r w:rsidRPr="00722DF4">
        <w:rPr>
          <w:rFonts w:ascii="Arial" w:hAnsi="Arial" w:cs="Arial"/>
          <w:sz w:val="24"/>
          <w:szCs w:val="24"/>
        </w:rPr>
        <w:t>amplituda temperature, karakteriše mala godišnja količina padavina, uz prilično ravnomjernu</w:t>
      </w:r>
      <w:r w:rsidR="00A204FD" w:rsidRPr="00722DF4">
        <w:rPr>
          <w:rFonts w:ascii="Arial" w:hAnsi="Arial" w:cs="Arial"/>
          <w:sz w:val="24"/>
          <w:szCs w:val="24"/>
        </w:rPr>
        <w:t xml:space="preserve"> </w:t>
      </w:r>
      <w:r w:rsidRPr="00722DF4">
        <w:rPr>
          <w:rFonts w:ascii="Arial" w:hAnsi="Arial" w:cs="Arial"/>
          <w:sz w:val="24"/>
          <w:szCs w:val="24"/>
        </w:rPr>
        <w:t>raspodjelu po mjesecima. U planinskim oblastima na sjeveru ljeta su relativno hladna i vlažna, a</w:t>
      </w:r>
      <w:r w:rsidR="00A204FD" w:rsidRPr="00722DF4">
        <w:rPr>
          <w:rFonts w:ascii="Arial" w:hAnsi="Arial" w:cs="Arial"/>
          <w:sz w:val="24"/>
          <w:szCs w:val="24"/>
        </w:rPr>
        <w:t xml:space="preserve"> </w:t>
      </w:r>
      <w:r w:rsidRPr="00722DF4">
        <w:rPr>
          <w:rFonts w:ascii="Arial" w:hAnsi="Arial" w:cs="Arial"/>
          <w:sz w:val="24"/>
          <w:szCs w:val="24"/>
        </w:rPr>
        <w:t>zime</w:t>
      </w:r>
      <w:r w:rsidR="00C238CC" w:rsidRPr="00722DF4">
        <w:rPr>
          <w:rFonts w:ascii="Arial" w:hAnsi="Arial" w:cs="Arial"/>
          <w:sz w:val="24"/>
          <w:szCs w:val="24"/>
        </w:rPr>
        <w:t xml:space="preserve"> duge i oštre, sa č</w:t>
      </w:r>
      <w:r w:rsidRPr="00722DF4">
        <w:rPr>
          <w:rFonts w:ascii="Arial" w:hAnsi="Arial" w:cs="Arial"/>
          <w:sz w:val="24"/>
          <w:szCs w:val="24"/>
        </w:rPr>
        <w:t>estim mrazevima i niskim temperaturama, koje naglo opadaju sa nadmorskomvisinom.</w:t>
      </w:r>
      <w:r w:rsidR="00A204FD" w:rsidRPr="00722DF4">
        <w:rPr>
          <w:rFonts w:ascii="Arial" w:hAnsi="Arial" w:cs="Arial"/>
          <w:sz w:val="24"/>
          <w:szCs w:val="24"/>
        </w:rPr>
        <w:t xml:space="preserve"> </w:t>
      </w:r>
      <w:r w:rsidRPr="00722DF4">
        <w:rPr>
          <w:rFonts w:ascii="Arial" w:hAnsi="Arial" w:cs="Arial"/>
          <w:sz w:val="24"/>
          <w:szCs w:val="24"/>
        </w:rPr>
        <w:t>Prosje</w:t>
      </w:r>
      <w:r w:rsidR="00C238CC" w:rsidRPr="00722DF4">
        <w:rPr>
          <w:rFonts w:ascii="Arial" w:hAnsi="Arial" w:cs="Arial"/>
          <w:sz w:val="24"/>
          <w:szCs w:val="24"/>
        </w:rPr>
        <w:t>č</w:t>
      </w:r>
      <w:r w:rsidRPr="00722DF4">
        <w:rPr>
          <w:rFonts w:ascii="Arial" w:hAnsi="Arial" w:cs="Arial"/>
          <w:sz w:val="24"/>
          <w:szCs w:val="24"/>
        </w:rPr>
        <w:t>ne godišnje temeprature</w:t>
      </w:r>
      <w:r w:rsidR="00C238CC" w:rsidRPr="00722DF4">
        <w:rPr>
          <w:rFonts w:ascii="Arial" w:hAnsi="Arial" w:cs="Arial"/>
          <w:sz w:val="24"/>
          <w:szCs w:val="24"/>
        </w:rPr>
        <w:t xml:space="preserve"> vazduha krecu se od oko 15.8 °C na jugu</w:t>
      </w:r>
      <w:r w:rsidR="00A204FD" w:rsidRPr="00722DF4">
        <w:rPr>
          <w:rFonts w:ascii="Arial" w:hAnsi="Arial" w:cs="Arial"/>
          <w:sz w:val="24"/>
          <w:szCs w:val="24"/>
        </w:rPr>
        <w:t>,</w:t>
      </w:r>
      <w:r w:rsidR="00C238CC" w:rsidRPr="00722DF4">
        <w:rPr>
          <w:rFonts w:ascii="Arial" w:hAnsi="Arial" w:cs="Arial"/>
          <w:sz w:val="24"/>
          <w:szCs w:val="24"/>
        </w:rPr>
        <w:t xml:space="preserve"> do 4.6 °C </w:t>
      </w:r>
      <w:r w:rsidRPr="00722DF4">
        <w:rPr>
          <w:rFonts w:ascii="Arial" w:hAnsi="Arial" w:cs="Arial"/>
          <w:sz w:val="24"/>
          <w:szCs w:val="24"/>
        </w:rPr>
        <w:t>na</w:t>
      </w:r>
      <w:r w:rsidR="00A204FD" w:rsidRPr="00722DF4">
        <w:rPr>
          <w:rFonts w:ascii="Arial" w:hAnsi="Arial" w:cs="Arial"/>
          <w:sz w:val="24"/>
          <w:szCs w:val="24"/>
        </w:rPr>
        <w:t xml:space="preserve"> </w:t>
      </w:r>
      <w:r w:rsidRPr="00722DF4">
        <w:rPr>
          <w:rFonts w:ascii="Arial" w:hAnsi="Arial" w:cs="Arial"/>
          <w:sz w:val="24"/>
          <w:szCs w:val="24"/>
        </w:rPr>
        <w:t>Žabljaku.</w:t>
      </w:r>
    </w:p>
    <w:p w:rsidR="00F9376A" w:rsidRPr="00722DF4" w:rsidRDefault="001210F4" w:rsidP="00B61137">
      <w:pPr>
        <w:spacing w:after="0"/>
        <w:jc w:val="center"/>
        <w:rPr>
          <w:rFonts w:ascii="Arial" w:hAnsi="Arial" w:cs="Arial"/>
          <w:sz w:val="24"/>
          <w:szCs w:val="24"/>
        </w:rPr>
      </w:pPr>
      <w:r>
        <w:rPr>
          <w:rFonts w:ascii="Arial" w:hAnsi="Arial" w:cs="Arial"/>
          <w:noProof/>
          <w:sz w:val="24"/>
          <w:szCs w:val="24"/>
        </w:rPr>
        <w:lastRenderedPageBreak/>
        <w:drawing>
          <wp:inline distT="0" distB="0" distL="0" distR="0">
            <wp:extent cx="4545965" cy="4805045"/>
            <wp:effectExtent l="19050" t="0" r="698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4545965" cy="4805045"/>
                    </a:xfrm>
                    <a:prstGeom prst="rect">
                      <a:avLst/>
                    </a:prstGeom>
                    <a:noFill/>
                    <a:ln w="9525">
                      <a:noFill/>
                      <a:miter lim="800000"/>
                      <a:headEnd/>
                      <a:tailEnd/>
                    </a:ln>
                  </pic:spPr>
                </pic:pic>
              </a:graphicData>
            </a:graphic>
          </wp:inline>
        </w:drawing>
      </w:r>
    </w:p>
    <w:p w:rsidR="00F9376A" w:rsidRPr="00B61137" w:rsidRDefault="00FF48CA" w:rsidP="00722DF4">
      <w:pPr>
        <w:spacing w:after="0"/>
        <w:jc w:val="both"/>
        <w:rPr>
          <w:rFonts w:ascii="Arial" w:hAnsi="Arial" w:cs="Arial"/>
          <w:i/>
        </w:rPr>
      </w:pPr>
      <w:r w:rsidRPr="00B61137">
        <w:rPr>
          <w:rFonts w:ascii="Arial" w:hAnsi="Arial" w:cs="Arial"/>
          <w:b/>
        </w:rPr>
        <w:t xml:space="preserve">Slika 2.2. </w:t>
      </w:r>
      <w:r w:rsidRPr="00B61137">
        <w:rPr>
          <w:rFonts w:ascii="Arial" w:hAnsi="Arial" w:cs="Arial"/>
        </w:rPr>
        <w:t>Godišnja r</w:t>
      </w:r>
      <w:r w:rsidR="00A204FD" w:rsidRPr="00B61137">
        <w:rPr>
          <w:rFonts w:ascii="Arial" w:hAnsi="Arial" w:cs="Arial"/>
        </w:rPr>
        <w:t>aspodjela temperature vazduha (°</w:t>
      </w:r>
      <w:r w:rsidRPr="00B61137">
        <w:rPr>
          <w:rFonts w:ascii="Arial" w:hAnsi="Arial" w:cs="Arial"/>
        </w:rPr>
        <w:t>C) za period osrednjavanja 1961-1990</w:t>
      </w:r>
      <w:r w:rsidRPr="00B61137">
        <w:rPr>
          <w:rFonts w:ascii="Arial" w:hAnsi="Arial" w:cs="Arial"/>
          <w:i/>
        </w:rPr>
        <w:t xml:space="preserve"> (Prvi nacionalni izveštaj Crne Gore o klimatskim promjenama, 2010)</w:t>
      </w:r>
    </w:p>
    <w:p w:rsidR="008914BE" w:rsidRPr="00722DF4" w:rsidRDefault="008914BE" w:rsidP="00722DF4">
      <w:pPr>
        <w:spacing w:after="0"/>
        <w:jc w:val="both"/>
        <w:rPr>
          <w:rFonts w:ascii="Arial" w:hAnsi="Arial" w:cs="Arial"/>
          <w:i/>
          <w:sz w:val="24"/>
          <w:szCs w:val="24"/>
        </w:rPr>
      </w:pPr>
    </w:p>
    <w:p w:rsidR="00FF48CA" w:rsidRDefault="00FF48CA" w:rsidP="00722DF4">
      <w:pPr>
        <w:spacing w:after="0"/>
        <w:jc w:val="both"/>
        <w:rPr>
          <w:rFonts w:ascii="Arial" w:hAnsi="Arial" w:cs="Arial"/>
          <w:sz w:val="24"/>
          <w:szCs w:val="24"/>
          <w:u w:val="single"/>
        </w:rPr>
      </w:pPr>
      <w:r w:rsidRPr="00722DF4">
        <w:rPr>
          <w:rFonts w:ascii="Arial" w:hAnsi="Arial" w:cs="Arial"/>
          <w:sz w:val="24"/>
          <w:szCs w:val="24"/>
          <w:u w:val="single"/>
        </w:rPr>
        <w:t>Oblačnost i osunčanost</w:t>
      </w:r>
    </w:p>
    <w:p w:rsidR="008914BE" w:rsidRPr="00722DF4" w:rsidRDefault="008914BE" w:rsidP="00722DF4">
      <w:pPr>
        <w:spacing w:after="0"/>
        <w:jc w:val="both"/>
        <w:rPr>
          <w:rFonts w:ascii="Arial" w:hAnsi="Arial" w:cs="Arial"/>
          <w:sz w:val="24"/>
          <w:szCs w:val="24"/>
          <w:u w:val="single"/>
        </w:rPr>
      </w:pPr>
    </w:p>
    <w:p w:rsidR="00FF48CA" w:rsidRPr="00722DF4" w:rsidRDefault="00FF48CA" w:rsidP="00722DF4">
      <w:pPr>
        <w:spacing w:after="0"/>
        <w:jc w:val="both"/>
        <w:rPr>
          <w:rFonts w:ascii="Arial" w:hAnsi="Arial" w:cs="Arial"/>
          <w:sz w:val="24"/>
          <w:szCs w:val="24"/>
        </w:rPr>
      </w:pPr>
      <w:r w:rsidRPr="00722DF4">
        <w:rPr>
          <w:rFonts w:ascii="Arial" w:hAnsi="Arial" w:cs="Arial"/>
          <w:sz w:val="24"/>
          <w:szCs w:val="24"/>
        </w:rPr>
        <w:t>Srednja godišnja oblačnost se povećava od juga prema sjeveru Crne Gore. Najniže vrijednosti imaju</w:t>
      </w:r>
      <w:r w:rsidR="00A204FD" w:rsidRPr="00722DF4">
        <w:rPr>
          <w:rFonts w:ascii="Arial" w:hAnsi="Arial" w:cs="Arial"/>
          <w:sz w:val="24"/>
          <w:szCs w:val="24"/>
        </w:rPr>
        <w:t xml:space="preserve"> </w:t>
      </w:r>
      <w:r w:rsidRPr="00722DF4">
        <w:rPr>
          <w:rFonts w:ascii="Arial" w:hAnsi="Arial" w:cs="Arial"/>
          <w:sz w:val="24"/>
          <w:szCs w:val="24"/>
        </w:rPr>
        <w:t>crnogorsko primorje, Zetsko-bjelopavlićka ravnica i područje Nikšića. Oblačnost se na primorju krećeod 44% do 47%, u Podgorici iznosi 48%, a u Nikšiću 50%. Najveću srednju godišnju oblačnost imaju</w:t>
      </w:r>
      <w:r w:rsidR="00A204FD" w:rsidRPr="00722DF4">
        <w:rPr>
          <w:rFonts w:ascii="Arial" w:hAnsi="Arial" w:cs="Arial"/>
          <w:sz w:val="24"/>
          <w:szCs w:val="24"/>
        </w:rPr>
        <w:t xml:space="preserve"> </w:t>
      </w:r>
      <w:r w:rsidRPr="00722DF4">
        <w:rPr>
          <w:rFonts w:ascii="Arial" w:hAnsi="Arial" w:cs="Arial"/>
          <w:sz w:val="24"/>
          <w:szCs w:val="24"/>
        </w:rPr>
        <w:t>planinski krajevi na sjeveru, u prosjeku od 56% do 62%. Gledano po mjesecima, najniža oblačnost sejavlja na jugu tokom ljetnjih mjeseci, a najviša na sjeveru u periodu novembar – februar.</w:t>
      </w:r>
      <w:r w:rsidR="00A204FD" w:rsidRPr="00722DF4">
        <w:rPr>
          <w:rFonts w:ascii="Arial" w:hAnsi="Arial" w:cs="Arial"/>
          <w:sz w:val="24"/>
          <w:szCs w:val="24"/>
        </w:rPr>
        <w:t xml:space="preserve"> </w:t>
      </w:r>
      <w:r w:rsidRPr="00722DF4">
        <w:rPr>
          <w:rFonts w:ascii="Arial" w:hAnsi="Arial" w:cs="Arial"/>
          <w:sz w:val="24"/>
          <w:szCs w:val="24"/>
        </w:rPr>
        <w:t>U Evropi se područje Crne Gore, naročito njene južne oblasti, smatraju bogatim suncem. Dužinatrajanja sunčevog sjaja je naravno, u obrnutoj srazmeri sa oblačnošcu i povećava se sa blizinom obale.</w:t>
      </w:r>
    </w:p>
    <w:p w:rsidR="00FF48CA" w:rsidRDefault="00FF48CA" w:rsidP="00722DF4">
      <w:pPr>
        <w:spacing w:after="0"/>
        <w:jc w:val="both"/>
        <w:rPr>
          <w:rFonts w:ascii="Arial" w:hAnsi="Arial" w:cs="Arial"/>
          <w:sz w:val="24"/>
          <w:szCs w:val="24"/>
        </w:rPr>
      </w:pPr>
      <w:r w:rsidRPr="00722DF4">
        <w:rPr>
          <w:rFonts w:ascii="Arial" w:hAnsi="Arial" w:cs="Arial"/>
          <w:sz w:val="24"/>
          <w:szCs w:val="24"/>
        </w:rPr>
        <w:t xml:space="preserve">U oblasti primorja godišnje trajanje sijanja sunca iznosi u prosjeku od 2.430 do 2.570 časova, dok seu planinskim krajevima udaljenim od mora ono kreće od 1.630 do 1.930 </w:t>
      </w:r>
      <w:r w:rsidRPr="00722DF4">
        <w:rPr>
          <w:rFonts w:ascii="Arial" w:hAnsi="Arial" w:cs="Arial"/>
          <w:sz w:val="24"/>
          <w:szCs w:val="24"/>
        </w:rPr>
        <w:lastRenderedPageBreak/>
        <w:t>časova. Područje Ulcinja ima najduže srednje trajanje sijanja sunca od 2.557 časova godišnje.</w:t>
      </w:r>
    </w:p>
    <w:p w:rsidR="008914BE" w:rsidRPr="00722DF4" w:rsidRDefault="008914BE" w:rsidP="00722DF4">
      <w:pPr>
        <w:spacing w:after="0"/>
        <w:jc w:val="both"/>
        <w:rPr>
          <w:rFonts w:ascii="Arial" w:hAnsi="Arial" w:cs="Arial"/>
          <w:sz w:val="24"/>
          <w:szCs w:val="24"/>
        </w:rPr>
      </w:pPr>
    </w:p>
    <w:p w:rsidR="00FF48CA" w:rsidRDefault="00FF48CA" w:rsidP="00722DF4">
      <w:pPr>
        <w:spacing w:after="0"/>
        <w:jc w:val="both"/>
        <w:rPr>
          <w:rFonts w:ascii="Arial" w:hAnsi="Arial" w:cs="Arial"/>
          <w:sz w:val="24"/>
          <w:szCs w:val="24"/>
          <w:u w:val="single"/>
        </w:rPr>
      </w:pPr>
      <w:r w:rsidRPr="00722DF4">
        <w:rPr>
          <w:rFonts w:ascii="Arial" w:hAnsi="Arial" w:cs="Arial"/>
          <w:sz w:val="24"/>
          <w:szCs w:val="24"/>
          <w:u w:val="single"/>
        </w:rPr>
        <w:t>Padavine</w:t>
      </w:r>
    </w:p>
    <w:p w:rsidR="008914BE" w:rsidRPr="00722DF4" w:rsidRDefault="008914BE" w:rsidP="00722DF4">
      <w:pPr>
        <w:spacing w:after="0"/>
        <w:jc w:val="both"/>
        <w:rPr>
          <w:rFonts w:ascii="Arial" w:hAnsi="Arial" w:cs="Arial"/>
          <w:sz w:val="24"/>
          <w:szCs w:val="24"/>
          <w:u w:val="single"/>
        </w:rPr>
      </w:pPr>
    </w:p>
    <w:p w:rsidR="00FF48CA" w:rsidRDefault="3B4348E7" w:rsidP="00722DF4">
      <w:pPr>
        <w:spacing w:after="0"/>
        <w:jc w:val="both"/>
        <w:rPr>
          <w:rFonts w:ascii="Arial" w:hAnsi="Arial" w:cs="Arial"/>
          <w:sz w:val="24"/>
          <w:szCs w:val="24"/>
        </w:rPr>
      </w:pPr>
      <w:r w:rsidRPr="00722DF4">
        <w:rPr>
          <w:rFonts w:ascii="Arial" w:hAnsi="Arial" w:cs="Arial"/>
          <w:sz w:val="24"/>
          <w:szCs w:val="24"/>
        </w:rPr>
        <w:t>Količina padavina jedan je od najznačajnijih klimatoloških parametara koji određuje klimu nekog područja. Prosječna godišnja količina padavina na prostoru Crne Gore vrlo je heterogena, sa izuzetno</w:t>
      </w:r>
      <w:r w:rsidR="00FF48CA" w:rsidRPr="00722DF4">
        <w:rPr>
          <w:rFonts w:ascii="Arial" w:hAnsi="Arial" w:cs="Arial"/>
          <w:sz w:val="24"/>
          <w:szCs w:val="24"/>
        </w:rPr>
        <w:t xml:space="preserve"> naglašenom kišnom</w:t>
      </w:r>
      <w:r w:rsidRPr="00722DF4">
        <w:rPr>
          <w:rFonts w:ascii="Arial" w:hAnsi="Arial" w:cs="Arial"/>
          <w:sz w:val="24"/>
          <w:szCs w:val="24"/>
        </w:rPr>
        <w:t xml:space="preserve"> regijom. </w:t>
      </w:r>
    </w:p>
    <w:p w:rsidR="008914BE" w:rsidRPr="00722DF4" w:rsidRDefault="008914BE" w:rsidP="00722DF4">
      <w:pPr>
        <w:spacing w:after="0"/>
        <w:jc w:val="both"/>
        <w:rPr>
          <w:rFonts w:ascii="Arial" w:hAnsi="Arial" w:cs="Arial"/>
          <w:sz w:val="24"/>
          <w:szCs w:val="24"/>
        </w:rPr>
      </w:pPr>
    </w:p>
    <w:p w:rsidR="00FF48CA" w:rsidRDefault="00FF48CA" w:rsidP="00722DF4">
      <w:pPr>
        <w:spacing w:after="0"/>
        <w:jc w:val="both"/>
        <w:rPr>
          <w:rFonts w:ascii="Arial" w:hAnsi="Arial" w:cs="Arial"/>
          <w:sz w:val="24"/>
          <w:szCs w:val="24"/>
        </w:rPr>
      </w:pPr>
      <w:r w:rsidRPr="00722DF4">
        <w:rPr>
          <w:rFonts w:ascii="Arial" w:hAnsi="Arial" w:cs="Arial"/>
          <w:sz w:val="24"/>
          <w:szCs w:val="24"/>
        </w:rPr>
        <w:t>Prema režimu padavina razlikujemo mediteranski i umjereno-kontinentalni režim. Mediteranski režim</w:t>
      </w:r>
      <w:r w:rsidR="00A204FD" w:rsidRPr="00722DF4">
        <w:rPr>
          <w:rFonts w:ascii="Arial" w:hAnsi="Arial" w:cs="Arial"/>
          <w:sz w:val="24"/>
          <w:szCs w:val="24"/>
        </w:rPr>
        <w:t xml:space="preserve"> </w:t>
      </w:r>
      <w:r w:rsidRPr="00722DF4">
        <w:rPr>
          <w:rFonts w:ascii="Arial" w:hAnsi="Arial" w:cs="Arial"/>
          <w:sz w:val="24"/>
          <w:szCs w:val="24"/>
        </w:rPr>
        <w:t>se odlikuje maksimalnim koli</w:t>
      </w:r>
      <w:r w:rsidR="00BA5964" w:rsidRPr="00722DF4">
        <w:rPr>
          <w:rFonts w:ascii="Arial" w:hAnsi="Arial" w:cs="Arial"/>
          <w:sz w:val="24"/>
          <w:szCs w:val="24"/>
        </w:rPr>
        <w:t>č</w:t>
      </w:r>
      <w:r w:rsidRPr="00722DF4">
        <w:rPr>
          <w:rFonts w:ascii="Arial" w:hAnsi="Arial" w:cs="Arial"/>
          <w:sz w:val="24"/>
          <w:szCs w:val="24"/>
        </w:rPr>
        <w:t>inama padavina u novembru i decembru, a minimumom u julu i</w:t>
      </w:r>
      <w:r w:rsidR="00A204FD" w:rsidRPr="00722DF4">
        <w:rPr>
          <w:rFonts w:ascii="Arial" w:hAnsi="Arial" w:cs="Arial"/>
          <w:sz w:val="24"/>
          <w:szCs w:val="24"/>
        </w:rPr>
        <w:t xml:space="preserve"> </w:t>
      </w:r>
      <w:r w:rsidRPr="00722DF4">
        <w:rPr>
          <w:rFonts w:ascii="Arial" w:hAnsi="Arial" w:cs="Arial"/>
          <w:sz w:val="24"/>
          <w:szCs w:val="24"/>
        </w:rPr>
        <w:t xml:space="preserve">avgustu. Umjereno-kontinentalni režim se odlikuje </w:t>
      </w:r>
      <w:r w:rsidR="00BA5964" w:rsidRPr="00722DF4">
        <w:rPr>
          <w:rFonts w:ascii="Arial" w:hAnsi="Arial" w:cs="Arial"/>
          <w:sz w:val="24"/>
          <w:szCs w:val="24"/>
        </w:rPr>
        <w:t>č</w:t>
      </w:r>
      <w:r w:rsidRPr="00722DF4">
        <w:rPr>
          <w:rFonts w:ascii="Arial" w:hAnsi="Arial" w:cs="Arial"/>
          <w:sz w:val="24"/>
          <w:szCs w:val="24"/>
        </w:rPr>
        <w:t>eš</w:t>
      </w:r>
      <w:r w:rsidR="00BA5964" w:rsidRPr="00722DF4">
        <w:rPr>
          <w:rFonts w:ascii="Arial" w:hAnsi="Arial" w:cs="Arial"/>
          <w:sz w:val="24"/>
          <w:szCs w:val="24"/>
        </w:rPr>
        <w:t>ć</w:t>
      </w:r>
      <w:r w:rsidRPr="00722DF4">
        <w:rPr>
          <w:rFonts w:ascii="Arial" w:hAnsi="Arial" w:cs="Arial"/>
          <w:sz w:val="24"/>
          <w:szCs w:val="24"/>
        </w:rPr>
        <w:t>im padavinama u drugoj polovini ljeta,</w:t>
      </w:r>
      <w:r w:rsidR="00A204FD" w:rsidRPr="00722DF4">
        <w:rPr>
          <w:rFonts w:ascii="Arial" w:hAnsi="Arial" w:cs="Arial"/>
          <w:sz w:val="24"/>
          <w:szCs w:val="24"/>
        </w:rPr>
        <w:t xml:space="preserve"> </w:t>
      </w:r>
      <w:r w:rsidRPr="00722DF4">
        <w:rPr>
          <w:rFonts w:ascii="Arial" w:hAnsi="Arial" w:cs="Arial"/>
          <w:sz w:val="24"/>
          <w:szCs w:val="24"/>
        </w:rPr>
        <w:t>sporednim maksimumom u oktobru i minimumom u februaru. Izmedju dva pomenuta podru</w:t>
      </w:r>
      <w:r w:rsidR="00BA5964" w:rsidRPr="00722DF4">
        <w:rPr>
          <w:rFonts w:ascii="Arial" w:hAnsi="Arial" w:cs="Arial"/>
          <w:sz w:val="24"/>
          <w:szCs w:val="24"/>
        </w:rPr>
        <w:t>č</w:t>
      </w:r>
      <w:r w:rsidRPr="00722DF4">
        <w:rPr>
          <w:rFonts w:ascii="Arial" w:hAnsi="Arial" w:cs="Arial"/>
          <w:sz w:val="24"/>
          <w:szCs w:val="24"/>
        </w:rPr>
        <w:t>ja, dakle</w:t>
      </w:r>
      <w:r w:rsidR="00A204FD" w:rsidRPr="00722DF4">
        <w:rPr>
          <w:rFonts w:ascii="Arial" w:hAnsi="Arial" w:cs="Arial"/>
          <w:sz w:val="24"/>
          <w:szCs w:val="24"/>
        </w:rPr>
        <w:t xml:space="preserve"> </w:t>
      </w:r>
      <w:r w:rsidRPr="00722DF4">
        <w:rPr>
          <w:rFonts w:ascii="Arial" w:hAnsi="Arial" w:cs="Arial"/>
          <w:sz w:val="24"/>
          <w:szCs w:val="24"/>
        </w:rPr>
        <w:t>u najve</w:t>
      </w:r>
      <w:r w:rsidR="00BA5964" w:rsidRPr="00722DF4">
        <w:rPr>
          <w:rFonts w:ascii="Arial" w:hAnsi="Arial" w:cs="Arial"/>
          <w:sz w:val="24"/>
          <w:szCs w:val="24"/>
        </w:rPr>
        <w:t>ć</w:t>
      </w:r>
      <w:r w:rsidRPr="00722DF4">
        <w:rPr>
          <w:rFonts w:ascii="Arial" w:hAnsi="Arial" w:cs="Arial"/>
          <w:sz w:val="24"/>
          <w:szCs w:val="24"/>
        </w:rPr>
        <w:t>em dijelu Crne Gore, maritimni pluviometrijski režim je nešto modifikovan planinskim i</w:t>
      </w:r>
      <w:r w:rsidR="00A204FD" w:rsidRPr="00722DF4">
        <w:rPr>
          <w:rFonts w:ascii="Arial" w:hAnsi="Arial" w:cs="Arial"/>
          <w:sz w:val="24"/>
          <w:szCs w:val="24"/>
        </w:rPr>
        <w:t xml:space="preserve"> </w:t>
      </w:r>
      <w:r w:rsidRPr="00722DF4">
        <w:rPr>
          <w:rFonts w:ascii="Arial" w:hAnsi="Arial" w:cs="Arial"/>
          <w:sz w:val="24"/>
          <w:szCs w:val="24"/>
        </w:rPr>
        <w:t>kontinentalnim režimom padavina.</w:t>
      </w:r>
      <w:r w:rsidR="00A204FD" w:rsidRPr="00722DF4">
        <w:rPr>
          <w:rFonts w:ascii="Arial" w:hAnsi="Arial" w:cs="Arial"/>
          <w:sz w:val="24"/>
          <w:szCs w:val="24"/>
        </w:rPr>
        <w:t xml:space="preserve"> </w:t>
      </w:r>
      <w:r w:rsidRPr="00722DF4">
        <w:rPr>
          <w:rFonts w:ascii="Arial" w:hAnsi="Arial" w:cs="Arial"/>
          <w:sz w:val="24"/>
          <w:szCs w:val="24"/>
        </w:rPr>
        <w:t>Godišnja koli</w:t>
      </w:r>
      <w:r w:rsidR="00BA5964" w:rsidRPr="00722DF4">
        <w:rPr>
          <w:rFonts w:ascii="Arial" w:hAnsi="Arial" w:cs="Arial"/>
          <w:sz w:val="24"/>
          <w:szCs w:val="24"/>
        </w:rPr>
        <w:t>č</w:t>
      </w:r>
      <w:r w:rsidRPr="00722DF4">
        <w:rPr>
          <w:rFonts w:ascii="Arial" w:hAnsi="Arial" w:cs="Arial"/>
          <w:sz w:val="24"/>
          <w:szCs w:val="24"/>
        </w:rPr>
        <w:t>ina padavina je veoma neravnomjerna i krece se u</w:t>
      </w:r>
      <w:r w:rsidR="00BA5964" w:rsidRPr="00722DF4">
        <w:rPr>
          <w:rFonts w:ascii="Arial" w:hAnsi="Arial" w:cs="Arial"/>
          <w:sz w:val="24"/>
          <w:szCs w:val="24"/>
        </w:rPr>
        <w:t xml:space="preserve"> r</w:t>
      </w:r>
      <w:r w:rsidRPr="00722DF4">
        <w:rPr>
          <w:rFonts w:ascii="Arial" w:hAnsi="Arial" w:cs="Arial"/>
          <w:sz w:val="24"/>
          <w:szCs w:val="24"/>
        </w:rPr>
        <w:t>asponu od oko 800 mm na krajnjem sjeveru, do oko 5.000 mm na krajnjem jugozapadu. Na padinama</w:t>
      </w:r>
      <w:r w:rsidR="00A204FD" w:rsidRPr="00722DF4">
        <w:rPr>
          <w:rFonts w:ascii="Arial" w:hAnsi="Arial" w:cs="Arial"/>
          <w:sz w:val="24"/>
          <w:szCs w:val="24"/>
        </w:rPr>
        <w:t xml:space="preserve"> </w:t>
      </w:r>
      <w:r w:rsidRPr="00722DF4">
        <w:rPr>
          <w:rFonts w:ascii="Arial" w:hAnsi="Arial" w:cs="Arial"/>
          <w:sz w:val="24"/>
          <w:szCs w:val="24"/>
        </w:rPr>
        <w:t>Orjena u mjestu Crkvic</w:t>
      </w:r>
      <w:r w:rsidR="00BA5964" w:rsidRPr="00722DF4">
        <w:rPr>
          <w:rFonts w:ascii="Arial" w:hAnsi="Arial" w:cs="Arial"/>
          <w:sz w:val="24"/>
          <w:szCs w:val="24"/>
        </w:rPr>
        <w:t>e (940 mnm</w:t>
      </w:r>
      <w:r w:rsidRPr="00722DF4">
        <w:rPr>
          <w:rFonts w:ascii="Arial" w:hAnsi="Arial" w:cs="Arial"/>
          <w:sz w:val="24"/>
          <w:szCs w:val="24"/>
        </w:rPr>
        <w:t>) u rekordnim godinama padne i do 7.000 mm.</w:t>
      </w:r>
    </w:p>
    <w:p w:rsidR="008914BE" w:rsidRPr="00722DF4" w:rsidRDefault="008914BE" w:rsidP="00722DF4">
      <w:pPr>
        <w:spacing w:after="0"/>
        <w:jc w:val="both"/>
        <w:rPr>
          <w:rFonts w:ascii="Arial" w:hAnsi="Arial" w:cs="Arial"/>
          <w:sz w:val="24"/>
          <w:szCs w:val="24"/>
        </w:rPr>
      </w:pPr>
    </w:p>
    <w:p w:rsidR="00806F76" w:rsidRPr="00744115" w:rsidRDefault="00806F76" w:rsidP="00722DF4">
      <w:pPr>
        <w:spacing w:after="0"/>
        <w:jc w:val="both"/>
        <w:rPr>
          <w:rFonts w:ascii="Arial" w:hAnsi="Arial" w:cs="Arial"/>
        </w:rPr>
      </w:pPr>
      <w:r w:rsidRPr="00744115">
        <w:rPr>
          <w:rFonts w:ascii="Arial" w:hAnsi="Arial" w:cs="Arial"/>
          <w:b/>
        </w:rPr>
        <w:t>Tabela 2.3.</w:t>
      </w:r>
      <w:r w:rsidR="00722DF4" w:rsidRPr="00744115">
        <w:rPr>
          <w:rFonts w:ascii="Arial" w:hAnsi="Arial" w:cs="Arial"/>
          <w:b/>
        </w:rPr>
        <w:t xml:space="preserve"> </w:t>
      </w:r>
      <w:r w:rsidRPr="00744115">
        <w:rPr>
          <w:rFonts w:ascii="Arial" w:hAnsi="Arial" w:cs="Arial"/>
        </w:rPr>
        <w:t>Srednje, minimalne i maksimalne mjesečne vrijednosti padavina (mm) za prostor Crne Gore za period 1949-1990</w:t>
      </w:r>
      <w:r w:rsidRPr="00744115">
        <w:rPr>
          <w:rFonts w:ascii="Arial" w:hAnsi="Arial" w:cs="Arial"/>
          <w:i/>
        </w:rPr>
        <w:t xml:space="preserve"> (Vodoprivredna onsova Crne Gore, 2001)</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101"/>
        <w:gridCol w:w="685"/>
        <w:gridCol w:w="546"/>
        <w:gridCol w:w="609"/>
        <w:gridCol w:w="545"/>
        <w:gridCol w:w="545"/>
        <w:gridCol w:w="545"/>
        <w:gridCol w:w="438"/>
        <w:gridCol w:w="545"/>
        <w:gridCol w:w="545"/>
        <w:gridCol w:w="545"/>
        <w:gridCol w:w="545"/>
        <w:gridCol w:w="520"/>
        <w:gridCol w:w="616"/>
        <w:gridCol w:w="636"/>
        <w:gridCol w:w="610"/>
      </w:tblGrid>
      <w:tr w:rsidR="00806F76" w:rsidRPr="008914BE" w:rsidTr="00CA2879">
        <w:tc>
          <w:tcPr>
            <w:tcW w:w="1101"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Padavine (mm)</w:t>
            </w:r>
          </w:p>
        </w:tc>
        <w:tc>
          <w:tcPr>
            <w:tcW w:w="685"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Jan</w:t>
            </w:r>
          </w:p>
        </w:tc>
        <w:tc>
          <w:tcPr>
            <w:tcW w:w="546"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Feb</w:t>
            </w:r>
          </w:p>
        </w:tc>
        <w:tc>
          <w:tcPr>
            <w:tcW w:w="609"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Mart</w:t>
            </w:r>
          </w:p>
        </w:tc>
        <w:tc>
          <w:tcPr>
            <w:tcW w:w="545"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Apr</w:t>
            </w:r>
          </w:p>
        </w:tc>
        <w:tc>
          <w:tcPr>
            <w:tcW w:w="545"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Maj</w:t>
            </w:r>
          </w:p>
        </w:tc>
        <w:tc>
          <w:tcPr>
            <w:tcW w:w="545"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Jun</w:t>
            </w:r>
          </w:p>
        </w:tc>
        <w:tc>
          <w:tcPr>
            <w:tcW w:w="438"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Jul</w:t>
            </w:r>
          </w:p>
        </w:tc>
        <w:tc>
          <w:tcPr>
            <w:tcW w:w="545"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Avg</w:t>
            </w:r>
          </w:p>
        </w:tc>
        <w:tc>
          <w:tcPr>
            <w:tcW w:w="545"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Sep</w:t>
            </w:r>
          </w:p>
        </w:tc>
        <w:tc>
          <w:tcPr>
            <w:tcW w:w="545"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Okt</w:t>
            </w:r>
          </w:p>
        </w:tc>
        <w:tc>
          <w:tcPr>
            <w:tcW w:w="545"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Nov</w:t>
            </w:r>
          </w:p>
        </w:tc>
        <w:tc>
          <w:tcPr>
            <w:tcW w:w="520"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Dec</w:t>
            </w:r>
          </w:p>
        </w:tc>
        <w:tc>
          <w:tcPr>
            <w:tcW w:w="616"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Veg.</w:t>
            </w:r>
          </w:p>
        </w:tc>
        <w:tc>
          <w:tcPr>
            <w:tcW w:w="636"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V.veg</w:t>
            </w:r>
          </w:p>
        </w:tc>
        <w:tc>
          <w:tcPr>
            <w:tcW w:w="610" w:type="dxa"/>
            <w:shd w:val="clear" w:color="auto" w:fill="F2F2F2"/>
          </w:tcPr>
          <w:p w:rsidR="00BA5964" w:rsidRPr="008914BE" w:rsidRDefault="00BA5964" w:rsidP="00722DF4">
            <w:pPr>
              <w:spacing w:after="0"/>
              <w:jc w:val="both"/>
              <w:rPr>
                <w:rFonts w:ascii="Arial" w:hAnsi="Arial" w:cs="Arial"/>
                <w:b/>
                <w:sz w:val="16"/>
                <w:szCs w:val="16"/>
              </w:rPr>
            </w:pPr>
            <w:r w:rsidRPr="008914BE">
              <w:rPr>
                <w:rFonts w:ascii="Arial" w:hAnsi="Arial" w:cs="Arial"/>
                <w:b/>
                <w:sz w:val="16"/>
                <w:szCs w:val="16"/>
              </w:rPr>
              <w:t>Uk.</w:t>
            </w:r>
          </w:p>
        </w:tc>
      </w:tr>
      <w:tr w:rsidR="00BA5964" w:rsidRPr="008914BE" w:rsidTr="00CA2879">
        <w:tc>
          <w:tcPr>
            <w:tcW w:w="1101"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Minimalne</w:t>
            </w:r>
          </w:p>
        </w:tc>
        <w:tc>
          <w:tcPr>
            <w:tcW w:w="68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51</w:t>
            </w:r>
          </w:p>
        </w:tc>
        <w:tc>
          <w:tcPr>
            <w:tcW w:w="546"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51</w:t>
            </w:r>
          </w:p>
        </w:tc>
        <w:tc>
          <w:tcPr>
            <w:tcW w:w="609"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43</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55</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68</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49</w:t>
            </w:r>
          </w:p>
        </w:tc>
        <w:tc>
          <w:tcPr>
            <w:tcW w:w="438"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25</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43</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60</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65</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78</w:t>
            </w:r>
          </w:p>
        </w:tc>
        <w:tc>
          <w:tcPr>
            <w:tcW w:w="520"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59</w:t>
            </w:r>
          </w:p>
        </w:tc>
        <w:tc>
          <w:tcPr>
            <w:tcW w:w="616"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377</w:t>
            </w:r>
          </w:p>
        </w:tc>
        <w:tc>
          <w:tcPr>
            <w:tcW w:w="636"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354</w:t>
            </w:r>
          </w:p>
        </w:tc>
        <w:tc>
          <w:tcPr>
            <w:tcW w:w="610"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777</w:t>
            </w:r>
          </w:p>
        </w:tc>
      </w:tr>
      <w:tr w:rsidR="00BA5964" w:rsidRPr="008914BE" w:rsidTr="00CA2879">
        <w:tc>
          <w:tcPr>
            <w:tcW w:w="1101"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Srednje</w:t>
            </w:r>
          </w:p>
        </w:tc>
        <w:tc>
          <w:tcPr>
            <w:tcW w:w="68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182</w:t>
            </w:r>
          </w:p>
        </w:tc>
        <w:tc>
          <w:tcPr>
            <w:tcW w:w="546"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175</w:t>
            </w:r>
          </w:p>
        </w:tc>
        <w:tc>
          <w:tcPr>
            <w:tcW w:w="609"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149</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141</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112</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90</w:t>
            </w:r>
          </w:p>
        </w:tc>
        <w:tc>
          <w:tcPr>
            <w:tcW w:w="438"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60</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71</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117</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174</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247</w:t>
            </w:r>
          </w:p>
        </w:tc>
        <w:tc>
          <w:tcPr>
            <w:tcW w:w="520"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225</w:t>
            </w:r>
          </w:p>
        </w:tc>
        <w:tc>
          <w:tcPr>
            <w:tcW w:w="616"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592</w:t>
            </w:r>
          </w:p>
        </w:tc>
        <w:tc>
          <w:tcPr>
            <w:tcW w:w="636"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1152</w:t>
            </w:r>
          </w:p>
        </w:tc>
        <w:tc>
          <w:tcPr>
            <w:tcW w:w="610"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1745</w:t>
            </w:r>
          </w:p>
        </w:tc>
      </w:tr>
      <w:tr w:rsidR="00BA5964" w:rsidRPr="008914BE" w:rsidTr="00CA2879">
        <w:tc>
          <w:tcPr>
            <w:tcW w:w="1101"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Maksimalne</w:t>
            </w:r>
          </w:p>
        </w:tc>
        <w:tc>
          <w:tcPr>
            <w:tcW w:w="68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553</w:t>
            </w:r>
          </w:p>
        </w:tc>
        <w:tc>
          <w:tcPr>
            <w:tcW w:w="546"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510</w:t>
            </w:r>
          </w:p>
        </w:tc>
        <w:tc>
          <w:tcPr>
            <w:tcW w:w="609"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485</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358</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215</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140</w:t>
            </w:r>
          </w:p>
        </w:tc>
        <w:tc>
          <w:tcPr>
            <w:tcW w:w="438"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92</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121</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258</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485</w:t>
            </w:r>
          </w:p>
        </w:tc>
        <w:tc>
          <w:tcPr>
            <w:tcW w:w="545" w:type="dxa"/>
          </w:tcPr>
          <w:p w:rsidR="00BA5964" w:rsidRPr="008914BE" w:rsidRDefault="00BA5964" w:rsidP="00722DF4">
            <w:pPr>
              <w:spacing w:after="0"/>
              <w:jc w:val="both"/>
              <w:rPr>
                <w:rFonts w:ascii="Arial" w:hAnsi="Arial" w:cs="Arial"/>
                <w:sz w:val="16"/>
                <w:szCs w:val="16"/>
              </w:rPr>
            </w:pPr>
            <w:r w:rsidRPr="008914BE">
              <w:rPr>
                <w:rFonts w:ascii="Arial" w:hAnsi="Arial" w:cs="Arial"/>
                <w:sz w:val="16"/>
                <w:szCs w:val="16"/>
              </w:rPr>
              <w:t>686</w:t>
            </w:r>
          </w:p>
        </w:tc>
        <w:tc>
          <w:tcPr>
            <w:tcW w:w="520" w:type="dxa"/>
          </w:tcPr>
          <w:p w:rsidR="00BA5964" w:rsidRPr="008914BE" w:rsidRDefault="00806F76" w:rsidP="00722DF4">
            <w:pPr>
              <w:spacing w:after="0"/>
              <w:jc w:val="both"/>
              <w:rPr>
                <w:rFonts w:ascii="Arial" w:hAnsi="Arial" w:cs="Arial"/>
                <w:sz w:val="16"/>
                <w:szCs w:val="16"/>
              </w:rPr>
            </w:pPr>
            <w:r w:rsidRPr="008914BE">
              <w:rPr>
                <w:rFonts w:ascii="Arial" w:hAnsi="Arial" w:cs="Arial"/>
                <w:sz w:val="16"/>
                <w:szCs w:val="16"/>
              </w:rPr>
              <w:t>683</w:t>
            </w:r>
          </w:p>
        </w:tc>
        <w:tc>
          <w:tcPr>
            <w:tcW w:w="616" w:type="dxa"/>
          </w:tcPr>
          <w:p w:rsidR="00BA5964" w:rsidRPr="008914BE" w:rsidRDefault="00806F76" w:rsidP="00722DF4">
            <w:pPr>
              <w:spacing w:after="0"/>
              <w:jc w:val="both"/>
              <w:rPr>
                <w:rFonts w:ascii="Arial" w:hAnsi="Arial" w:cs="Arial"/>
                <w:sz w:val="16"/>
                <w:szCs w:val="16"/>
              </w:rPr>
            </w:pPr>
            <w:r w:rsidRPr="008914BE">
              <w:rPr>
                <w:rFonts w:ascii="Arial" w:hAnsi="Arial" w:cs="Arial"/>
                <w:sz w:val="16"/>
                <w:szCs w:val="16"/>
              </w:rPr>
              <w:t>1185</w:t>
            </w:r>
          </w:p>
        </w:tc>
        <w:tc>
          <w:tcPr>
            <w:tcW w:w="636" w:type="dxa"/>
          </w:tcPr>
          <w:p w:rsidR="00BA5964" w:rsidRPr="008914BE" w:rsidRDefault="00806F76" w:rsidP="00722DF4">
            <w:pPr>
              <w:spacing w:after="0"/>
              <w:jc w:val="both"/>
              <w:rPr>
                <w:rFonts w:ascii="Arial" w:hAnsi="Arial" w:cs="Arial"/>
                <w:sz w:val="16"/>
                <w:szCs w:val="16"/>
              </w:rPr>
            </w:pPr>
            <w:r w:rsidRPr="008914BE">
              <w:rPr>
                <w:rFonts w:ascii="Arial" w:hAnsi="Arial" w:cs="Arial"/>
                <w:sz w:val="16"/>
                <w:szCs w:val="16"/>
              </w:rPr>
              <w:t>3395</w:t>
            </w:r>
          </w:p>
        </w:tc>
        <w:tc>
          <w:tcPr>
            <w:tcW w:w="610" w:type="dxa"/>
          </w:tcPr>
          <w:p w:rsidR="00BA5964" w:rsidRPr="008914BE" w:rsidRDefault="00806F76" w:rsidP="00722DF4">
            <w:pPr>
              <w:spacing w:after="0"/>
              <w:jc w:val="both"/>
              <w:rPr>
                <w:rFonts w:ascii="Arial" w:hAnsi="Arial" w:cs="Arial"/>
                <w:sz w:val="16"/>
                <w:szCs w:val="16"/>
              </w:rPr>
            </w:pPr>
            <w:r w:rsidRPr="008914BE">
              <w:rPr>
                <w:rFonts w:ascii="Arial" w:hAnsi="Arial" w:cs="Arial"/>
                <w:sz w:val="16"/>
                <w:szCs w:val="16"/>
              </w:rPr>
              <w:t>4580</w:t>
            </w:r>
          </w:p>
        </w:tc>
      </w:tr>
    </w:tbl>
    <w:p w:rsidR="00BA5964" w:rsidRPr="00722DF4" w:rsidRDefault="00BA5964" w:rsidP="00722DF4">
      <w:pPr>
        <w:spacing w:after="0"/>
        <w:jc w:val="both"/>
        <w:rPr>
          <w:rFonts w:ascii="Arial" w:hAnsi="Arial" w:cs="Arial"/>
          <w:sz w:val="24"/>
          <w:szCs w:val="24"/>
        </w:rPr>
      </w:pPr>
    </w:p>
    <w:p w:rsidR="00806F76" w:rsidRPr="00722DF4" w:rsidRDefault="001210F4" w:rsidP="00B61137">
      <w:pPr>
        <w:spacing w:after="0"/>
        <w:jc w:val="center"/>
        <w:rPr>
          <w:rFonts w:ascii="Arial" w:hAnsi="Arial" w:cs="Arial"/>
          <w:sz w:val="24"/>
          <w:szCs w:val="24"/>
        </w:rPr>
      </w:pPr>
      <w:bookmarkStart w:id="21" w:name="_GoBack"/>
      <w:bookmarkEnd w:id="21"/>
      <w:r>
        <w:rPr>
          <w:rFonts w:ascii="Arial" w:hAnsi="Arial" w:cs="Arial"/>
          <w:noProof/>
          <w:sz w:val="24"/>
          <w:szCs w:val="24"/>
        </w:rPr>
        <w:lastRenderedPageBreak/>
        <w:drawing>
          <wp:inline distT="0" distB="0" distL="0" distR="0">
            <wp:extent cx="4011295" cy="4589145"/>
            <wp:effectExtent l="19050" t="0" r="8255"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4011295" cy="4589145"/>
                    </a:xfrm>
                    <a:prstGeom prst="rect">
                      <a:avLst/>
                    </a:prstGeom>
                    <a:noFill/>
                    <a:ln w="9525">
                      <a:noFill/>
                      <a:miter lim="800000"/>
                      <a:headEnd/>
                      <a:tailEnd/>
                    </a:ln>
                  </pic:spPr>
                </pic:pic>
              </a:graphicData>
            </a:graphic>
          </wp:inline>
        </w:drawing>
      </w:r>
    </w:p>
    <w:p w:rsidR="00806F76" w:rsidRPr="00B61137" w:rsidRDefault="00806F76" w:rsidP="00722DF4">
      <w:pPr>
        <w:spacing w:after="0"/>
        <w:jc w:val="both"/>
        <w:rPr>
          <w:rFonts w:ascii="Arial" w:hAnsi="Arial" w:cs="Arial"/>
          <w:i/>
        </w:rPr>
      </w:pPr>
      <w:r w:rsidRPr="00B61137">
        <w:rPr>
          <w:rFonts w:ascii="Arial" w:hAnsi="Arial" w:cs="Arial"/>
          <w:b/>
        </w:rPr>
        <w:t xml:space="preserve">Slika 2.3. </w:t>
      </w:r>
      <w:r w:rsidRPr="00B61137">
        <w:rPr>
          <w:rFonts w:ascii="Arial" w:hAnsi="Arial" w:cs="Arial"/>
        </w:rPr>
        <w:t xml:space="preserve">Godišnja raspodjela temperature vazduha (°C) za period osrednjavanja 1961-1990 </w:t>
      </w:r>
      <w:r w:rsidRPr="00B61137">
        <w:rPr>
          <w:rFonts w:ascii="Arial" w:hAnsi="Arial" w:cs="Arial"/>
          <w:i/>
        </w:rPr>
        <w:t>(Prvi nacionalni izveštaj Crne Gore o klimatskim promjenama, 2010)</w:t>
      </w:r>
    </w:p>
    <w:p w:rsidR="008914BE" w:rsidRPr="00722DF4" w:rsidRDefault="008914BE" w:rsidP="00722DF4">
      <w:pPr>
        <w:spacing w:after="0"/>
        <w:jc w:val="both"/>
        <w:rPr>
          <w:rFonts w:ascii="Arial" w:hAnsi="Arial" w:cs="Arial"/>
          <w:i/>
          <w:sz w:val="24"/>
          <w:szCs w:val="24"/>
        </w:rPr>
      </w:pPr>
    </w:p>
    <w:p w:rsidR="00806F76" w:rsidRDefault="00806F76" w:rsidP="00722DF4">
      <w:pPr>
        <w:spacing w:after="0"/>
        <w:jc w:val="both"/>
        <w:rPr>
          <w:rFonts w:ascii="Arial" w:hAnsi="Arial" w:cs="Arial"/>
          <w:sz w:val="24"/>
          <w:szCs w:val="24"/>
        </w:rPr>
      </w:pPr>
      <w:r w:rsidRPr="00722DF4">
        <w:rPr>
          <w:rFonts w:ascii="Arial" w:hAnsi="Arial" w:cs="Arial"/>
          <w:sz w:val="24"/>
          <w:szCs w:val="24"/>
        </w:rPr>
        <w:t>Prosječan godišnji broj dana sa padavinama je oko 115 – 130 na primorju, odnosno do 172 na sjeveru.</w:t>
      </w:r>
      <w:r w:rsidR="00A204FD" w:rsidRPr="00722DF4">
        <w:rPr>
          <w:rFonts w:ascii="Arial" w:hAnsi="Arial" w:cs="Arial"/>
          <w:sz w:val="24"/>
          <w:szCs w:val="24"/>
        </w:rPr>
        <w:t xml:space="preserve"> </w:t>
      </w:r>
      <w:r w:rsidRPr="00722DF4">
        <w:rPr>
          <w:rFonts w:ascii="Arial" w:hAnsi="Arial" w:cs="Arial"/>
          <w:sz w:val="24"/>
          <w:szCs w:val="24"/>
        </w:rPr>
        <w:t>Najkišniji mjeseci u prosjeku imaju 13 – 17, a najsušniji 4 – 10 kišnih dana. Broj dana sa nešto</w:t>
      </w:r>
      <w:r w:rsidR="00A204FD" w:rsidRPr="00722DF4">
        <w:rPr>
          <w:rFonts w:ascii="Arial" w:hAnsi="Arial" w:cs="Arial"/>
          <w:sz w:val="24"/>
          <w:szCs w:val="24"/>
        </w:rPr>
        <w:t xml:space="preserve"> </w:t>
      </w:r>
      <w:r w:rsidRPr="00722DF4">
        <w:rPr>
          <w:rFonts w:ascii="Arial" w:hAnsi="Arial" w:cs="Arial"/>
          <w:sz w:val="24"/>
          <w:szCs w:val="24"/>
        </w:rPr>
        <w:t>obilnijim dnevnim padavinama (preko 10 mm) kreće se od 25 (Pljevlja) do 59 (Kolašin). Ipak, izrazito</w:t>
      </w:r>
      <w:r w:rsidR="00A204FD" w:rsidRPr="00722DF4">
        <w:rPr>
          <w:rFonts w:ascii="Arial" w:hAnsi="Arial" w:cs="Arial"/>
          <w:sz w:val="24"/>
          <w:szCs w:val="24"/>
        </w:rPr>
        <w:t xml:space="preserve"> </w:t>
      </w:r>
      <w:r w:rsidRPr="00722DF4">
        <w:rPr>
          <w:rFonts w:ascii="Arial" w:hAnsi="Arial" w:cs="Arial"/>
          <w:sz w:val="24"/>
          <w:szCs w:val="24"/>
        </w:rPr>
        <w:t>najveći broj dana sa obilnim padavinama javlja se na Cetinju i iznosi 74 dana.</w:t>
      </w:r>
    </w:p>
    <w:p w:rsidR="008914BE" w:rsidRPr="00722DF4" w:rsidRDefault="008914BE" w:rsidP="00722DF4">
      <w:pPr>
        <w:spacing w:after="0"/>
        <w:jc w:val="both"/>
        <w:rPr>
          <w:rFonts w:ascii="Arial" w:hAnsi="Arial" w:cs="Arial"/>
          <w:sz w:val="24"/>
          <w:szCs w:val="24"/>
        </w:rPr>
      </w:pPr>
    </w:p>
    <w:p w:rsidR="00806F76" w:rsidRDefault="00806F76" w:rsidP="00722DF4">
      <w:pPr>
        <w:spacing w:after="0"/>
        <w:jc w:val="both"/>
        <w:rPr>
          <w:rFonts w:ascii="Arial" w:hAnsi="Arial" w:cs="Arial"/>
          <w:sz w:val="24"/>
          <w:szCs w:val="24"/>
        </w:rPr>
      </w:pPr>
      <w:r w:rsidRPr="00722DF4">
        <w:rPr>
          <w:rFonts w:ascii="Arial" w:hAnsi="Arial" w:cs="Arial"/>
          <w:sz w:val="24"/>
          <w:szCs w:val="24"/>
        </w:rPr>
        <w:t>Sniježni pokrivač se formira na nadmorskim visinama iznad 400 m. Na nadmorskim visinama</w:t>
      </w:r>
      <w:r w:rsidR="00A204FD" w:rsidRPr="00722DF4">
        <w:rPr>
          <w:rFonts w:ascii="Arial" w:hAnsi="Arial" w:cs="Arial"/>
          <w:sz w:val="24"/>
          <w:szCs w:val="24"/>
        </w:rPr>
        <w:t xml:space="preserve"> </w:t>
      </w:r>
      <w:r w:rsidRPr="00722DF4">
        <w:rPr>
          <w:rFonts w:ascii="Arial" w:hAnsi="Arial" w:cs="Arial"/>
          <w:sz w:val="24"/>
          <w:szCs w:val="24"/>
        </w:rPr>
        <w:t>iznad 600 m može se očekivati sniježni pokrivač veći od 30 cm, a na onim iznad 800 m i preko 50 cm.</w:t>
      </w:r>
      <w:r w:rsidR="00A204FD" w:rsidRPr="00722DF4">
        <w:rPr>
          <w:rFonts w:ascii="Arial" w:hAnsi="Arial" w:cs="Arial"/>
          <w:sz w:val="24"/>
          <w:szCs w:val="24"/>
        </w:rPr>
        <w:t xml:space="preserve"> </w:t>
      </w:r>
      <w:r w:rsidRPr="00722DF4">
        <w:rPr>
          <w:rFonts w:ascii="Arial" w:hAnsi="Arial" w:cs="Arial"/>
          <w:sz w:val="24"/>
          <w:szCs w:val="24"/>
        </w:rPr>
        <w:t>Prosječan broj dana sa sniježnim pokrivačem većim od 50 cm je 76 na Žabljaku i 10 dana uKolašinu.</w:t>
      </w:r>
    </w:p>
    <w:p w:rsidR="008914BE" w:rsidRPr="00722DF4" w:rsidRDefault="008914BE" w:rsidP="00722DF4">
      <w:pPr>
        <w:spacing w:after="0"/>
        <w:jc w:val="both"/>
        <w:rPr>
          <w:rFonts w:ascii="Arial" w:hAnsi="Arial" w:cs="Arial"/>
          <w:sz w:val="24"/>
          <w:szCs w:val="24"/>
        </w:rPr>
      </w:pPr>
    </w:p>
    <w:p w:rsidR="3B4348E7" w:rsidRDefault="3B4348E7" w:rsidP="00722DF4">
      <w:pPr>
        <w:spacing w:after="0"/>
        <w:jc w:val="both"/>
        <w:rPr>
          <w:rFonts w:ascii="Arial" w:hAnsi="Arial" w:cs="Arial"/>
          <w:sz w:val="24"/>
          <w:szCs w:val="24"/>
        </w:rPr>
      </w:pPr>
      <w:r w:rsidRPr="00722DF4">
        <w:rPr>
          <w:rFonts w:ascii="Arial" w:hAnsi="Arial" w:cs="Arial"/>
          <w:sz w:val="24"/>
          <w:szCs w:val="24"/>
        </w:rPr>
        <w:t xml:space="preserve">U posljednjih 20 godina primjećuje se trend rasta godišnje količine padavina u centralnim i južnim djelovima Crne Gore, sa izuzetkom 2011. godine, kada je zabilježen nagli pad. </w:t>
      </w:r>
      <w:r w:rsidRPr="00722DF4">
        <w:rPr>
          <w:rFonts w:ascii="Arial" w:hAnsi="Arial" w:cs="Arial"/>
          <w:sz w:val="24"/>
          <w:szCs w:val="24"/>
        </w:rPr>
        <w:lastRenderedPageBreak/>
        <w:t>U sjevernim krajevima, tokom perioda 1990–2011, količina padavina je varirala, mada je ukupan trend uglavnom stabilan. Podaci iz posljednje decenije (2001–2010) pokazuju da se u režimu padavina sve češće pojavljuju ekstremni događaji (2010. godina ima najveću godišnju količinu padavina u planinskim područjima (iznad 1000 m)).</w:t>
      </w:r>
    </w:p>
    <w:p w:rsidR="008914BE" w:rsidRPr="00722DF4" w:rsidRDefault="008914BE" w:rsidP="00722DF4">
      <w:pPr>
        <w:spacing w:after="0"/>
        <w:jc w:val="both"/>
        <w:rPr>
          <w:rFonts w:ascii="Arial" w:hAnsi="Arial" w:cs="Arial"/>
          <w:sz w:val="24"/>
          <w:szCs w:val="24"/>
        </w:rPr>
      </w:pPr>
    </w:p>
    <w:p w:rsidR="00402B73" w:rsidRDefault="00402B73" w:rsidP="00722DF4">
      <w:pPr>
        <w:spacing w:after="0"/>
        <w:jc w:val="both"/>
        <w:rPr>
          <w:rFonts w:ascii="Arial" w:hAnsi="Arial" w:cs="Arial"/>
          <w:sz w:val="24"/>
          <w:szCs w:val="24"/>
          <w:u w:val="single"/>
        </w:rPr>
      </w:pPr>
      <w:r w:rsidRPr="00722DF4">
        <w:rPr>
          <w:rFonts w:ascii="Arial" w:hAnsi="Arial" w:cs="Arial"/>
          <w:sz w:val="24"/>
          <w:szCs w:val="24"/>
          <w:u w:val="single"/>
        </w:rPr>
        <w:t>Relativna vlažnost vazduha</w:t>
      </w:r>
    </w:p>
    <w:p w:rsidR="008914BE" w:rsidRPr="00722DF4" w:rsidRDefault="008914BE" w:rsidP="00722DF4">
      <w:pPr>
        <w:spacing w:after="0"/>
        <w:jc w:val="both"/>
        <w:rPr>
          <w:rFonts w:ascii="Arial" w:hAnsi="Arial" w:cs="Arial"/>
          <w:sz w:val="24"/>
          <w:szCs w:val="24"/>
          <w:u w:val="single"/>
        </w:rPr>
      </w:pPr>
    </w:p>
    <w:p w:rsidR="00FF48CA" w:rsidRDefault="00402B73" w:rsidP="00722DF4">
      <w:pPr>
        <w:spacing w:after="0"/>
        <w:jc w:val="both"/>
        <w:rPr>
          <w:rFonts w:ascii="Arial" w:hAnsi="Arial" w:cs="Arial"/>
          <w:sz w:val="24"/>
          <w:szCs w:val="24"/>
        </w:rPr>
      </w:pPr>
      <w:r w:rsidRPr="00722DF4">
        <w:rPr>
          <w:rFonts w:ascii="Arial" w:hAnsi="Arial" w:cs="Arial"/>
          <w:sz w:val="24"/>
          <w:szCs w:val="24"/>
        </w:rPr>
        <w:t>Relativna vlažnost vazduha na prostoru Crne Gore se kreće u dosta uskim granicama, od 65  do 80 %. Najveća vlažnost prisutna je u zimskim mjesecima, a na nekim stanicama može dostići prosječnu vrijednost i preko 80 %.</w:t>
      </w:r>
    </w:p>
    <w:p w:rsidR="008914BE" w:rsidRPr="00722DF4" w:rsidRDefault="008914BE" w:rsidP="00722DF4">
      <w:pPr>
        <w:spacing w:after="0"/>
        <w:jc w:val="both"/>
        <w:rPr>
          <w:rFonts w:ascii="Arial" w:hAnsi="Arial" w:cs="Arial"/>
          <w:sz w:val="24"/>
          <w:szCs w:val="24"/>
        </w:rPr>
      </w:pPr>
    </w:p>
    <w:p w:rsidR="00402B73" w:rsidRPr="00744115" w:rsidRDefault="00402B73" w:rsidP="00722DF4">
      <w:pPr>
        <w:spacing w:after="0"/>
        <w:jc w:val="both"/>
        <w:rPr>
          <w:rFonts w:ascii="Arial" w:hAnsi="Arial" w:cs="Arial"/>
          <w:i/>
        </w:rPr>
      </w:pPr>
      <w:r w:rsidRPr="00744115">
        <w:rPr>
          <w:rFonts w:ascii="Arial" w:hAnsi="Arial" w:cs="Arial"/>
          <w:b/>
        </w:rPr>
        <w:t>Tabela 2.4.</w:t>
      </w:r>
      <w:r w:rsidR="00A204FD" w:rsidRPr="00744115">
        <w:rPr>
          <w:rFonts w:ascii="Arial" w:hAnsi="Arial" w:cs="Arial"/>
          <w:b/>
        </w:rPr>
        <w:t xml:space="preserve"> </w:t>
      </w:r>
      <w:r w:rsidRPr="00744115">
        <w:rPr>
          <w:rFonts w:ascii="Arial" w:hAnsi="Arial" w:cs="Arial"/>
        </w:rPr>
        <w:t>Rasponi prosječne relativne vlažnosti vazduha u procentima</w:t>
      </w:r>
      <w:r w:rsidRPr="00744115">
        <w:rPr>
          <w:rFonts w:ascii="Arial" w:hAnsi="Arial" w:cs="Arial"/>
          <w:i/>
        </w:rPr>
        <w:t xml:space="preserve"> (Vodoprivredna onsova Crne Gore, 2001)</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29"/>
        <w:gridCol w:w="761"/>
        <w:gridCol w:w="606"/>
        <w:gridCol w:w="677"/>
        <w:gridCol w:w="604"/>
        <w:gridCol w:w="604"/>
        <w:gridCol w:w="604"/>
        <w:gridCol w:w="567"/>
        <w:gridCol w:w="604"/>
        <w:gridCol w:w="604"/>
        <w:gridCol w:w="604"/>
        <w:gridCol w:w="605"/>
        <w:gridCol w:w="577"/>
        <w:gridCol w:w="684"/>
      </w:tblGrid>
      <w:tr w:rsidR="00402B73" w:rsidRPr="008914BE" w:rsidTr="00CA2879">
        <w:tc>
          <w:tcPr>
            <w:tcW w:w="662"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Rel.vl.</w:t>
            </w:r>
          </w:p>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vazduha</w:t>
            </w:r>
          </w:p>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w:t>
            </w:r>
          </w:p>
        </w:tc>
        <w:tc>
          <w:tcPr>
            <w:tcW w:w="411"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Jan</w:t>
            </w:r>
          </w:p>
        </w:tc>
        <w:tc>
          <w:tcPr>
            <w:tcW w:w="328"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Feb</w:t>
            </w:r>
          </w:p>
        </w:tc>
        <w:tc>
          <w:tcPr>
            <w:tcW w:w="366"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Mart</w:t>
            </w:r>
          </w:p>
        </w:tc>
        <w:tc>
          <w:tcPr>
            <w:tcW w:w="327"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Apr</w:t>
            </w:r>
          </w:p>
        </w:tc>
        <w:tc>
          <w:tcPr>
            <w:tcW w:w="327"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Maj</w:t>
            </w:r>
          </w:p>
        </w:tc>
        <w:tc>
          <w:tcPr>
            <w:tcW w:w="327"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Jun</w:t>
            </w:r>
          </w:p>
        </w:tc>
        <w:tc>
          <w:tcPr>
            <w:tcW w:w="263"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Jul</w:t>
            </w:r>
          </w:p>
        </w:tc>
        <w:tc>
          <w:tcPr>
            <w:tcW w:w="327"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Avg</w:t>
            </w:r>
          </w:p>
        </w:tc>
        <w:tc>
          <w:tcPr>
            <w:tcW w:w="327"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Sep</w:t>
            </w:r>
          </w:p>
        </w:tc>
        <w:tc>
          <w:tcPr>
            <w:tcW w:w="327"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Okt</w:t>
            </w:r>
          </w:p>
        </w:tc>
        <w:tc>
          <w:tcPr>
            <w:tcW w:w="327"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Nov</w:t>
            </w:r>
          </w:p>
        </w:tc>
        <w:tc>
          <w:tcPr>
            <w:tcW w:w="312"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Dec</w:t>
            </w:r>
          </w:p>
        </w:tc>
        <w:tc>
          <w:tcPr>
            <w:tcW w:w="370" w:type="pct"/>
            <w:shd w:val="clear" w:color="auto" w:fill="F2F2F2"/>
          </w:tcPr>
          <w:p w:rsidR="00402B73" w:rsidRPr="008914BE" w:rsidRDefault="00402B73" w:rsidP="00722DF4">
            <w:pPr>
              <w:spacing w:after="0"/>
              <w:jc w:val="both"/>
              <w:rPr>
                <w:rFonts w:ascii="Arial" w:hAnsi="Arial" w:cs="Arial"/>
                <w:b/>
                <w:sz w:val="18"/>
                <w:szCs w:val="18"/>
              </w:rPr>
            </w:pPr>
            <w:r w:rsidRPr="008914BE">
              <w:rPr>
                <w:rFonts w:ascii="Arial" w:hAnsi="Arial" w:cs="Arial"/>
                <w:b/>
                <w:sz w:val="18"/>
                <w:szCs w:val="18"/>
              </w:rPr>
              <w:t>God.</w:t>
            </w:r>
          </w:p>
        </w:tc>
      </w:tr>
      <w:tr w:rsidR="00402B73" w:rsidRPr="008914BE" w:rsidTr="00CA2879">
        <w:tc>
          <w:tcPr>
            <w:tcW w:w="662" w:type="pct"/>
          </w:tcPr>
          <w:p w:rsidR="00402B73" w:rsidRPr="008914BE" w:rsidRDefault="00402B73" w:rsidP="00722DF4">
            <w:pPr>
              <w:spacing w:after="0"/>
              <w:jc w:val="both"/>
              <w:rPr>
                <w:rFonts w:ascii="Arial" w:hAnsi="Arial" w:cs="Arial"/>
                <w:sz w:val="18"/>
                <w:szCs w:val="18"/>
              </w:rPr>
            </w:pPr>
            <w:r w:rsidRPr="008914BE">
              <w:rPr>
                <w:rFonts w:ascii="Arial" w:hAnsi="Arial" w:cs="Arial"/>
                <w:sz w:val="18"/>
                <w:szCs w:val="18"/>
              </w:rPr>
              <w:t>Minimalna</w:t>
            </w:r>
          </w:p>
        </w:tc>
        <w:tc>
          <w:tcPr>
            <w:tcW w:w="411" w:type="pct"/>
          </w:tcPr>
          <w:p w:rsidR="00402B73" w:rsidRPr="008914BE" w:rsidRDefault="00402B73" w:rsidP="00722DF4">
            <w:pPr>
              <w:spacing w:after="0"/>
              <w:jc w:val="both"/>
              <w:rPr>
                <w:rFonts w:ascii="Arial" w:hAnsi="Arial" w:cs="Arial"/>
                <w:sz w:val="18"/>
                <w:szCs w:val="18"/>
              </w:rPr>
            </w:pPr>
            <w:r w:rsidRPr="008914BE">
              <w:rPr>
                <w:rFonts w:ascii="Arial" w:hAnsi="Arial" w:cs="Arial"/>
                <w:sz w:val="18"/>
                <w:szCs w:val="18"/>
              </w:rPr>
              <w:t>67</w:t>
            </w:r>
          </w:p>
        </w:tc>
        <w:tc>
          <w:tcPr>
            <w:tcW w:w="328" w:type="pct"/>
          </w:tcPr>
          <w:p w:rsidR="00402B73" w:rsidRPr="008914BE" w:rsidRDefault="00402B73" w:rsidP="00722DF4">
            <w:pPr>
              <w:spacing w:after="0"/>
              <w:jc w:val="both"/>
              <w:rPr>
                <w:rFonts w:ascii="Arial" w:hAnsi="Arial" w:cs="Arial"/>
                <w:sz w:val="18"/>
                <w:szCs w:val="18"/>
              </w:rPr>
            </w:pPr>
            <w:r w:rsidRPr="008914BE">
              <w:rPr>
                <w:rFonts w:ascii="Arial" w:hAnsi="Arial" w:cs="Arial"/>
                <w:sz w:val="18"/>
                <w:szCs w:val="18"/>
              </w:rPr>
              <w:t>66,7</w:t>
            </w:r>
          </w:p>
        </w:tc>
        <w:tc>
          <w:tcPr>
            <w:tcW w:w="366"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63,4</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61,6</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62,1</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60,9</w:t>
            </w:r>
          </w:p>
        </w:tc>
        <w:tc>
          <w:tcPr>
            <w:tcW w:w="263"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52,9</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53,8</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62,3</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68,1</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70,1</w:t>
            </w:r>
          </w:p>
        </w:tc>
        <w:tc>
          <w:tcPr>
            <w:tcW w:w="312"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68,7</w:t>
            </w:r>
          </w:p>
        </w:tc>
        <w:tc>
          <w:tcPr>
            <w:tcW w:w="370"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64,4</w:t>
            </w:r>
          </w:p>
        </w:tc>
      </w:tr>
      <w:tr w:rsidR="00402B73" w:rsidRPr="008914BE" w:rsidTr="00CA2879">
        <w:tc>
          <w:tcPr>
            <w:tcW w:w="662" w:type="pct"/>
          </w:tcPr>
          <w:p w:rsidR="00402B73" w:rsidRPr="008914BE" w:rsidRDefault="00402B73" w:rsidP="00722DF4">
            <w:pPr>
              <w:spacing w:after="0"/>
              <w:jc w:val="both"/>
              <w:rPr>
                <w:rFonts w:ascii="Arial" w:hAnsi="Arial" w:cs="Arial"/>
                <w:sz w:val="18"/>
                <w:szCs w:val="18"/>
              </w:rPr>
            </w:pPr>
            <w:r w:rsidRPr="008914BE">
              <w:rPr>
                <w:rFonts w:ascii="Arial" w:hAnsi="Arial" w:cs="Arial"/>
                <w:sz w:val="18"/>
                <w:szCs w:val="18"/>
              </w:rPr>
              <w:t>Srednja</w:t>
            </w:r>
          </w:p>
        </w:tc>
        <w:tc>
          <w:tcPr>
            <w:tcW w:w="411"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76,4</w:t>
            </w:r>
          </w:p>
        </w:tc>
        <w:tc>
          <w:tcPr>
            <w:tcW w:w="328"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74,3</w:t>
            </w:r>
          </w:p>
        </w:tc>
        <w:tc>
          <w:tcPr>
            <w:tcW w:w="366"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71,2</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69,7</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71,0</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70,7</w:t>
            </w:r>
          </w:p>
        </w:tc>
        <w:tc>
          <w:tcPr>
            <w:tcW w:w="263"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66,7</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67,1</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72,5</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75,3</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78,2</w:t>
            </w:r>
          </w:p>
        </w:tc>
        <w:tc>
          <w:tcPr>
            <w:tcW w:w="312"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78,7</w:t>
            </w:r>
          </w:p>
        </w:tc>
        <w:tc>
          <w:tcPr>
            <w:tcW w:w="370"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72,7</w:t>
            </w:r>
          </w:p>
        </w:tc>
      </w:tr>
      <w:tr w:rsidR="00402B73" w:rsidRPr="008914BE" w:rsidTr="00CA2879">
        <w:tc>
          <w:tcPr>
            <w:tcW w:w="662" w:type="pct"/>
          </w:tcPr>
          <w:p w:rsidR="00402B73" w:rsidRPr="008914BE" w:rsidRDefault="00402B73" w:rsidP="00722DF4">
            <w:pPr>
              <w:spacing w:after="0"/>
              <w:jc w:val="both"/>
              <w:rPr>
                <w:rFonts w:ascii="Arial" w:hAnsi="Arial" w:cs="Arial"/>
                <w:sz w:val="18"/>
                <w:szCs w:val="18"/>
              </w:rPr>
            </w:pPr>
            <w:r w:rsidRPr="008914BE">
              <w:rPr>
                <w:rFonts w:ascii="Arial" w:hAnsi="Arial" w:cs="Arial"/>
                <w:sz w:val="18"/>
                <w:szCs w:val="18"/>
              </w:rPr>
              <w:t>Maksimalna</w:t>
            </w:r>
          </w:p>
        </w:tc>
        <w:tc>
          <w:tcPr>
            <w:tcW w:w="411"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83,8</w:t>
            </w:r>
          </w:p>
        </w:tc>
        <w:tc>
          <w:tcPr>
            <w:tcW w:w="328"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82,0</w:t>
            </w:r>
          </w:p>
        </w:tc>
        <w:tc>
          <w:tcPr>
            <w:tcW w:w="366"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78,7</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74,9</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76,7</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78,1</w:t>
            </w:r>
          </w:p>
        </w:tc>
        <w:tc>
          <w:tcPr>
            <w:tcW w:w="263"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75,8</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76,4</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80,1</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82,7</w:t>
            </w:r>
          </w:p>
        </w:tc>
        <w:tc>
          <w:tcPr>
            <w:tcW w:w="327"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85,9</w:t>
            </w:r>
          </w:p>
        </w:tc>
        <w:tc>
          <w:tcPr>
            <w:tcW w:w="312"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85,8</w:t>
            </w:r>
          </w:p>
        </w:tc>
        <w:tc>
          <w:tcPr>
            <w:tcW w:w="370" w:type="pct"/>
          </w:tcPr>
          <w:p w:rsidR="00402B73" w:rsidRPr="008914BE" w:rsidRDefault="00B43E0B" w:rsidP="00722DF4">
            <w:pPr>
              <w:spacing w:after="0"/>
              <w:jc w:val="both"/>
              <w:rPr>
                <w:rFonts w:ascii="Arial" w:hAnsi="Arial" w:cs="Arial"/>
                <w:sz w:val="18"/>
                <w:szCs w:val="18"/>
              </w:rPr>
            </w:pPr>
            <w:r w:rsidRPr="008914BE">
              <w:rPr>
                <w:rFonts w:ascii="Arial" w:hAnsi="Arial" w:cs="Arial"/>
                <w:sz w:val="18"/>
                <w:szCs w:val="18"/>
              </w:rPr>
              <w:t>79,5</w:t>
            </w:r>
          </w:p>
        </w:tc>
      </w:tr>
    </w:tbl>
    <w:p w:rsidR="00B43E0B" w:rsidRPr="00722DF4" w:rsidRDefault="00B43E0B" w:rsidP="00722DF4">
      <w:pPr>
        <w:spacing w:after="0"/>
        <w:jc w:val="both"/>
        <w:rPr>
          <w:rFonts w:ascii="Arial" w:hAnsi="Arial" w:cs="Arial"/>
          <w:b/>
          <w:sz w:val="24"/>
          <w:szCs w:val="24"/>
        </w:rPr>
      </w:pPr>
    </w:p>
    <w:p w:rsidR="00B43E0B" w:rsidRDefault="00B43E0B" w:rsidP="00722DF4">
      <w:pPr>
        <w:spacing w:after="0"/>
        <w:jc w:val="both"/>
        <w:rPr>
          <w:rFonts w:ascii="Arial" w:hAnsi="Arial" w:cs="Arial"/>
          <w:sz w:val="24"/>
          <w:szCs w:val="24"/>
          <w:u w:val="single"/>
        </w:rPr>
      </w:pPr>
      <w:r w:rsidRPr="00722DF4">
        <w:rPr>
          <w:rFonts w:ascii="Arial" w:hAnsi="Arial" w:cs="Arial"/>
          <w:sz w:val="24"/>
          <w:szCs w:val="24"/>
          <w:u w:val="single"/>
        </w:rPr>
        <w:t>Vjetar</w:t>
      </w:r>
    </w:p>
    <w:p w:rsidR="008914BE" w:rsidRPr="00722DF4" w:rsidRDefault="008914BE" w:rsidP="00722DF4">
      <w:pPr>
        <w:spacing w:after="0"/>
        <w:jc w:val="both"/>
        <w:rPr>
          <w:rFonts w:ascii="Arial" w:hAnsi="Arial" w:cs="Arial"/>
          <w:sz w:val="24"/>
          <w:szCs w:val="24"/>
          <w:u w:val="single"/>
        </w:rPr>
      </w:pPr>
    </w:p>
    <w:p w:rsidR="00E742B0" w:rsidRDefault="00E742B0" w:rsidP="00722DF4">
      <w:pPr>
        <w:spacing w:after="0"/>
        <w:jc w:val="both"/>
        <w:rPr>
          <w:rFonts w:ascii="Arial" w:hAnsi="Arial" w:cs="Arial"/>
          <w:sz w:val="24"/>
          <w:szCs w:val="24"/>
        </w:rPr>
      </w:pPr>
      <w:r w:rsidRPr="00722DF4">
        <w:rPr>
          <w:rFonts w:ascii="Arial" w:hAnsi="Arial" w:cs="Arial"/>
          <w:sz w:val="24"/>
          <w:szCs w:val="24"/>
        </w:rPr>
        <w:t>U Crnoj Gori dominatni vjetrovi su bura i jugo. Duvaju tokom čitave godine, ali nešto intenzivnije u zimskom periodu. Navedeno se posebno odnosi na buru. Bura je pretežno slapoviti, jaki anticiklonski, rjeđe ciklonski vjetar, koji obično smanjuje temperature vazduha, smanjuje oblačnosti i relativnu vlažnost vazduha. Duva pretežno od sjeveroistočnog i sjevernog pravca, mada i iz ostalih pravaca sjevernog kvadranta. Jugo spade u vjetrove južnog kvadranta. To je topao i vlažan vjetar koji donosi oblake i padavine. Može duvati i više dana, nesmanjenom brzinom, koja može biti i olujna. Treći po značaju je maestral, koji duva u toploj polovini godini. To je jugozapadni i zapadni vjetar koji duva na primorju. Nastaje kao posledica razlike u vazdušnom pritisku, kada je na jugozapadu azorski maksimum, a polje niskog pritiska na zagrijanom kopnu. Vjetrovi u unutrađnjosti, gdje njihov smjer najčešće određuje reljef, nazivaju se prema strani otkuda duvaju.</w:t>
      </w:r>
    </w:p>
    <w:p w:rsidR="008914BE" w:rsidRPr="00722DF4" w:rsidRDefault="008914BE" w:rsidP="00722DF4">
      <w:pPr>
        <w:spacing w:after="0"/>
        <w:jc w:val="both"/>
        <w:rPr>
          <w:rFonts w:ascii="Arial" w:hAnsi="Arial" w:cs="Arial"/>
          <w:sz w:val="24"/>
          <w:szCs w:val="24"/>
        </w:rPr>
      </w:pPr>
    </w:p>
    <w:p w:rsidR="00B43E0B" w:rsidRPr="00722DF4" w:rsidRDefault="00B43E0B" w:rsidP="00722DF4">
      <w:pPr>
        <w:spacing w:after="0"/>
        <w:jc w:val="both"/>
        <w:rPr>
          <w:rFonts w:ascii="Arial" w:hAnsi="Arial" w:cs="Arial"/>
          <w:sz w:val="24"/>
          <w:szCs w:val="24"/>
        </w:rPr>
      </w:pPr>
      <w:r w:rsidRPr="00722DF4">
        <w:rPr>
          <w:rFonts w:ascii="Arial" w:hAnsi="Arial" w:cs="Arial"/>
          <w:sz w:val="24"/>
          <w:szCs w:val="24"/>
        </w:rPr>
        <w:t>Režim vjetra na prostoru Crne Gore je veoma neujednačen, pa čak i u užem primorskom pojasu.  Procenat tišina kreće se od 4-5 % u Ulcinju i Baru, od 55-60 % u dijelu prmorja izmađu Budve i Herceg Novog, dok je na Cetinju i u Pljevljima preko 70 %.</w:t>
      </w:r>
    </w:p>
    <w:p w:rsidR="00B43E0B" w:rsidRDefault="00B43E0B" w:rsidP="00722DF4">
      <w:pPr>
        <w:spacing w:after="0"/>
        <w:jc w:val="both"/>
        <w:rPr>
          <w:rFonts w:ascii="Arial" w:hAnsi="Arial" w:cs="Arial"/>
          <w:sz w:val="24"/>
          <w:szCs w:val="24"/>
        </w:rPr>
      </w:pPr>
      <w:r w:rsidRPr="00722DF4">
        <w:rPr>
          <w:rFonts w:ascii="Arial" w:hAnsi="Arial" w:cs="Arial"/>
          <w:sz w:val="24"/>
          <w:szCs w:val="24"/>
        </w:rPr>
        <w:t>Srednje brzine vjetra kreću se od 2 do 3,5 m/s, a prosječne maksimalne brzine dostižu 11 m/s u Pljeviljima, do preko 30 m/s u Herceg Novom.</w:t>
      </w:r>
    </w:p>
    <w:p w:rsidR="008914BE" w:rsidRPr="00722DF4" w:rsidRDefault="008914BE" w:rsidP="00722DF4">
      <w:pPr>
        <w:spacing w:after="0"/>
        <w:jc w:val="both"/>
        <w:rPr>
          <w:rFonts w:ascii="Arial" w:hAnsi="Arial" w:cs="Arial"/>
          <w:sz w:val="24"/>
          <w:szCs w:val="24"/>
        </w:rPr>
      </w:pPr>
    </w:p>
    <w:p w:rsidR="008914BE" w:rsidRDefault="005F00BE" w:rsidP="00722DF4">
      <w:pPr>
        <w:spacing w:after="0"/>
        <w:jc w:val="both"/>
        <w:rPr>
          <w:rStyle w:val="Heading4Char"/>
          <w:rFonts w:ascii="Arial" w:eastAsia="Calibri" w:hAnsi="Arial" w:cs="Arial"/>
          <w:i/>
          <w:color w:val="auto"/>
          <w:szCs w:val="24"/>
        </w:rPr>
      </w:pPr>
      <w:r w:rsidRPr="00722DF4">
        <w:rPr>
          <w:rStyle w:val="Heading4Char"/>
          <w:rFonts w:ascii="Arial" w:eastAsia="Calibri" w:hAnsi="Arial" w:cs="Arial"/>
          <w:i/>
          <w:color w:val="auto"/>
          <w:szCs w:val="24"/>
        </w:rPr>
        <w:t>2.1.2.2</w:t>
      </w:r>
      <w:r w:rsidR="00A204FD" w:rsidRPr="00722DF4">
        <w:rPr>
          <w:rStyle w:val="Heading4Char"/>
          <w:rFonts w:ascii="Arial" w:eastAsia="Calibri" w:hAnsi="Arial" w:cs="Arial"/>
          <w:i/>
          <w:color w:val="auto"/>
          <w:szCs w:val="24"/>
        </w:rPr>
        <w:t xml:space="preserve"> </w:t>
      </w:r>
      <w:r w:rsidRPr="00722DF4">
        <w:rPr>
          <w:rStyle w:val="Heading4Char"/>
          <w:rFonts w:ascii="Arial" w:eastAsia="Calibri" w:hAnsi="Arial" w:cs="Arial"/>
          <w:i/>
          <w:color w:val="auto"/>
          <w:szCs w:val="24"/>
        </w:rPr>
        <w:t>Klimatske promjene</w:t>
      </w:r>
    </w:p>
    <w:p w:rsidR="00B61137" w:rsidRPr="00722DF4" w:rsidRDefault="00B61137" w:rsidP="00722DF4">
      <w:pPr>
        <w:spacing w:after="0"/>
        <w:jc w:val="both"/>
        <w:rPr>
          <w:rStyle w:val="Heading4Char"/>
          <w:rFonts w:ascii="Arial" w:eastAsia="Calibri" w:hAnsi="Arial" w:cs="Arial"/>
          <w:i/>
          <w:color w:val="auto"/>
          <w:szCs w:val="24"/>
        </w:rPr>
      </w:pPr>
    </w:p>
    <w:p w:rsidR="005F00BE" w:rsidRDefault="005F00BE" w:rsidP="00722DF4">
      <w:pPr>
        <w:spacing w:after="0"/>
        <w:jc w:val="both"/>
        <w:rPr>
          <w:rFonts w:ascii="Arial" w:hAnsi="Arial" w:cs="Arial"/>
          <w:sz w:val="24"/>
          <w:szCs w:val="24"/>
        </w:rPr>
      </w:pPr>
      <w:r w:rsidRPr="00722DF4">
        <w:rPr>
          <w:rFonts w:ascii="Arial" w:hAnsi="Arial" w:cs="Arial"/>
          <w:sz w:val="24"/>
          <w:szCs w:val="24"/>
        </w:rPr>
        <w:t>Klimatska svojstva pojedinog područja su definsana srednjim stanjem atmosfere i srednjim odstupanjem od tog stanja tzv. varijancom. U slučaju da pojedini atmosferski ili okeanografski parametar posjeduje izrazito višu ili nižu vrijednost od uobičajene (srednje) vrijednosti u višedecenijskom (najcešće 30-godišnjem) razdoblju, govorimo o klimatskoj anomaliji odnosno klimatskom odstupanju/promjeni. Klimatske promjene mogu se odvijati u kraćim i dužim vremenskim periodima. Najvjerojatnija projekcija klimatskih promjena u sljedećih stotinjak godina uključuje istovremenu promjenu srednjeg stanja (npr. povećanje temperature) i srednjeg odstupanja (varijance). Klimatske promjene za posljedicu imaju prostornu preraspodjelu biljnog i životinjskog svijeta, kao i migracije ljudi prema područjima manje zahvaćenim klimatskim promjenama.</w:t>
      </w:r>
    </w:p>
    <w:p w:rsidR="008914BE" w:rsidRPr="00722DF4" w:rsidRDefault="008914BE" w:rsidP="00722DF4">
      <w:pPr>
        <w:spacing w:after="0"/>
        <w:jc w:val="both"/>
        <w:rPr>
          <w:rFonts w:ascii="Arial" w:hAnsi="Arial" w:cs="Arial"/>
          <w:sz w:val="24"/>
          <w:szCs w:val="24"/>
        </w:rPr>
      </w:pPr>
    </w:p>
    <w:p w:rsidR="005F00BE" w:rsidRDefault="005F00BE" w:rsidP="00722DF4">
      <w:pPr>
        <w:spacing w:after="0"/>
        <w:jc w:val="both"/>
        <w:rPr>
          <w:rFonts w:ascii="Arial" w:hAnsi="Arial" w:cs="Arial"/>
          <w:sz w:val="24"/>
          <w:szCs w:val="24"/>
        </w:rPr>
      </w:pPr>
      <w:r w:rsidRPr="00722DF4">
        <w:rPr>
          <w:rFonts w:ascii="Arial" w:hAnsi="Arial" w:cs="Arial"/>
          <w:sz w:val="24"/>
          <w:szCs w:val="24"/>
        </w:rPr>
        <w:t xml:space="preserve">Meteorološki podaci potvrđuju da globalna temperatura Zemlje raste od početka 20. vijeka. Prirodno zagrijavanje atmosfere osim direktnog zagrijavanja od Sunca odvija se na način da atmosfera, uključujući oblake, apsorbuje dugotrajno zračenje sa površine Zemlje te ga emituje u svim smjerovima. Dio tog zračenja koji je usmjeren prema površini Zemlje, uzrokuje daljnje zagrijavanje donjeg sloja atmosfere, što se naziva efektom staklene bašte. Među najvažnijim gasovima koji se prirodno nalaze u atmosferi i koji apsorbuju dugotrajno zračenje Zemlje su </w:t>
      </w:r>
      <w:r w:rsidR="00A204FD" w:rsidRPr="00722DF4">
        <w:rPr>
          <w:rFonts w:ascii="Arial" w:hAnsi="Arial" w:cs="Arial"/>
          <w:sz w:val="24"/>
          <w:szCs w:val="24"/>
        </w:rPr>
        <w:t>vodena para i ugljendioksid (CO</w:t>
      </w:r>
      <w:r w:rsidR="00A204FD" w:rsidRPr="00722DF4">
        <w:rPr>
          <w:rFonts w:ascii="Arial" w:hAnsi="Arial" w:cs="Arial"/>
          <w:sz w:val="24"/>
          <w:szCs w:val="24"/>
          <w:vertAlign w:val="subscript"/>
        </w:rPr>
        <w:t>2</w:t>
      </w:r>
      <w:r w:rsidR="00A204FD" w:rsidRPr="00722DF4">
        <w:rPr>
          <w:rFonts w:ascii="Arial" w:hAnsi="Arial" w:cs="Arial"/>
          <w:sz w:val="24"/>
          <w:szCs w:val="24"/>
        </w:rPr>
        <w:t>), a zatim metan (CH</w:t>
      </w:r>
      <w:r w:rsidR="00A204FD" w:rsidRPr="00722DF4">
        <w:rPr>
          <w:rFonts w:ascii="Arial" w:hAnsi="Arial" w:cs="Arial"/>
          <w:sz w:val="24"/>
          <w:szCs w:val="24"/>
          <w:vertAlign w:val="subscript"/>
        </w:rPr>
        <w:t>4</w:t>
      </w:r>
      <w:r w:rsidR="00A204FD" w:rsidRPr="00722DF4">
        <w:rPr>
          <w:rFonts w:ascii="Arial" w:hAnsi="Arial" w:cs="Arial"/>
          <w:sz w:val="24"/>
          <w:szCs w:val="24"/>
        </w:rPr>
        <w:t>), azotdioksid (N</w:t>
      </w:r>
      <w:r w:rsidR="00A204FD" w:rsidRPr="00722DF4">
        <w:rPr>
          <w:rFonts w:ascii="Arial" w:hAnsi="Arial" w:cs="Arial"/>
          <w:sz w:val="24"/>
          <w:szCs w:val="24"/>
          <w:vertAlign w:val="subscript"/>
        </w:rPr>
        <w:t>2</w:t>
      </w:r>
      <w:r w:rsidRPr="00722DF4">
        <w:rPr>
          <w:rFonts w:ascii="Arial" w:hAnsi="Arial" w:cs="Arial"/>
          <w:sz w:val="24"/>
          <w:szCs w:val="24"/>
        </w:rPr>
        <w:t>O</w:t>
      </w:r>
      <w:r w:rsidR="00A204FD" w:rsidRPr="00722DF4">
        <w:rPr>
          <w:rFonts w:ascii="Arial" w:hAnsi="Arial" w:cs="Arial"/>
          <w:sz w:val="24"/>
          <w:szCs w:val="24"/>
        </w:rPr>
        <w:t>) i ozon (O</w:t>
      </w:r>
      <w:r w:rsidR="00A204FD" w:rsidRPr="00722DF4">
        <w:rPr>
          <w:rFonts w:ascii="Arial" w:hAnsi="Arial" w:cs="Arial"/>
          <w:sz w:val="24"/>
          <w:szCs w:val="24"/>
          <w:vertAlign w:val="subscript"/>
        </w:rPr>
        <w:t>3</w:t>
      </w:r>
      <w:r w:rsidRPr="00722DF4">
        <w:rPr>
          <w:rFonts w:ascii="Arial" w:hAnsi="Arial" w:cs="Arial"/>
          <w:sz w:val="24"/>
          <w:szCs w:val="24"/>
        </w:rPr>
        <w:t>). Mnoga istraživanja potvrdila su ubrzani rast koncentracija gasova staklene bašte u atmosferi od početka industrijske revolucije. Sagorijevanje fosilnih goriva, urbanizacija, sječa šuma i razvoj poljoprivrede samo su neki od antropogenih uticaja koji mijenjaju sastav atmosfere, što uključuje povećanje koncentracije gasova staklene bašte.</w:t>
      </w:r>
    </w:p>
    <w:p w:rsidR="008914BE" w:rsidRPr="00722DF4" w:rsidRDefault="008914BE" w:rsidP="00722DF4">
      <w:pPr>
        <w:spacing w:after="0"/>
        <w:jc w:val="both"/>
        <w:rPr>
          <w:rFonts w:ascii="Arial" w:hAnsi="Arial" w:cs="Arial"/>
          <w:sz w:val="24"/>
          <w:szCs w:val="24"/>
        </w:rPr>
      </w:pPr>
    </w:p>
    <w:p w:rsidR="00CB21D4" w:rsidRPr="00722DF4" w:rsidRDefault="00CB21D4" w:rsidP="00722DF4">
      <w:pPr>
        <w:spacing w:after="0"/>
        <w:jc w:val="both"/>
        <w:rPr>
          <w:rFonts w:ascii="Arial" w:hAnsi="Arial" w:cs="Arial"/>
          <w:sz w:val="24"/>
          <w:szCs w:val="24"/>
          <w:u w:val="single"/>
        </w:rPr>
      </w:pPr>
      <w:r w:rsidRPr="00722DF4">
        <w:rPr>
          <w:rFonts w:ascii="Arial" w:hAnsi="Arial" w:cs="Arial"/>
          <w:sz w:val="24"/>
          <w:szCs w:val="24"/>
          <w:u w:val="single"/>
        </w:rPr>
        <w:t>Ranjivost i adaptacija na klimatske promjene</w:t>
      </w:r>
      <w:r w:rsidRPr="00722DF4">
        <w:rPr>
          <w:rStyle w:val="FootnoteReference"/>
          <w:rFonts w:ascii="Arial" w:hAnsi="Arial" w:cs="Arial"/>
          <w:sz w:val="24"/>
          <w:szCs w:val="24"/>
          <w:u w:val="single"/>
        </w:rPr>
        <w:footnoteReference w:id="2"/>
      </w:r>
    </w:p>
    <w:p w:rsidR="005F00BE" w:rsidRPr="00722DF4" w:rsidRDefault="005F00BE" w:rsidP="00722DF4">
      <w:pPr>
        <w:spacing w:after="0"/>
        <w:jc w:val="both"/>
        <w:rPr>
          <w:rFonts w:ascii="Arial" w:hAnsi="Arial" w:cs="Arial"/>
          <w:sz w:val="24"/>
          <w:szCs w:val="24"/>
        </w:rPr>
      </w:pPr>
      <w:r w:rsidRPr="00722DF4">
        <w:rPr>
          <w:rFonts w:ascii="Arial" w:hAnsi="Arial" w:cs="Arial"/>
          <w:sz w:val="24"/>
          <w:szCs w:val="24"/>
        </w:rPr>
        <w:t>Na atmosfersku i klimatsku varijabilnost u Crnoj Gori obično utiču:</w:t>
      </w:r>
    </w:p>
    <w:p w:rsidR="005F00BE" w:rsidRPr="00722DF4" w:rsidRDefault="005F00BE" w:rsidP="00663F7F">
      <w:pPr>
        <w:pStyle w:val="ColorfulList-Accent11"/>
        <w:numPr>
          <w:ilvl w:val="0"/>
          <w:numId w:val="14"/>
        </w:numPr>
        <w:spacing w:after="0"/>
        <w:jc w:val="both"/>
        <w:rPr>
          <w:rFonts w:ascii="Arial" w:hAnsi="Arial" w:cs="Arial"/>
          <w:sz w:val="24"/>
          <w:szCs w:val="24"/>
        </w:rPr>
      </w:pPr>
      <w:r w:rsidRPr="00722DF4">
        <w:rPr>
          <w:rFonts w:ascii="Arial" w:hAnsi="Arial" w:cs="Arial"/>
          <w:sz w:val="24"/>
          <w:szCs w:val="24"/>
        </w:rPr>
        <w:t>sjeverna atlantska oscilacija (NAO);</w:t>
      </w:r>
    </w:p>
    <w:p w:rsidR="005F00BE" w:rsidRPr="00722DF4" w:rsidRDefault="005F00BE" w:rsidP="00663F7F">
      <w:pPr>
        <w:pStyle w:val="ColorfulList-Accent11"/>
        <w:numPr>
          <w:ilvl w:val="0"/>
          <w:numId w:val="14"/>
        </w:numPr>
        <w:spacing w:after="0"/>
        <w:jc w:val="both"/>
        <w:rPr>
          <w:rFonts w:ascii="Arial" w:hAnsi="Arial" w:cs="Arial"/>
          <w:sz w:val="24"/>
          <w:szCs w:val="24"/>
        </w:rPr>
      </w:pPr>
      <w:r w:rsidRPr="00722DF4">
        <w:rPr>
          <w:rFonts w:ascii="Arial" w:hAnsi="Arial" w:cs="Arial"/>
          <w:sz w:val="24"/>
          <w:szCs w:val="24"/>
        </w:rPr>
        <w:t>Đenovski ciklon i Sibirski anticiklon;</w:t>
      </w:r>
    </w:p>
    <w:p w:rsidR="005F00BE" w:rsidRPr="00722DF4" w:rsidRDefault="005F00BE" w:rsidP="00663F7F">
      <w:pPr>
        <w:pStyle w:val="ColorfulList-Accent11"/>
        <w:numPr>
          <w:ilvl w:val="0"/>
          <w:numId w:val="14"/>
        </w:numPr>
        <w:spacing w:after="0"/>
        <w:jc w:val="both"/>
        <w:rPr>
          <w:rFonts w:ascii="Arial" w:hAnsi="Arial" w:cs="Arial"/>
          <w:sz w:val="24"/>
          <w:szCs w:val="24"/>
        </w:rPr>
      </w:pPr>
      <w:r w:rsidRPr="00722DF4">
        <w:rPr>
          <w:rFonts w:ascii="Arial" w:hAnsi="Arial" w:cs="Arial"/>
          <w:sz w:val="24"/>
          <w:szCs w:val="24"/>
        </w:rPr>
        <w:t>vazdušne depresije na Jadranu, ciklon s putanjom preko Jadranskog ili Sredozemnog mora uz istovremeno prisustvo visokog vazdušnog pritiska iznad Sjeverne Afrike;</w:t>
      </w:r>
    </w:p>
    <w:p w:rsidR="005F00BE" w:rsidRPr="00722DF4" w:rsidRDefault="005F00BE" w:rsidP="00663F7F">
      <w:pPr>
        <w:pStyle w:val="ColorfulList-Accent11"/>
        <w:numPr>
          <w:ilvl w:val="0"/>
          <w:numId w:val="14"/>
        </w:numPr>
        <w:spacing w:after="0"/>
        <w:jc w:val="both"/>
        <w:rPr>
          <w:rFonts w:ascii="Arial" w:hAnsi="Arial" w:cs="Arial"/>
          <w:sz w:val="24"/>
          <w:szCs w:val="24"/>
        </w:rPr>
      </w:pPr>
      <w:r w:rsidRPr="00722DF4">
        <w:rPr>
          <w:rFonts w:ascii="Arial" w:hAnsi="Arial" w:cs="Arial"/>
          <w:sz w:val="24"/>
          <w:szCs w:val="24"/>
        </w:rPr>
        <w:t>uticaj El Ninja u situacijama kada je jako razvijen; i</w:t>
      </w:r>
    </w:p>
    <w:p w:rsidR="005F00BE" w:rsidRDefault="005F00BE" w:rsidP="00663F7F">
      <w:pPr>
        <w:pStyle w:val="ColorfulList-Accent11"/>
        <w:numPr>
          <w:ilvl w:val="0"/>
          <w:numId w:val="14"/>
        </w:numPr>
        <w:spacing w:after="0"/>
        <w:jc w:val="both"/>
        <w:rPr>
          <w:rFonts w:ascii="Arial" w:hAnsi="Arial" w:cs="Arial"/>
          <w:sz w:val="24"/>
          <w:szCs w:val="24"/>
        </w:rPr>
      </w:pPr>
      <w:r w:rsidRPr="00722DF4">
        <w:rPr>
          <w:rFonts w:ascii="Arial" w:hAnsi="Arial" w:cs="Arial"/>
          <w:sz w:val="24"/>
          <w:szCs w:val="24"/>
        </w:rPr>
        <w:t xml:space="preserve">uticaj atmosferskih </w:t>
      </w:r>
      <w:r w:rsidRPr="00722DF4">
        <w:rPr>
          <w:rFonts w:ascii="Arial" w:hAnsi="Arial" w:cs="Arial"/>
          <w:i/>
          <w:iCs/>
          <w:sz w:val="24"/>
          <w:szCs w:val="24"/>
        </w:rPr>
        <w:t xml:space="preserve">bloking </w:t>
      </w:r>
      <w:r w:rsidRPr="00722DF4">
        <w:rPr>
          <w:rFonts w:ascii="Arial" w:hAnsi="Arial" w:cs="Arial"/>
          <w:sz w:val="24"/>
          <w:szCs w:val="24"/>
        </w:rPr>
        <w:t>sistema.</w:t>
      </w:r>
    </w:p>
    <w:p w:rsidR="008914BE" w:rsidRPr="00722DF4" w:rsidRDefault="008914BE" w:rsidP="009016AF">
      <w:pPr>
        <w:pStyle w:val="ColorfulList-Accent11"/>
        <w:spacing w:after="0"/>
        <w:ind w:left="774"/>
        <w:jc w:val="both"/>
        <w:rPr>
          <w:rFonts w:ascii="Arial" w:hAnsi="Arial" w:cs="Arial"/>
          <w:sz w:val="24"/>
          <w:szCs w:val="24"/>
        </w:rPr>
      </w:pPr>
    </w:p>
    <w:p w:rsidR="005F00BE" w:rsidRDefault="005F00BE" w:rsidP="00722DF4">
      <w:pPr>
        <w:spacing w:after="0"/>
        <w:jc w:val="both"/>
        <w:rPr>
          <w:rFonts w:ascii="Arial" w:hAnsi="Arial" w:cs="Arial"/>
          <w:sz w:val="24"/>
          <w:szCs w:val="24"/>
        </w:rPr>
      </w:pPr>
      <w:r w:rsidRPr="00722DF4">
        <w:rPr>
          <w:rFonts w:ascii="Arial" w:hAnsi="Arial" w:cs="Arial"/>
          <w:sz w:val="24"/>
          <w:szCs w:val="24"/>
        </w:rPr>
        <w:lastRenderedPageBreak/>
        <w:t>Promjena klime u Crnoj Gori javlja se kao posljedica globalnih klimatskih promjena, kao i varijabilnosti. Najjasnijipokazatelji su: značajan porast temperature vazduha, porast površinske temperature mora i srednjeg nivoa</w:t>
      </w:r>
      <w:r w:rsidR="00A204FD" w:rsidRPr="00722DF4">
        <w:rPr>
          <w:rFonts w:ascii="Arial" w:hAnsi="Arial" w:cs="Arial"/>
          <w:sz w:val="24"/>
          <w:szCs w:val="24"/>
        </w:rPr>
        <w:t xml:space="preserve"> </w:t>
      </w:r>
      <w:r w:rsidRPr="00722DF4">
        <w:rPr>
          <w:rFonts w:ascii="Arial" w:hAnsi="Arial" w:cs="Arial"/>
          <w:sz w:val="24"/>
          <w:szCs w:val="24"/>
        </w:rPr>
        <w:t>mora, promjene ekstremnih vremenskih i klimatskih događaja.</w:t>
      </w:r>
    </w:p>
    <w:p w:rsidR="008914BE" w:rsidRPr="00722DF4" w:rsidRDefault="008914BE" w:rsidP="00722DF4">
      <w:pPr>
        <w:spacing w:after="0"/>
        <w:jc w:val="both"/>
        <w:rPr>
          <w:rFonts w:ascii="Arial" w:hAnsi="Arial" w:cs="Arial"/>
          <w:sz w:val="24"/>
          <w:szCs w:val="24"/>
        </w:rPr>
      </w:pP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Do 2010. godine identifikovane su sljedeće promjene ekstremnih vremenskih i klimatskih događaja: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1. učestalije ekstremno visoke maksimalne i minimalne temperature;</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2. češći i duži toplotni talasi;</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3. veći broj vrlo toplih dana i noći;</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4. manji broj mraznih dana i vrlo hladnih dana i noći;</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5. češća pojava suša;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6. veći broj šumskih požara;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7. prekid sušnog perioda praćen jakim padavinama;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8. češće pojavljivanje oluja (ciklona) tokom hladnije polovine godine;</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9. smanjenje broja uzastopnih dana s kišom;</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10. smanjenje broja dana s jakim padavinama;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11. povećanje intenziteta padavina;</w:t>
      </w:r>
    </w:p>
    <w:p w:rsidR="00CB21D4" w:rsidRDefault="00CB21D4" w:rsidP="00722DF4">
      <w:pPr>
        <w:spacing w:after="0"/>
        <w:jc w:val="both"/>
        <w:rPr>
          <w:rFonts w:ascii="Arial" w:hAnsi="Arial" w:cs="Arial"/>
          <w:sz w:val="24"/>
          <w:szCs w:val="24"/>
        </w:rPr>
      </w:pPr>
      <w:r w:rsidRPr="00722DF4">
        <w:rPr>
          <w:rFonts w:ascii="Arial" w:hAnsi="Arial" w:cs="Arial"/>
          <w:sz w:val="24"/>
          <w:szCs w:val="24"/>
        </w:rPr>
        <w:t>12. smanjenje ukupne godišnje količine snijega.</w:t>
      </w:r>
    </w:p>
    <w:p w:rsidR="008914BE" w:rsidRPr="00722DF4" w:rsidRDefault="008914BE" w:rsidP="00722DF4">
      <w:pPr>
        <w:spacing w:after="0"/>
        <w:jc w:val="both"/>
        <w:rPr>
          <w:rFonts w:ascii="Arial" w:hAnsi="Arial" w:cs="Arial"/>
          <w:sz w:val="24"/>
          <w:szCs w:val="24"/>
        </w:rPr>
      </w:pP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 xml:space="preserve">Prema raspoloživim podacima o temperaturi površine mora (sa </w:t>
      </w:r>
      <w:r w:rsidR="009016AF">
        <w:rPr>
          <w:rFonts w:ascii="Arial" w:hAnsi="Arial" w:cs="Arial"/>
          <w:sz w:val="24"/>
          <w:szCs w:val="24"/>
        </w:rPr>
        <w:t>stanice u Baru), za period 1980-</w:t>
      </w:r>
      <w:r w:rsidRPr="00722DF4">
        <w:rPr>
          <w:rFonts w:ascii="Arial" w:hAnsi="Arial" w:cs="Arial"/>
          <w:sz w:val="24"/>
          <w:szCs w:val="24"/>
        </w:rPr>
        <w:t>2012, i o nivou</w:t>
      </w:r>
      <w:r w:rsidR="00A204FD" w:rsidRPr="00722DF4">
        <w:rPr>
          <w:rFonts w:ascii="Arial" w:hAnsi="Arial" w:cs="Arial"/>
          <w:sz w:val="24"/>
          <w:szCs w:val="24"/>
        </w:rPr>
        <w:t xml:space="preserve"> </w:t>
      </w:r>
      <w:r w:rsidR="009016AF">
        <w:rPr>
          <w:rFonts w:ascii="Arial" w:hAnsi="Arial" w:cs="Arial"/>
          <w:sz w:val="24"/>
          <w:szCs w:val="24"/>
        </w:rPr>
        <w:t>mora, za period 1965-</w:t>
      </w:r>
      <w:r w:rsidRPr="00722DF4">
        <w:rPr>
          <w:rFonts w:ascii="Arial" w:hAnsi="Arial" w:cs="Arial"/>
          <w:sz w:val="24"/>
          <w:szCs w:val="24"/>
        </w:rPr>
        <w:t>2011:</w:t>
      </w:r>
    </w:p>
    <w:p w:rsidR="00CB21D4" w:rsidRPr="00722DF4" w:rsidRDefault="00CB21D4" w:rsidP="00663F7F">
      <w:pPr>
        <w:pStyle w:val="ColorfulList-Accent11"/>
        <w:numPr>
          <w:ilvl w:val="0"/>
          <w:numId w:val="15"/>
        </w:numPr>
        <w:spacing w:after="0"/>
        <w:jc w:val="both"/>
        <w:rPr>
          <w:rFonts w:ascii="Arial" w:hAnsi="Arial" w:cs="Arial"/>
          <w:sz w:val="24"/>
          <w:szCs w:val="24"/>
        </w:rPr>
      </w:pPr>
      <w:r w:rsidRPr="00722DF4">
        <w:rPr>
          <w:rFonts w:ascii="Arial" w:hAnsi="Arial" w:cs="Arial"/>
          <w:sz w:val="24"/>
          <w:szCs w:val="24"/>
        </w:rPr>
        <w:t>temperatura površine mora raste za oko + 0.02°C godišnje;</w:t>
      </w:r>
    </w:p>
    <w:p w:rsidR="00CB21D4" w:rsidRPr="00722DF4" w:rsidRDefault="00CB21D4" w:rsidP="00663F7F">
      <w:pPr>
        <w:pStyle w:val="ColorfulList-Accent11"/>
        <w:numPr>
          <w:ilvl w:val="0"/>
          <w:numId w:val="15"/>
        </w:numPr>
        <w:spacing w:after="0"/>
        <w:jc w:val="both"/>
        <w:rPr>
          <w:rFonts w:ascii="Arial" w:hAnsi="Arial" w:cs="Arial"/>
          <w:sz w:val="24"/>
          <w:szCs w:val="24"/>
        </w:rPr>
      </w:pPr>
      <w:r w:rsidRPr="00722DF4">
        <w:rPr>
          <w:rFonts w:ascii="Arial" w:hAnsi="Arial" w:cs="Arial"/>
          <w:sz w:val="24"/>
          <w:szCs w:val="24"/>
        </w:rPr>
        <w:t>svake decenije je viša nego prethodne, a najviša je u posljednjoj deceniji, kada je srednja godišnja temperature iznosila 18.3°C;</w:t>
      </w:r>
    </w:p>
    <w:p w:rsidR="00CB21D4" w:rsidRDefault="00CB21D4" w:rsidP="00663F7F">
      <w:pPr>
        <w:pStyle w:val="ColorfulList-Accent11"/>
        <w:numPr>
          <w:ilvl w:val="0"/>
          <w:numId w:val="15"/>
        </w:numPr>
        <w:spacing w:after="0"/>
        <w:jc w:val="both"/>
        <w:rPr>
          <w:rFonts w:ascii="Arial" w:hAnsi="Arial" w:cs="Arial"/>
          <w:sz w:val="24"/>
          <w:szCs w:val="24"/>
        </w:rPr>
      </w:pPr>
      <w:r w:rsidRPr="00722DF4">
        <w:rPr>
          <w:rFonts w:ascii="Arial" w:hAnsi="Arial" w:cs="Arial"/>
          <w:sz w:val="24"/>
          <w:szCs w:val="24"/>
        </w:rPr>
        <w:t>nivo mora je u porastu, s malim promjenama od godine do godine tokom prve decenije 21. vijeka.</w:t>
      </w:r>
    </w:p>
    <w:p w:rsidR="008914BE" w:rsidRPr="00722DF4" w:rsidRDefault="008914BE" w:rsidP="008914BE">
      <w:pPr>
        <w:pStyle w:val="ColorfulList-Accent11"/>
        <w:spacing w:after="0"/>
        <w:jc w:val="both"/>
        <w:rPr>
          <w:rFonts w:ascii="Arial" w:hAnsi="Arial" w:cs="Arial"/>
          <w:sz w:val="24"/>
          <w:szCs w:val="24"/>
        </w:rPr>
      </w:pPr>
    </w:p>
    <w:p w:rsidR="00CB21D4" w:rsidRDefault="00CB21D4" w:rsidP="00722DF4">
      <w:pPr>
        <w:spacing w:after="0"/>
        <w:jc w:val="both"/>
        <w:rPr>
          <w:rFonts w:ascii="Arial" w:hAnsi="Arial" w:cs="Arial"/>
          <w:sz w:val="24"/>
          <w:szCs w:val="24"/>
        </w:rPr>
      </w:pPr>
      <w:r w:rsidRPr="00722DF4">
        <w:rPr>
          <w:rFonts w:ascii="Arial" w:hAnsi="Arial" w:cs="Arial"/>
          <w:sz w:val="24"/>
          <w:szCs w:val="24"/>
        </w:rPr>
        <w:t>Očekuje se da će klimatske promjene povećati frekvenciju i jačinu raznih tipova ekstremnih događaja, uključujući</w:t>
      </w:r>
      <w:r w:rsidR="00A204FD" w:rsidRPr="00722DF4">
        <w:rPr>
          <w:rFonts w:ascii="Arial" w:hAnsi="Arial" w:cs="Arial"/>
          <w:sz w:val="24"/>
          <w:szCs w:val="24"/>
        </w:rPr>
        <w:t xml:space="preserve"> </w:t>
      </w:r>
      <w:r w:rsidRPr="00722DF4">
        <w:rPr>
          <w:rFonts w:ascii="Arial" w:hAnsi="Arial" w:cs="Arial"/>
          <w:sz w:val="24"/>
          <w:szCs w:val="24"/>
        </w:rPr>
        <w:t>poplave, suše, šumske požare, oluje (tj. jako razvijene ciklone), olujne vjetrove, itd., i uticati na prirodu</w:t>
      </w:r>
      <w:r w:rsidR="00A204FD" w:rsidRPr="00722DF4">
        <w:rPr>
          <w:rFonts w:ascii="Arial" w:hAnsi="Arial" w:cs="Arial"/>
          <w:sz w:val="24"/>
          <w:szCs w:val="24"/>
        </w:rPr>
        <w:t xml:space="preserve"> </w:t>
      </w:r>
      <w:r w:rsidRPr="00722DF4">
        <w:rPr>
          <w:rFonts w:ascii="Arial" w:hAnsi="Arial" w:cs="Arial"/>
          <w:sz w:val="24"/>
          <w:szCs w:val="24"/>
        </w:rPr>
        <w:t>mnogih drugih hazarda koji nijesu direktno povezani s vremenskim uslovima (npr. klizišta).</w:t>
      </w:r>
      <w:r w:rsidR="00A204FD" w:rsidRPr="00722DF4">
        <w:rPr>
          <w:rFonts w:ascii="Arial" w:hAnsi="Arial" w:cs="Arial"/>
          <w:sz w:val="24"/>
          <w:szCs w:val="24"/>
        </w:rPr>
        <w:t xml:space="preserve"> </w:t>
      </w:r>
      <w:r w:rsidRPr="00722DF4">
        <w:rPr>
          <w:rFonts w:ascii="Arial" w:hAnsi="Arial" w:cs="Arial"/>
          <w:sz w:val="24"/>
          <w:szCs w:val="24"/>
        </w:rPr>
        <w:t>Na osnovu praćenja i ocjene klime u Crnoj Gori, kao i analize ekstrema, iz seta klimatskih indeksa odabrano je</w:t>
      </w:r>
      <w:r w:rsidR="00A204FD" w:rsidRPr="00722DF4">
        <w:rPr>
          <w:rFonts w:ascii="Arial" w:hAnsi="Arial" w:cs="Arial"/>
          <w:sz w:val="24"/>
          <w:szCs w:val="24"/>
        </w:rPr>
        <w:t xml:space="preserve"> </w:t>
      </w:r>
      <w:r w:rsidRPr="00722DF4">
        <w:rPr>
          <w:rFonts w:ascii="Arial" w:hAnsi="Arial" w:cs="Arial"/>
          <w:sz w:val="24"/>
          <w:szCs w:val="24"/>
        </w:rPr>
        <w:t>pet za temperaturu vazduha i tri za padavine. Ovi su indeksi analizirani u uslovima normalne klime, koja je vladala</w:t>
      </w:r>
      <w:r w:rsidR="00A204FD" w:rsidRPr="00722DF4">
        <w:rPr>
          <w:rFonts w:ascii="Arial" w:hAnsi="Arial" w:cs="Arial"/>
          <w:sz w:val="24"/>
          <w:szCs w:val="24"/>
        </w:rPr>
        <w:t xml:space="preserve"> </w:t>
      </w:r>
      <w:r w:rsidR="009016AF">
        <w:rPr>
          <w:rFonts w:ascii="Arial" w:hAnsi="Arial" w:cs="Arial"/>
          <w:sz w:val="24"/>
          <w:szCs w:val="24"/>
        </w:rPr>
        <w:t>u periodu 1961-</w:t>
      </w:r>
      <w:r w:rsidRPr="00722DF4">
        <w:rPr>
          <w:rFonts w:ascii="Arial" w:hAnsi="Arial" w:cs="Arial"/>
          <w:sz w:val="24"/>
          <w:szCs w:val="24"/>
        </w:rPr>
        <w:t>1990, i u uslovima projektovane klime, koja bi vladala pri scenarijima A1B i A2 (definisanimkao „srednji“, odnosno „visoki“ scenario – u odnosu na koncentraciju gasova s efektom staklene bašte), u periodima</w:t>
      </w:r>
      <w:r w:rsidR="00A204FD" w:rsidRPr="00722DF4">
        <w:rPr>
          <w:rFonts w:ascii="Arial" w:hAnsi="Arial" w:cs="Arial"/>
          <w:sz w:val="24"/>
          <w:szCs w:val="24"/>
        </w:rPr>
        <w:t xml:space="preserve"> </w:t>
      </w:r>
      <w:r w:rsidR="009016AF">
        <w:rPr>
          <w:rFonts w:ascii="Arial" w:hAnsi="Arial" w:cs="Arial"/>
          <w:sz w:val="24"/>
          <w:szCs w:val="24"/>
        </w:rPr>
        <w:t>2001-</w:t>
      </w:r>
      <w:r w:rsidR="00A204FD" w:rsidRPr="00722DF4">
        <w:rPr>
          <w:rFonts w:ascii="Arial" w:hAnsi="Arial" w:cs="Arial"/>
          <w:sz w:val="24"/>
          <w:szCs w:val="24"/>
        </w:rPr>
        <w:t>2030</w:t>
      </w:r>
      <w:r w:rsidR="009016AF">
        <w:rPr>
          <w:rFonts w:ascii="Arial" w:hAnsi="Arial" w:cs="Arial"/>
          <w:sz w:val="24"/>
          <w:szCs w:val="24"/>
        </w:rPr>
        <w:t xml:space="preserve"> i 2071-</w:t>
      </w:r>
      <w:r w:rsidR="00A204FD" w:rsidRPr="00722DF4">
        <w:rPr>
          <w:rFonts w:ascii="Arial" w:hAnsi="Arial" w:cs="Arial"/>
          <w:sz w:val="24"/>
          <w:szCs w:val="24"/>
        </w:rPr>
        <w:t>2100</w:t>
      </w:r>
      <w:r w:rsidRPr="00722DF4">
        <w:rPr>
          <w:rFonts w:ascii="Arial" w:hAnsi="Arial" w:cs="Arial"/>
          <w:sz w:val="24"/>
          <w:szCs w:val="24"/>
        </w:rPr>
        <w:t xml:space="preserve"> godine. U tim proračunima primijenjen je regionalni klimatski model EBU-POM.</w:t>
      </w:r>
    </w:p>
    <w:p w:rsidR="008914BE" w:rsidRPr="00722DF4" w:rsidRDefault="008914BE" w:rsidP="00722DF4">
      <w:pPr>
        <w:spacing w:after="0"/>
        <w:jc w:val="both"/>
        <w:rPr>
          <w:rFonts w:ascii="Arial" w:hAnsi="Arial" w:cs="Arial"/>
          <w:sz w:val="24"/>
          <w:szCs w:val="24"/>
        </w:rPr>
      </w:pPr>
    </w:p>
    <w:p w:rsidR="00CB21D4" w:rsidRDefault="00CB21D4" w:rsidP="00722DF4">
      <w:pPr>
        <w:spacing w:after="0"/>
        <w:jc w:val="both"/>
        <w:rPr>
          <w:rFonts w:ascii="Arial" w:hAnsi="Arial" w:cs="Arial"/>
          <w:sz w:val="24"/>
          <w:szCs w:val="24"/>
        </w:rPr>
      </w:pPr>
      <w:r w:rsidRPr="00722DF4">
        <w:rPr>
          <w:rFonts w:ascii="Arial" w:hAnsi="Arial" w:cs="Arial"/>
          <w:sz w:val="24"/>
          <w:szCs w:val="24"/>
        </w:rPr>
        <w:t>Na osnovu dobijenih rezultata analizirana je ranjivost sljedećih sektora: vodni resursi, obala i obalni pojas, poljoprivredai šumarstvo i zdravlje ljudi. Polazeći od činjenice da će klimatske promjene u budućnosti imati značajan</w:t>
      </w:r>
      <w:r w:rsidR="00A204FD" w:rsidRPr="00722DF4">
        <w:rPr>
          <w:rFonts w:ascii="Arial" w:hAnsi="Arial" w:cs="Arial"/>
          <w:sz w:val="24"/>
          <w:szCs w:val="24"/>
        </w:rPr>
        <w:t xml:space="preserve"> </w:t>
      </w:r>
      <w:r w:rsidRPr="00722DF4">
        <w:rPr>
          <w:rFonts w:ascii="Arial" w:hAnsi="Arial" w:cs="Arial"/>
          <w:sz w:val="24"/>
          <w:szCs w:val="24"/>
        </w:rPr>
        <w:t>uticaj na bilans i režim površinskih i podzemnih voda u Crnoj Gori, sprovedeno je nekoliko aktiv</w:t>
      </w:r>
      <w:r w:rsidR="009016AF">
        <w:rPr>
          <w:rFonts w:ascii="Arial" w:hAnsi="Arial" w:cs="Arial"/>
          <w:sz w:val="24"/>
          <w:szCs w:val="24"/>
        </w:rPr>
        <w:t xml:space="preserve">nosti vezanih za vodne resurse, </w:t>
      </w:r>
      <w:r w:rsidRPr="00722DF4">
        <w:rPr>
          <w:rFonts w:ascii="Arial" w:hAnsi="Arial" w:cs="Arial"/>
          <w:sz w:val="24"/>
          <w:szCs w:val="24"/>
        </w:rPr>
        <w:t>urađena je detaljna procjena sektora voda i predlog katastra voda u Crnoj Gori i analiziran uticaj</w:t>
      </w:r>
      <w:r w:rsidR="00A204FD" w:rsidRPr="00722DF4">
        <w:rPr>
          <w:rFonts w:ascii="Arial" w:hAnsi="Arial" w:cs="Arial"/>
          <w:sz w:val="24"/>
          <w:szCs w:val="24"/>
        </w:rPr>
        <w:t xml:space="preserve"> </w:t>
      </w:r>
      <w:r w:rsidRPr="00722DF4">
        <w:rPr>
          <w:rFonts w:ascii="Arial" w:hAnsi="Arial" w:cs="Arial"/>
          <w:sz w:val="24"/>
          <w:szCs w:val="24"/>
        </w:rPr>
        <w:t>klimatskih promjena na vodni režim rijeke Lim i rijeke Tare.</w:t>
      </w:r>
    </w:p>
    <w:p w:rsidR="008914BE" w:rsidRPr="00722DF4" w:rsidRDefault="008914BE" w:rsidP="00722DF4">
      <w:pPr>
        <w:spacing w:after="0"/>
        <w:jc w:val="both"/>
        <w:rPr>
          <w:rFonts w:ascii="Arial" w:hAnsi="Arial" w:cs="Arial"/>
          <w:sz w:val="24"/>
          <w:szCs w:val="24"/>
        </w:rPr>
      </w:pP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Na osnovu osmotrenih i projektovanih klimatskih promjena i ekstrema, može se zaključiti da je sektor poljoprivrede</w:t>
      </w:r>
      <w:r w:rsidR="009016AF">
        <w:rPr>
          <w:rFonts w:ascii="Arial" w:hAnsi="Arial" w:cs="Arial"/>
          <w:sz w:val="24"/>
          <w:szCs w:val="24"/>
        </w:rPr>
        <w:t xml:space="preserve"> </w:t>
      </w:r>
      <w:r w:rsidRPr="00722DF4">
        <w:rPr>
          <w:rFonts w:ascii="Arial" w:hAnsi="Arial" w:cs="Arial"/>
          <w:sz w:val="24"/>
          <w:szCs w:val="24"/>
        </w:rPr>
        <w:t>u Crnoj Gori ranjiv na: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1. Suše – zbog projektovanog porasta uzastopnih dana bez kiše, smanjenja ukupnih količina padavinai formiranja sušnije klime u budućnosti dolazi do erozije zemljišta i gubitka poljoprivrednih površina.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2. Pomjeranje vegetacionog perioda ka početku godine – zbog moguće pojave mrazeva, naročito uprvih 30 godina 21. vijeka. To može izazvati naglo zaustavljanje vegetacije i gubitak roda, osobito kod</w:t>
      </w:r>
      <w:r w:rsidR="00A204FD" w:rsidRPr="00722DF4">
        <w:rPr>
          <w:rFonts w:ascii="Arial" w:hAnsi="Arial" w:cs="Arial"/>
          <w:sz w:val="24"/>
          <w:szCs w:val="24"/>
        </w:rPr>
        <w:t xml:space="preserve"> </w:t>
      </w:r>
      <w:r w:rsidRPr="00722DF4">
        <w:rPr>
          <w:rFonts w:ascii="Arial" w:hAnsi="Arial" w:cs="Arial"/>
          <w:sz w:val="24"/>
          <w:szCs w:val="24"/>
        </w:rPr>
        <w:t>voćarskih kultura.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3. Porast toplih dana u toku godine, trajanje i učestalost toplotnih talasa – zbog mogućeg ubrzavanja</w:t>
      </w:r>
      <w:r w:rsidR="00A204FD" w:rsidRPr="00722DF4">
        <w:rPr>
          <w:rFonts w:ascii="Arial" w:hAnsi="Arial" w:cs="Arial"/>
          <w:sz w:val="24"/>
          <w:szCs w:val="24"/>
        </w:rPr>
        <w:t xml:space="preserve"> </w:t>
      </w:r>
      <w:r w:rsidRPr="00722DF4">
        <w:rPr>
          <w:rFonts w:ascii="Arial" w:hAnsi="Arial" w:cs="Arial"/>
          <w:sz w:val="24"/>
          <w:szCs w:val="24"/>
        </w:rPr>
        <w:t>aktivnosti štetočina i insekata.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4. Podizanje nivoa mora – zbog mogućeg plavljenja poljoprivrednih površina.</w:t>
      </w:r>
    </w:p>
    <w:p w:rsidR="008914BE" w:rsidRDefault="008914BE" w:rsidP="00722DF4">
      <w:pPr>
        <w:spacing w:after="0"/>
        <w:jc w:val="both"/>
        <w:rPr>
          <w:rFonts w:ascii="Arial" w:hAnsi="Arial" w:cs="Arial"/>
          <w:sz w:val="24"/>
          <w:szCs w:val="24"/>
        </w:rPr>
      </w:pP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Pojava i intenzitet požara zavise od klime koja vlada na određenom prostoru, odnosno u direktnoj su korelaciji</w:t>
      </w:r>
      <w:r w:rsidR="00A204FD" w:rsidRPr="00722DF4">
        <w:rPr>
          <w:rFonts w:ascii="Arial" w:hAnsi="Arial" w:cs="Arial"/>
          <w:sz w:val="24"/>
          <w:szCs w:val="24"/>
        </w:rPr>
        <w:t xml:space="preserve"> </w:t>
      </w:r>
      <w:r w:rsidRPr="00722DF4">
        <w:rPr>
          <w:rFonts w:ascii="Arial" w:hAnsi="Arial" w:cs="Arial"/>
          <w:sz w:val="24"/>
          <w:szCs w:val="24"/>
        </w:rPr>
        <w:t>s pojavom maksimalnih dnevnih temperatura i s dužinom trajanja sušnih perioda. Uzimajući u obzir ekološke</w:t>
      </w:r>
      <w:r w:rsidR="00A204FD" w:rsidRPr="00722DF4">
        <w:rPr>
          <w:rFonts w:ascii="Arial" w:hAnsi="Arial" w:cs="Arial"/>
          <w:sz w:val="24"/>
          <w:szCs w:val="24"/>
        </w:rPr>
        <w:t xml:space="preserve"> </w:t>
      </w:r>
      <w:r w:rsidRPr="00722DF4">
        <w:rPr>
          <w:rFonts w:ascii="Arial" w:hAnsi="Arial" w:cs="Arial"/>
          <w:sz w:val="24"/>
          <w:szCs w:val="24"/>
        </w:rPr>
        <w:t>i ekonomske štete, požari predstavljaju najveću prijetnju šumskim ekosistemima u Crnoj Gori. Iako trenutno</w:t>
      </w:r>
      <w:r w:rsidR="00A204FD" w:rsidRPr="00722DF4">
        <w:rPr>
          <w:rFonts w:ascii="Arial" w:hAnsi="Arial" w:cs="Arial"/>
          <w:sz w:val="24"/>
          <w:szCs w:val="24"/>
        </w:rPr>
        <w:t xml:space="preserve"> </w:t>
      </w:r>
      <w:r w:rsidRPr="00722DF4">
        <w:rPr>
          <w:rFonts w:ascii="Arial" w:hAnsi="Arial" w:cs="Arial"/>
          <w:sz w:val="24"/>
          <w:szCs w:val="24"/>
        </w:rPr>
        <w:t>njihov obim pokriva oko 0,5% ukupne površine šuma (na godišnjem nivou), požari bi u budućnosti mogli predstavljati</w:t>
      </w:r>
      <w:r w:rsidR="00A204FD" w:rsidRPr="00722DF4">
        <w:rPr>
          <w:rFonts w:ascii="Arial" w:hAnsi="Arial" w:cs="Arial"/>
          <w:sz w:val="24"/>
          <w:szCs w:val="24"/>
        </w:rPr>
        <w:t xml:space="preserve"> </w:t>
      </w:r>
      <w:r w:rsidRPr="00722DF4">
        <w:rPr>
          <w:rFonts w:ascii="Arial" w:hAnsi="Arial" w:cs="Arial"/>
          <w:sz w:val="24"/>
          <w:szCs w:val="24"/>
        </w:rPr>
        <w:t>ozbiljnu opasnost. To se naročito odnosi na južno šumsko područje, koje se prostire na primorju i gdjesu tereni krševiti i teško pristupačni za gašenje požara.</w:t>
      </w:r>
    </w:p>
    <w:p w:rsidR="008914BE" w:rsidRDefault="008914BE" w:rsidP="00722DF4">
      <w:pPr>
        <w:spacing w:after="0"/>
        <w:jc w:val="both"/>
        <w:rPr>
          <w:rFonts w:ascii="Arial" w:hAnsi="Arial" w:cs="Arial"/>
          <w:sz w:val="24"/>
          <w:szCs w:val="24"/>
        </w:rPr>
      </w:pP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Dvije su najvažnije preporuke koje proizilaze iz opsežnih analiza porasta nivoa mora u crnogorskom obalnom</w:t>
      </w:r>
      <w:r w:rsidR="00A204FD" w:rsidRPr="00722DF4">
        <w:rPr>
          <w:rFonts w:ascii="Arial" w:hAnsi="Arial" w:cs="Arial"/>
          <w:sz w:val="24"/>
          <w:szCs w:val="24"/>
        </w:rPr>
        <w:t xml:space="preserve"> </w:t>
      </w:r>
      <w:r w:rsidRPr="00722DF4">
        <w:rPr>
          <w:rFonts w:ascii="Arial" w:hAnsi="Arial" w:cs="Arial"/>
          <w:sz w:val="24"/>
          <w:szCs w:val="24"/>
        </w:rPr>
        <w:t>području, a odnose se na veličinu zone plavljenja i ranjivost crnogorske obale:</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1. Primijeniti, sada i u bliskoj budućnosti, scenario koji, u smislu obuhvata zone plavljenja terena, daje</w:t>
      </w:r>
      <w:r w:rsidR="00A204FD" w:rsidRPr="00722DF4">
        <w:rPr>
          <w:rFonts w:ascii="Arial" w:hAnsi="Arial" w:cs="Arial"/>
          <w:sz w:val="24"/>
          <w:szCs w:val="24"/>
        </w:rPr>
        <w:t xml:space="preserve"> </w:t>
      </w:r>
      <w:r w:rsidRPr="00722DF4">
        <w:rPr>
          <w:rFonts w:ascii="Arial" w:hAnsi="Arial" w:cs="Arial"/>
          <w:sz w:val="24"/>
          <w:szCs w:val="24"/>
        </w:rPr>
        <w:t>podizanje nivoa mora za 96 cm.</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2. Za potrebe ocjene ranjivosti područja, u smislu proširenja obalnog odmaka, najrealniji i najvjerovatniji</w:t>
      </w:r>
      <w:r w:rsidR="00A204FD" w:rsidRPr="00722DF4">
        <w:rPr>
          <w:rFonts w:ascii="Arial" w:hAnsi="Arial" w:cs="Arial"/>
          <w:sz w:val="24"/>
          <w:szCs w:val="24"/>
        </w:rPr>
        <w:t xml:space="preserve"> </w:t>
      </w:r>
      <w:r w:rsidRPr="00722DF4">
        <w:rPr>
          <w:rFonts w:ascii="Arial" w:hAnsi="Arial" w:cs="Arial"/>
          <w:sz w:val="24"/>
          <w:szCs w:val="24"/>
        </w:rPr>
        <w:t>scenario jeste projekcija podizanja nivoa mora, koja iznosi 62 cm do kraja 21. vijeka.</w:t>
      </w:r>
    </w:p>
    <w:p w:rsidR="00CB21D4" w:rsidRDefault="00CB21D4" w:rsidP="00722DF4">
      <w:pPr>
        <w:spacing w:after="0"/>
        <w:jc w:val="both"/>
        <w:rPr>
          <w:rFonts w:ascii="Arial" w:hAnsi="Arial" w:cs="Arial"/>
          <w:sz w:val="24"/>
          <w:szCs w:val="24"/>
        </w:rPr>
      </w:pPr>
      <w:r w:rsidRPr="00722DF4">
        <w:rPr>
          <w:rFonts w:ascii="Arial" w:hAnsi="Arial" w:cs="Arial"/>
          <w:sz w:val="24"/>
          <w:szCs w:val="24"/>
        </w:rPr>
        <w:t>Ove preporuke potrebno je primijeniti u svim prostornim planovima, uključujući i kratkoročno planiranje. To je</w:t>
      </w:r>
      <w:r w:rsidR="00A204FD" w:rsidRPr="00722DF4">
        <w:rPr>
          <w:rFonts w:ascii="Arial" w:hAnsi="Arial" w:cs="Arial"/>
          <w:sz w:val="24"/>
          <w:szCs w:val="24"/>
        </w:rPr>
        <w:t xml:space="preserve"> </w:t>
      </w:r>
      <w:r w:rsidRPr="00722DF4">
        <w:rPr>
          <w:rFonts w:ascii="Arial" w:hAnsi="Arial" w:cs="Arial"/>
          <w:sz w:val="24"/>
          <w:szCs w:val="24"/>
        </w:rPr>
        <w:t>posebno važno u kontekstu činjenice da je za planiranje urbanizacije relevantan najviši nivo pritiska na životnu</w:t>
      </w:r>
      <w:r w:rsidR="00A204FD" w:rsidRPr="00722DF4">
        <w:rPr>
          <w:rFonts w:ascii="Arial" w:hAnsi="Arial" w:cs="Arial"/>
          <w:sz w:val="24"/>
          <w:szCs w:val="24"/>
        </w:rPr>
        <w:t xml:space="preserve"> </w:t>
      </w:r>
      <w:r w:rsidRPr="00722DF4">
        <w:rPr>
          <w:rFonts w:ascii="Arial" w:hAnsi="Arial" w:cs="Arial"/>
          <w:sz w:val="24"/>
          <w:szCs w:val="24"/>
        </w:rPr>
        <w:t>sredinu.</w:t>
      </w:r>
    </w:p>
    <w:p w:rsidR="008914BE" w:rsidRPr="00722DF4" w:rsidRDefault="008914BE" w:rsidP="00722DF4">
      <w:pPr>
        <w:spacing w:after="0"/>
        <w:jc w:val="both"/>
        <w:rPr>
          <w:rFonts w:ascii="Arial" w:hAnsi="Arial" w:cs="Arial"/>
          <w:sz w:val="24"/>
          <w:szCs w:val="24"/>
        </w:rPr>
      </w:pP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Preporučene su adaptivne mjere po sektorima: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1. Vodni resursi – efikasno upravljanje vodama i vodni informacioni sistem.</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2. Poljoprivreda – uspostaviti fleksibilniji poljoprivredni sistem.</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3. Šumarstvo – sprovesti određene mjere u gazdovanju šumama.</w:t>
      </w:r>
    </w:p>
    <w:p w:rsidR="00CB21D4" w:rsidRPr="00722DF4" w:rsidRDefault="00CB21D4" w:rsidP="00722DF4">
      <w:pPr>
        <w:spacing w:after="0"/>
        <w:jc w:val="both"/>
        <w:rPr>
          <w:rFonts w:ascii="Arial" w:hAnsi="Arial" w:cs="Arial"/>
          <w:sz w:val="24"/>
          <w:szCs w:val="24"/>
        </w:rPr>
      </w:pPr>
      <w:r w:rsidRPr="00722DF4">
        <w:rPr>
          <w:rFonts w:ascii="Arial" w:hAnsi="Arial" w:cs="Arial"/>
          <w:sz w:val="24"/>
          <w:szCs w:val="24"/>
        </w:rPr>
        <w:t>4. Obala i obalno područje – preporuke u vezi sa veličinom zone plavljenja i ranjivošću crnogorske obale.</w:t>
      </w:r>
    </w:p>
    <w:p w:rsidR="00CB21D4" w:rsidRDefault="00CB21D4" w:rsidP="00722DF4">
      <w:pPr>
        <w:spacing w:after="0"/>
        <w:jc w:val="both"/>
        <w:rPr>
          <w:rFonts w:ascii="Arial" w:hAnsi="Arial" w:cs="Arial"/>
          <w:sz w:val="24"/>
          <w:szCs w:val="24"/>
        </w:rPr>
      </w:pPr>
      <w:r w:rsidRPr="00722DF4">
        <w:rPr>
          <w:rFonts w:ascii="Arial" w:hAnsi="Arial" w:cs="Arial"/>
          <w:sz w:val="24"/>
          <w:szCs w:val="24"/>
        </w:rPr>
        <w:t>5. Zdravlje – neophodna je implementacija biometeorološke prognoze, koja omogućava ranu najavu povoljnogili nepovoljnog uticaja određenih vremenskih prilika na ljude, naročito na hronične bolesnike</w:t>
      </w:r>
      <w:r w:rsidR="008914BE">
        <w:rPr>
          <w:rFonts w:ascii="Arial" w:hAnsi="Arial" w:cs="Arial"/>
          <w:sz w:val="24"/>
          <w:szCs w:val="24"/>
        </w:rPr>
        <w:t>.</w:t>
      </w:r>
    </w:p>
    <w:p w:rsidR="008914BE" w:rsidRPr="00722DF4" w:rsidRDefault="008914BE" w:rsidP="00722DF4">
      <w:pPr>
        <w:spacing w:after="0"/>
        <w:jc w:val="both"/>
        <w:rPr>
          <w:rFonts w:ascii="Arial" w:hAnsi="Arial" w:cs="Arial"/>
          <w:sz w:val="24"/>
          <w:szCs w:val="24"/>
        </w:rPr>
      </w:pPr>
    </w:p>
    <w:p w:rsidR="3B4348E7" w:rsidRDefault="005F00BE" w:rsidP="00722DF4">
      <w:pPr>
        <w:spacing w:after="0"/>
        <w:jc w:val="both"/>
        <w:rPr>
          <w:rFonts w:ascii="Arial" w:hAnsi="Arial" w:cs="Arial"/>
          <w:sz w:val="24"/>
          <w:szCs w:val="24"/>
        </w:rPr>
      </w:pPr>
      <w:r w:rsidRPr="00722DF4">
        <w:rPr>
          <w:rStyle w:val="Heading4Char"/>
          <w:rFonts w:ascii="Arial" w:eastAsia="Calibri" w:hAnsi="Arial" w:cs="Arial"/>
          <w:i/>
          <w:color w:val="auto"/>
          <w:szCs w:val="24"/>
        </w:rPr>
        <w:t>2.1.2.3</w:t>
      </w:r>
      <w:r w:rsidR="3B4348E7" w:rsidRPr="00722DF4">
        <w:rPr>
          <w:rStyle w:val="Heading4Char"/>
          <w:rFonts w:ascii="Arial" w:eastAsia="Calibri" w:hAnsi="Arial" w:cs="Arial"/>
          <w:i/>
          <w:color w:val="auto"/>
          <w:szCs w:val="24"/>
        </w:rPr>
        <w:t xml:space="preserve"> Emisije gasova staklene bašte (GHG</w:t>
      </w:r>
      <w:r w:rsidR="3B4348E7" w:rsidRPr="00722DF4">
        <w:rPr>
          <w:rFonts w:ascii="Arial" w:hAnsi="Arial" w:cs="Arial"/>
          <w:sz w:val="24"/>
          <w:szCs w:val="24"/>
        </w:rPr>
        <w:t xml:space="preserve">) </w:t>
      </w:r>
    </w:p>
    <w:p w:rsidR="00B61137" w:rsidRPr="00722DF4" w:rsidRDefault="00B61137" w:rsidP="00722DF4">
      <w:pPr>
        <w:spacing w:after="0"/>
        <w:jc w:val="both"/>
        <w:rPr>
          <w:rFonts w:ascii="Arial" w:hAnsi="Arial" w:cs="Arial"/>
          <w:sz w:val="24"/>
          <w:szCs w:val="24"/>
        </w:rPr>
      </w:pPr>
    </w:p>
    <w:p w:rsidR="3B4348E7" w:rsidRDefault="3B4348E7" w:rsidP="00722DF4">
      <w:pPr>
        <w:spacing w:after="0"/>
        <w:jc w:val="both"/>
        <w:rPr>
          <w:rFonts w:ascii="Arial" w:hAnsi="Arial" w:cs="Arial"/>
          <w:sz w:val="24"/>
          <w:szCs w:val="24"/>
        </w:rPr>
      </w:pPr>
      <w:r w:rsidRPr="00722DF4">
        <w:rPr>
          <w:rFonts w:ascii="Arial" w:hAnsi="Arial" w:cs="Arial"/>
          <w:sz w:val="24"/>
          <w:szCs w:val="24"/>
        </w:rPr>
        <w:t>Nacionalni Inventari gasova s efektom staklene bašte na područj</w:t>
      </w:r>
      <w:r w:rsidR="007A62EA" w:rsidRPr="00722DF4">
        <w:rPr>
          <w:rFonts w:ascii="Arial" w:hAnsi="Arial" w:cs="Arial"/>
          <w:sz w:val="24"/>
          <w:szCs w:val="24"/>
        </w:rPr>
        <w:t>u Crne Gore za period 1990−2013</w:t>
      </w:r>
      <w:r w:rsidRPr="00722DF4">
        <w:rPr>
          <w:rFonts w:ascii="Arial" w:hAnsi="Arial" w:cs="Arial"/>
          <w:sz w:val="24"/>
          <w:szCs w:val="24"/>
        </w:rPr>
        <w:t xml:space="preserve"> godine, pripremljeni su u okviru izrade Prvog dvogodišnjeg ažuriranja izvještaja prema Okvirnoj konvenciji Ujedinjenih nacija o klimatskim promjenama (FBUR). Prvi put primijenjena je metodologija Međuvladinog panela o klimatskim promjenama (IPCC) iz 2006. godine, što je zahtijevalo rekalkulaciju cijele istorijske serije (1990−2011. godine) inventara rađenog za potrebe Drugog nacionalnog izvještaja o klimatskim promjenama, prema metodologiji iz 1996. godine. Za pripremu inventara korišćen je programski alat Međuvladinog panela o klimatskim promjenama. Inventar GHG emisija je obuhvatio proračun emisija sljedećih direktnih GHG: ugljenik(IV)oksid (CO</w:t>
      </w:r>
      <w:r w:rsidRPr="00722DF4">
        <w:rPr>
          <w:rFonts w:ascii="Arial" w:hAnsi="Arial" w:cs="Arial"/>
          <w:sz w:val="24"/>
          <w:szCs w:val="24"/>
          <w:vertAlign w:val="subscript"/>
        </w:rPr>
        <w:t>2</w:t>
      </w:r>
      <w:r w:rsidRPr="00722DF4">
        <w:rPr>
          <w:rFonts w:ascii="Arial" w:hAnsi="Arial" w:cs="Arial"/>
          <w:sz w:val="24"/>
          <w:szCs w:val="24"/>
        </w:rPr>
        <w:t>), metan (CH</w:t>
      </w:r>
      <w:r w:rsidRPr="00722DF4">
        <w:rPr>
          <w:rFonts w:ascii="Arial" w:hAnsi="Arial" w:cs="Arial"/>
          <w:sz w:val="24"/>
          <w:szCs w:val="24"/>
          <w:vertAlign w:val="subscript"/>
        </w:rPr>
        <w:t>4</w:t>
      </w:r>
      <w:r w:rsidRPr="00722DF4">
        <w:rPr>
          <w:rFonts w:ascii="Arial" w:hAnsi="Arial" w:cs="Arial"/>
          <w:sz w:val="24"/>
          <w:szCs w:val="24"/>
        </w:rPr>
        <w:t>), azot(I)oksid (N</w:t>
      </w:r>
      <w:r w:rsidRPr="00722DF4">
        <w:rPr>
          <w:rFonts w:ascii="Arial" w:hAnsi="Arial" w:cs="Arial"/>
          <w:sz w:val="24"/>
          <w:szCs w:val="24"/>
          <w:vertAlign w:val="subscript"/>
        </w:rPr>
        <w:t>2</w:t>
      </w:r>
      <w:r w:rsidRPr="00722DF4">
        <w:rPr>
          <w:rFonts w:ascii="Arial" w:hAnsi="Arial" w:cs="Arial"/>
          <w:sz w:val="24"/>
          <w:szCs w:val="24"/>
        </w:rPr>
        <w:t>O), sintetičke gasove (fluorisana ugljenikova jedinjenja – HFC, PFC i sumpor(VI) fluorid - SF</w:t>
      </w:r>
      <w:r w:rsidRPr="00722DF4">
        <w:rPr>
          <w:rFonts w:ascii="Arial" w:hAnsi="Arial" w:cs="Arial"/>
          <w:sz w:val="24"/>
          <w:szCs w:val="24"/>
          <w:vertAlign w:val="subscript"/>
        </w:rPr>
        <w:t>6</w:t>
      </w:r>
      <w:r w:rsidRPr="00722DF4">
        <w:rPr>
          <w:rFonts w:ascii="Arial" w:hAnsi="Arial" w:cs="Arial"/>
          <w:sz w:val="24"/>
          <w:szCs w:val="24"/>
        </w:rPr>
        <w:t xml:space="preserve">). </w:t>
      </w:r>
    </w:p>
    <w:p w:rsidR="008914BE" w:rsidRPr="00722DF4" w:rsidRDefault="008914BE" w:rsidP="00722DF4">
      <w:pPr>
        <w:spacing w:after="0"/>
        <w:jc w:val="both"/>
        <w:rPr>
          <w:rFonts w:ascii="Arial" w:hAnsi="Arial" w:cs="Arial"/>
          <w:sz w:val="24"/>
          <w:szCs w:val="24"/>
        </w:rPr>
      </w:pP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Izvori i ponori emisija direktnih GHG podijeljeni su u šest glavnih sektora: </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1. Energetika </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2. Industrijski procesi </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3. Upotreba rastvarača </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4. Poljoprivreda </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5. Promjena korišćenju zemljišta i šumarstvo </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6. Otpad </w:t>
      </w:r>
    </w:p>
    <w:p w:rsidR="00140B29" w:rsidRDefault="00140B29" w:rsidP="00722DF4">
      <w:pPr>
        <w:spacing w:after="0"/>
        <w:jc w:val="both"/>
        <w:rPr>
          <w:rFonts w:ascii="Arial" w:hAnsi="Arial" w:cs="Arial"/>
          <w:sz w:val="24"/>
          <w:szCs w:val="24"/>
        </w:rPr>
      </w:pPr>
    </w:p>
    <w:p w:rsidR="00B61137" w:rsidRDefault="00B61137" w:rsidP="00722DF4">
      <w:pPr>
        <w:spacing w:after="0"/>
        <w:jc w:val="both"/>
        <w:rPr>
          <w:rFonts w:ascii="Arial" w:hAnsi="Arial" w:cs="Arial"/>
          <w:sz w:val="24"/>
          <w:szCs w:val="24"/>
        </w:rPr>
      </w:pPr>
    </w:p>
    <w:p w:rsidR="00B61137" w:rsidRDefault="00B61137" w:rsidP="00722DF4">
      <w:pPr>
        <w:spacing w:after="0"/>
        <w:jc w:val="both"/>
        <w:rPr>
          <w:rFonts w:ascii="Arial" w:hAnsi="Arial" w:cs="Arial"/>
          <w:sz w:val="24"/>
          <w:szCs w:val="24"/>
        </w:rPr>
      </w:pPr>
    </w:p>
    <w:p w:rsidR="00B61137" w:rsidRPr="00722DF4" w:rsidRDefault="00B61137" w:rsidP="00722DF4">
      <w:pPr>
        <w:spacing w:after="0"/>
        <w:jc w:val="both"/>
        <w:rPr>
          <w:rFonts w:ascii="Arial" w:hAnsi="Arial" w:cs="Arial"/>
          <w:sz w:val="24"/>
          <w:szCs w:val="24"/>
        </w:rPr>
      </w:pPr>
    </w:p>
    <w:p w:rsidR="3B4348E7" w:rsidRPr="00B61137" w:rsidRDefault="3B4348E7" w:rsidP="00722DF4">
      <w:pPr>
        <w:pStyle w:val="ColorfulList-Accent11"/>
        <w:numPr>
          <w:ilvl w:val="0"/>
          <w:numId w:val="1"/>
        </w:numPr>
        <w:spacing w:after="0"/>
        <w:jc w:val="both"/>
        <w:rPr>
          <w:rFonts w:ascii="Arial" w:hAnsi="Arial" w:cs="Arial"/>
          <w:sz w:val="24"/>
          <w:szCs w:val="24"/>
        </w:rPr>
      </w:pPr>
      <w:r w:rsidRPr="00722DF4">
        <w:rPr>
          <w:rFonts w:ascii="Arial" w:hAnsi="Arial" w:cs="Arial"/>
          <w:b/>
          <w:sz w:val="24"/>
          <w:szCs w:val="24"/>
        </w:rPr>
        <w:t>Ukupne CO</w:t>
      </w:r>
      <w:r w:rsidRPr="00722DF4">
        <w:rPr>
          <w:rFonts w:ascii="Arial" w:hAnsi="Arial" w:cs="Arial"/>
          <w:b/>
          <w:sz w:val="24"/>
          <w:szCs w:val="24"/>
          <w:vertAlign w:val="subscript"/>
        </w:rPr>
        <w:t>2</w:t>
      </w:r>
      <w:r w:rsidRPr="00722DF4">
        <w:rPr>
          <w:rFonts w:ascii="Arial" w:hAnsi="Arial" w:cs="Arial"/>
          <w:b/>
          <w:sz w:val="24"/>
          <w:szCs w:val="24"/>
        </w:rPr>
        <w:t>eq emisije</w:t>
      </w:r>
    </w:p>
    <w:p w:rsidR="00B61137" w:rsidRPr="00722DF4" w:rsidRDefault="00B61137" w:rsidP="00744115">
      <w:pPr>
        <w:pStyle w:val="ColorfulList-Accent11"/>
        <w:spacing w:after="0"/>
        <w:jc w:val="both"/>
        <w:rPr>
          <w:rFonts w:ascii="Arial" w:hAnsi="Arial" w:cs="Arial"/>
          <w:sz w:val="24"/>
          <w:szCs w:val="24"/>
        </w:rPr>
      </w:pPr>
    </w:p>
    <w:p w:rsidR="009361EE" w:rsidRDefault="3B4348E7" w:rsidP="00722DF4">
      <w:pPr>
        <w:spacing w:after="0"/>
        <w:jc w:val="both"/>
        <w:rPr>
          <w:rFonts w:ascii="Arial" w:hAnsi="Arial" w:cs="Arial"/>
          <w:sz w:val="24"/>
          <w:szCs w:val="24"/>
        </w:rPr>
      </w:pPr>
      <w:r w:rsidRPr="00722DF4">
        <w:rPr>
          <w:rFonts w:ascii="Arial" w:hAnsi="Arial" w:cs="Arial"/>
          <w:sz w:val="24"/>
          <w:szCs w:val="24"/>
        </w:rPr>
        <w:lastRenderedPageBreak/>
        <w:t>GHG emisije preračunate su na CO</w:t>
      </w:r>
      <w:r w:rsidRPr="00722DF4">
        <w:rPr>
          <w:rFonts w:ascii="Arial" w:hAnsi="Arial" w:cs="Arial"/>
          <w:sz w:val="24"/>
          <w:szCs w:val="24"/>
          <w:vertAlign w:val="subscript"/>
        </w:rPr>
        <w:t>2</w:t>
      </w:r>
      <w:r w:rsidRPr="00722DF4">
        <w:rPr>
          <w:rFonts w:ascii="Arial" w:hAnsi="Arial" w:cs="Arial"/>
          <w:sz w:val="24"/>
          <w:szCs w:val="24"/>
        </w:rPr>
        <w:t>eq u skladu sa smjernicama IPCC Drugog izvještaja o procjeni (SAR IPCC) gdje je potencijal globalnog zagrijavanja (GWP): CO</w:t>
      </w:r>
      <w:r w:rsidRPr="00722DF4">
        <w:rPr>
          <w:rFonts w:ascii="Arial" w:hAnsi="Arial" w:cs="Arial"/>
          <w:sz w:val="24"/>
          <w:szCs w:val="24"/>
          <w:vertAlign w:val="subscript"/>
        </w:rPr>
        <w:t>2</w:t>
      </w:r>
      <w:r w:rsidRPr="00722DF4">
        <w:rPr>
          <w:rFonts w:ascii="Arial" w:hAnsi="Arial" w:cs="Arial"/>
          <w:sz w:val="24"/>
          <w:szCs w:val="24"/>
        </w:rPr>
        <w:t xml:space="preserve"> -1, CH</w:t>
      </w:r>
      <w:r w:rsidRPr="00722DF4">
        <w:rPr>
          <w:rFonts w:ascii="Arial" w:hAnsi="Arial" w:cs="Arial"/>
          <w:sz w:val="24"/>
          <w:szCs w:val="24"/>
          <w:vertAlign w:val="subscript"/>
        </w:rPr>
        <w:t xml:space="preserve">4 </w:t>
      </w:r>
      <w:r w:rsidRPr="00722DF4">
        <w:rPr>
          <w:rFonts w:ascii="Arial" w:hAnsi="Arial" w:cs="Arial"/>
          <w:sz w:val="24"/>
          <w:szCs w:val="24"/>
        </w:rPr>
        <w:t>– 21, N</w:t>
      </w:r>
      <w:r w:rsidRPr="00722DF4">
        <w:rPr>
          <w:rFonts w:ascii="Arial" w:hAnsi="Arial" w:cs="Arial"/>
          <w:sz w:val="24"/>
          <w:szCs w:val="24"/>
          <w:vertAlign w:val="subscript"/>
        </w:rPr>
        <w:t>2</w:t>
      </w:r>
      <w:r w:rsidRPr="00722DF4">
        <w:rPr>
          <w:rFonts w:ascii="Arial" w:hAnsi="Arial" w:cs="Arial"/>
          <w:sz w:val="24"/>
          <w:szCs w:val="24"/>
        </w:rPr>
        <w:t>O - 310, CF</w:t>
      </w:r>
      <w:r w:rsidRPr="00722DF4">
        <w:rPr>
          <w:rFonts w:ascii="Arial" w:hAnsi="Arial" w:cs="Arial"/>
          <w:sz w:val="24"/>
          <w:szCs w:val="24"/>
          <w:vertAlign w:val="subscript"/>
        </w:rPr>
        <w:t xml:space="preserve">4 </w:t>
      </w:r>
      <w:r w:rsidRPr="00722DF4">
        <w:rPr>
          <w:rFonts w:ascii="Arial" w:hAnsi="Arial" w:cs="Arial"/>
          <w:sz w:val="24"/>
          <w:szCs w:val="24"/>
        </w:rPr>
        <w:t>- 6500, C</w:t>
      </w:r>
      <w:r w:rsidRPr="00722DF4">
        <w:rPr>
          <w:rFonts w:ascii="Arial" w:hAnsi="Arial" w:cs="Arial"/>
          <w:sz w:val="24"/>
          <w:szCs w:val="24"/>
          <w:vertAlign w:val="subscript"/>
        </w:rPr>
        <w:t>2</w:t>
      </w:r>
      <w:r w:rsidRPr="00722DF4">
        <w:rPr>
          <w:rFonts w:ascii="Arial" w:hAnsi="Arial" w:cs="Arial"/>
          <w:sz w:val="24"/>
          <w:szCs w:val="24"/>
        </w:rPr>
        <w:t>F</w:t>
      </w:r>
      <w:r w:rsidRPr="00722DF4">
        <w:rPr>
          <w:rFonts w:ascii="Arial" w:hAnsi="Arial" w:cs="Arial"/>
          <w:sz w:val="24"/>
          <w:szCs w:val="24"/>
          <w:vertAlign w:val="subscript"/>
        </w:rPr>
        <w:t xml:space="preserve">6 </w:t>
      </w:r>
      <w:r w:rsidRPr="00722DF4">
        <w:rPr>
          <w:rFonts w:ascii="Arial" w:hAnsi="Arial" w:cs="Arial"/>
          <w:sz w:val="24"/>
          <w:szCs w:val="24"/>
        </w:rPr>
        <w:t>- 9200 i SF</w:t>
      </w:r>
      <w:r w:rsidRPr="00722DF4">
        <w:rPr>
          <w:rFonts w:ascii="Arial" w:hAnsi="Arial" w:cs="Arial"/>
          <w:sz w:val="24"/>
          <w:szCs w:val="24"/>
          <w:vertAlign w:val="subscript"/>
        </w:rPr>
        <w:t xml:space="preserve">6 </w:t>
      </w:r>
      <w:r w:rsidRPr="00722DF4">
        <w:rPr>
          <w:rFonts w:ascii="Arial" w:hAnsi="Arial" w:cs="Arial"/>
          <w:sz w:val="24"/>
          <w:szCs w:val="24"/>
        </w:rPr>
        <w:t>- 23900.</w:t>
      </w:r>
    </w:p>
    <w:p w:rsidR="00B61137" w:rsidRPr="00744115" w:rsidRDefault="00B61137" w:rsidP="00722DF4">
      <w:pPr>
        <w:spacing w:after="0"/>
        <w:jc w:val="both"/>
        <w:rPr>
          <w:rFonts w:ascii="Arial" w:hAnsi="Arial" w:cs="Arial"/>
        </w:rPr>
      </w:pPr>
    </w:p>
    <w:p w:rsidR="3B4348E7" w:rsidRPr="008914BE" w:rsidRDefault="005A1861" w:rsidP="00722DF4">
      <w:pPr>
        <w:spacing w:after="0"/>
        <w:jc w:val="both"/>
        <w:rPr>
          <w:rFonts w:ascii="Arial" w:hAnsi="Arial" w:cs="Arial"/>
          <w:sz w:val="24"/>
          <w:szCs w:val="24"/>
        </w:rPr>
      </w:pPr>
      <w:r w:rsidRPr="00744115">
        <w:rPr>
          <w:rFonts w:ascii="Arial" w:hAnsi="Arial" w:cs="Arial"/>
          <w:b/>
        </w:rPr>
        <w:t>Tabela 2.5</w:t>
      </w:r>
      <w:r w:rsidR="3B4348E7" w:rsidRPr="00744115">
        <w:rPr>
          <w:rFonts w:ascii="Arial" w:hAnsi="Arial" w:cs="Arial"/>
          <w:b/>
        </w:rPr>
        <w:t>.</w:t>
      </w:r>
      <w:r w:rsidR="3B4348E7" w:rsidRPr="00B61137">
        <w:rPr>
          <w:rFonts w:ascii="Arial" w:hAnsi="Arial" w:cs="Arial"/>
          <w:i/>
          <w:sz w:val="24"/>
          <w:szCs w:val="24"/>
        </w:rPr>
        <w:t xml:space="preserve"> </w:t>
      </w:r>
      <w:r w:rsidR="3B4348E7" w:rsidRPr="00744115">
        <w:rPr>
          <w:rFonts w:ascii="Arial" w:hAnsi="Arial" w:cs="Arial"/>
        </w:rPr>
        <w:t>Ukupne GHG emisije izražene kao CO</w:t>
      </w:r>
      <w:r w:rsidR="3B4348E7" w:rsidRPr="00744115">
        <w:rPr>
          <w:rFonts w:ascii="Arial" w:hAnsi="Arial" w:cs="Arial"/>
          <w:vertAlign w:val="subscript"/>
        </w:rPr>
        <w:t>2</w:t>
      </w:r>
      <w:r w:rsidR="3B4348E7" w:rsidRPr="00744115">
        <w:rPr>
          <w:rFonts w:ascii="Arial" w:hAnsi="Arial" w:cs="Arial"/>
        </w:rPr>
        <w:t>eq po sektorima, za period 1990-2013. (Gg)</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1315"/>
        <w:gridCol w:w="1332"/>
        <w:gridCol w:w="1327"/>
        <w:gridCol w:w="1419"/>
        <w:gridCol w:w="1314"/>
        <w:gridCol w:w="1326"/>
        <w:gridCol w:w="1317"/>
      </w:tblGrid>
      <w:tr w:rsidR="3B4348E7" w:rsidRPr="008914BE" w:rsidTr="00CA2879">
        <w:tc>
          <w:tcPr>
            <w:tcW w:w="1337" w:type="dxa"/>
            <w:tcBorders>
              <w:bottom w:val="single" w:sz="12" w:space="0" w:color="95B3D7"/>
            </w:tcBorders>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 xml:space="preserve">Godina </w:t>
            </w:r>
          </w:p>
        </w:tc>
        <w:tc>
          <w:tcPr>
            <w:tcW w:w="1337" w:type="dxa"/>
            <w:tcBorders>
              <w:bottom w:val="single" w:sz="12" w:space="0" w:color="95B3D7"/>
            </w:tcBorders>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Energetika (Gg CO</w:t>
            </w:r>
            <w:r w:rsidRPr="008914BE">
              <w:rPr>
                <w:rFonts w:ascii="Arial" w:hAnsi="Arial" w:cs="Arial"/>
                <w:b/>
                <w:bCs/>
                <w:sz w:val="20"/>
                <w:szCs w:val="20"/>
                <w:vertAlign w:val="subscript"/>
              </w:rPr>
              <w:t>2</w:t>
            </w:r>
            <w:r w:rsidRPr="008914BE">
              <w:rPr>
                <w:rFonts w:ascii="Arial" w:hAnsi="Arial" w:cs="Arial"/>
                <w:b/>
                <w:bCs/>
                <w:sz w:val="20"/>
                <w:szCs w:val="20"/>
              </w:rPr>
              <w:t>eq)</w:t>
            </w:r>
          </w:p>
        </w:tc>
        <w:tc>
          <w:tcPr>
            <w:tcW w:w="1337" w:type="dxa"/>
            <w:tcBorders>
              <w:bottom w:val="single" w:sz="12" w:space="0" w:color="95B3D7"/>
            </w:tcBorders>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 xml:space="preserve">Indusijski procesi </w:t>
            </w:r>
          </w:p>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(Gg CO</w:t>
            </w:r>
            <w:r w:rsidRPr="008914BE">
              <w:rPr>
                <w:rFonts w:ascii="Arial" w:hAnsi="Arial" w:cs="Arial"/>
                <w:b/>
                <w:bCs/>
                <w:sz w:val="20"/>
                <w:szCs w:val="20"/>
                <w:vertAlign w:val="subscript"/>
              </w:rPr>
              <w:t>2</w:t>
            </w:r>
            <w:r w:rsidRPr="008914BE">
              <w:rPr>
                <w:rFonts w:ascii="Arial" w:hAnsi="Arial" w:cs="Arial"/>
                <w:b/>
                <w:bCs/>
                <w:sz w:val="20"/>
                <w:szCs w:val="20"/>
              </w:rPr>
              <w:t>eq)</w:t>
            </w:r>
          </w:p>
        </w:tc>
        <w:tc>
          <w:tcPr>
            <w:tcW w:w="1337" w:type="dxa"/>
            <w:tcBorders>
              <w:bottom w:val="single" w:sz="12" w:space="0" w:color="95B3D7"/>
            </w:tcBorders>
          </w:tcPr>
          <w:p w:rsidR="3B4348E7" w:rsidRPr="008914BE" w:rsidRDefault="3B4348E7" w:rsidP="00722DF4">
            <w:pPr>
              <w:spacing w:after="0"/>
              <w:ind w:left="-76"/>
              <w:jc w:val="both"/>
              <w:rPr>
                <w:rFonts w:ascii="Arial" w:hAnsi="Arial" w:cs="Arial"/>
                <w:b/>
                <w:bCs/>
                <w:sz w:val="20"/>
                <w:szCs w:val="20"/>
              </w:rPr>
            </w:pPr>
            <w:r w:rsidRPr="008914BE">
              <w:rPr>
                <w:rFonts w:ascii="Arial" w:hAnsi="Arial" w:cs="Arial"/>
                <w:b/>
                <w:bCs/>
                <w:sz w:val="20"/>
                <w:szCs w:val="20"/>
              </w:rPr>
              <w:t xml:space="preserve">Poljoprivreda i upotreba zemljišta </w:t>
            </w:r>
          </w:p>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(Gg CO</w:t>
            </w:r>
            <w:r w:rsidRPr="008914BE">
              <w:rPr>
                <w:rFonts w:ascii="Arial" w:hAnsi="Arial" w:cs="Arial"/>
                <w:b/>
                <w:bCs/>
                <w:sz w:val="20"/>
                <w:szCs w:val="20"/>
                <w:vertAlign w:val="subscript"/>
              </w:rPr>
              <w:t>2</w:t>
            </w:r>
            <w:r w:rsidRPr="008914BE">
              <w:rPr>
                <w:rFonts w:ascii="Arial" w:hAnsi="Arial" w:cs="Arial"/>
                <w:b/>
                <w:bCs/>
                <w:sz w:val="20"/>
                <w:szCs w:val="20"/>
              </w:rPr>
              <w:t>eq)</w:t>
            </w:r>
          </w:p>
        </w:tc>
        <w:tc>
          <w:tcPr>
            <w:tcW w:w="1337" w:type="dxa"/>
            <w:tcBorders>
              <w:bottom w:val="single" w:sz="12" w:space="0" w:color="95B3D7"/>
            </w:tcBorders>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 xml:space="preserve">Otpad </w:t>
            </w:r>
          </w:p>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(Gg  CO</w:t>
            </w:r>
            <w:r w:rsidRPr="008914BE">
              <w:rPr>
                <w:rFonts w:ascii="Arial" w:hAnsi="Arial" w:cs="Arial"/>
                <w:b/>
                <w:bCs/>
                <w:sz w:val="20"/>
                <w:szCs w:val="20"/>
                <w:vertAlign w:val="subscript"/>
              </w:rPr>
              <w:t>2</w:t>
            </w:r>
            <w:r w:rsidRPr="008914BE">
              <w:rPr>
                <w:rFonts w:ascii="Arial" w:hAnsi="Arial" w:cs="Arial"/>
                <w:b/>
                <w:bCs/>
                <w:sz w:val="20"/>
                <w:szCs w:val="20"/>
              </w:rPr>
              <w:t>eq)</w:t>
            </w:r>
          </w:p>
        </w:tc>
        <w:tc>
          <w:tcPr>
            <w:tcW w:w="1337" w:type="dxa"/>
            <w:tcBorders>
              <w:bottom w:val="single" w:sz="12" w:space="0" w:color="95B3D7"/>
            </w:tcBorders>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Ukupne emisije sa ponorima (Gg CO</w:t>
            </w:r>
            <w:r w:rsidRPr="008914BE">
              <w:rPr>
                <w:rFonts w:ascii="Arial" w:hAnsi="Arial" w:cs="Arial"/>
                <w:b/>
                <w:bCs/>
                <w:sz w:val="20"/>
                <w:szCs w:val="20"/>
                <w:vertAlign w:val="subscript"/>
              </w:rPr>
              <w:t>2</w:t>
            </w:r>
            <w:r w:rsidRPr="008914BE">
              <w:rPr>
                <w:rFonts w:ascii="Arial" w:hAnsi="Arial" w:cs="Arial"/>
                <w:b/>
                <w:bCs/>
                <w:sz w:val="20"/>
                <w:szCs w:val="20"/>
              </w:rPr>
              <w:t>eq)</w:t>
            </w:r>
          </w:p>
        </w:tc>
        <w:tc>
          <w:tcPr>
            <w:tcW w:w="1337" w:type="dxa"/>
            <w:tcBorders>
              <w:bottom w:val="single" w:sz="12" w:space="0" w:color="95B3D7"/>
            </w:tcBorders>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 xml:space="preserve">Ukupne emisije bez ponora </w:t>
            </w:r>
          </w:p>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(Gg CO</w:t>
            </w:r>
            <w:r w:rsidRPr="008914BE">
              <w:rPr>
                <w:rFonts w:ascii="Arial" w:hAnsi="Arial" w:cs="Arial"/>
                <w:b/>
                <w:bCs/>
                <w:sz w:val="20"/>
                <w:szCs w:val="20"/>
                <w:vertAlign w:val="subscript"/>
              </w:rPr>
              <w:t>2</w:t>
            </w:r>
            <w:r w:rsidRPr="008914BE">
              <w:rPr>
                <w:rFonts w:ascii="Arial" w:hAnsi="Arial" w:cs="Arial"/>
                <w:b/>
                <w:bCs/>
                <w:sz w:val="20"/>
                <w:szCs w:val="20"/>
              </w:rPr>
              <w:t>eq)</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2352.61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2272.87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-987.83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19.618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3657.27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5238.52</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2450.28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2909.18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-691.16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34.97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4703.27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5985.49</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1809.33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1891.39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-1504.53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45.41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2235.27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4293.39</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1602.90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709.60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-1974.81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57.43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418.00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2923.52</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1428.09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94.12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-1946.76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68.97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-364.57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2121.89</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1995</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825.24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2272.87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-1263.66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80.39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1914.84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3742.74</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1842.40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294.48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-1592.61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91.69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635.96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2788.23</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1850.80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1547.59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-1855.69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105.17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1647.87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4043.37</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2259.86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1471.88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-1882.02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116.04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1965.76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4380.87</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1999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2332.16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1648.27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-1895.22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126.57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2211.78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4640.09</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2427.50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2046.92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-1921.70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136.79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2689.51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5156.55</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2013.42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2173.09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-1831.38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146.02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2501.15</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4847.49</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2517.68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2223.86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-2171.93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154.39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2724.00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5415.80</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2427.77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1846.00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-1771.35</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161.92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2664.34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4962.67</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2388.09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1665.62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-1367.44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168.61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2854.88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4726.41</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2005</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2200.89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1544.11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-1730.85</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174.48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2188.63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4278.82</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2356.22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1635.67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-1044.51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179.63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3127.01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4519.17</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2293.34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1769.81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-2042.20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184.25</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2205.20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4628.58</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2904.72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930.08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-1907.74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188.21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2115.27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4355.32</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2009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1979.14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572.38</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-2080.66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190.26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661.12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3009.31</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2010</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2725.54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722.66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-1725.92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193.65</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1915.93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3904.95</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2011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2768.15</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765.59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-1583.79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197.41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2147.36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4017.89</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2012</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2684.24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398.94</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-1754.26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200.49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1529.41</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3571.94</w:t>
            </w:r>
          </w:p>
        </w:tc>
      </w:tr>
      <w:tr w:rsidR="3B4348E7" w:rsidRPr="008914BE" w:rsidTr="00CA2879">
        <w:tc>
          <w:tcPr>
            <w:tcW w:w="1337" w:type="dxa"/>
          </w:tcPr>
          <w:p w:rsidR="3B4348E7" w:rsidRPr="008914BE" w:rsidRDefault="3B4348E7" w:rsidP="00722DF4">
            <w:pPr>
              <w:spacing w:after="0"/>
              <w:jc w:val="both"/>
              <w:rPr>
                <w:rFonts w:ascii="Arial" w:hAnsi="Arial" w:cs="Arial"/>
                <w:b/>
                <w:bCs/>
                <w:sz w:val="20"/>
                <w:szCs w:val="20"/>
              </w:rPr>
            </w:pPr>
            <w:r w:rsidRPr="008914BE">
              <w:rPr>
                <w:rFonts w:ascii="Arial" w:hAnsi="Arial" w:cs="Arial"/>
                <w:b/>
                <w:bCs/>
                <w:sz w:val="20"/>
                <w:szCs w:val="20"/>
              </w:rPr>
              <w:t>2013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2415.87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282.93</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-1941.39</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199.26</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956.67</w:t>
            </w:r>
          </w:p>
        </w:tc>
        <w:tc>
          <w:tcPr>
            <w:tcW w:w="1337" w:type="dxa"/>
          </w:tcPr>
          <w:p w:rsidR="3B4348E7" w:rsidRPr="008914BE" w:rsidRDefault="3B4348E7" w:rsidP="00722DF4">
            <w:pPr>
              <w:spacing w:after="0"/>
              <w:jc w:val="both"/>
              <w:rPr>
                <w:rFonts w:ascii="Arial" w:hAnsi="Arial" w:cs="Arial"/>
                <w:sz w:val="20"/>
                <w:szCs w:val="20"/>
              </w:rPr>
            </w:pPr>
            <w:r w:rsidRPr="008914BE">
              <w:rPr>
                <w:rFonts w:ascii="Arial" w:hAnsi="Arial" w:cs="Arial"/>
                <w:sz w:val="20"/>
                <w:szCs w:val="20"/>
              </w:rPr>
              <w:t>3178.28</w:t>
            </w:r>
          </w:p>
        </w:tc>
      </w:tr>
    </w:tbl>
    <w:p w:rsidR="3B4348E7" w:rsidRPr="00722DF4" w:rsidRDefault="3B4348E7" w:rsidP="00722DF4">
      <w:pPr>
        <w:spacing w:after="0"/>
        <w:jc w:val="both"/>
        <w:rPr>
          <w:rFonts w:ascii="Arial" w:hAnsi="Arial" w:cs="Arial"/>
          <w:sz w:val="24"/>
          <w:szCs w:val="24"/>
        </w:rPr>
      </w:pPr>
    </w:p>
    <w:p w:rsidR="3B4348E7" w:rsidRPr="00722DF4" w:rsidRDefault="00744115" w:rsidP="00722DF4">
      <w:pPr>
        <w:spacing w:after="0"/>
        <w:jc w:val="both"/>
        <w:rPr>
          <w:rFonts w:ascii="Arial" w:hAnsi="Arial" w:cs="Arial"/>
          <w:sz w:val="24"/>
          <w:szCs w:val="24"/>
        </w:rPr>
      </w:pPr>
      <w:r>
        <w:rPr>
          <w:rFonts w:ascii="Arial" w:hAnsi="Arial" w:cs="Arial"/>
          <w:sz w:val="24"/>
          <w:szCs w:val="24"/>
        </w:rPr>
        <w:t>Na slikama 2.4 i 2.5</w:t>
      </w:r>
      <w:r w:rsidR="3B4348E7" w:rsidRPr="00722DF4">
        <w:rPr>
          <w:rFonts w:ascii="Arial" w:hAnsi="Arial" w:cs="Arial"/>
          <w:sz w:val="24"/>
          <w:szCs w:val="24"/>
        </w:rPr>
        <w:t xml:space="preserve"> prikazane su ukupne GHG emisije, izražene kao CO</w:t>
      </w:r>
      <w:r w:rsidR="3B4348E7" w:rsidRPr="00722DF4">
        <w:rPr>
          <w:rFonts w:ascii="Arial" w:hAnsi="Arial" w:cs="Arial"/>
          <w:sz w:val="24"/>
          <w:szCs w:val="24"/>
          <w:vertAlign w:val="subscript"/>
        </w:rPr>
        <w:t>2</w:t>
      </w:r>
      <w:r w:rsidR="3B4348E7" w:rsidRPr="00722DF4">
        <w:rPr>
          <w:rFonts w:ascii="Arial" w:hAnsi="Arial" w:cs="Arial"/>
          <w:sz w:val="24"/>
          <w:szCs w:val="24"/>
        </w:rPr>
        <w:t>eq za period 1</w:t>
      </w:r>
      <w:r>
        <w:rPr>
          <w:rFonts w:ascii="Arial" w:hAnsi="Arial" w:cs="Arial"/>
          <w:sz w:val="24"/>
          <w:szCs w:val="24"/>
        </w:rPr>
        <w:t>990 - 2013. godina. Na slici 2.4</w:t>
      </w:r>
      <w:r w:rsidR="3B4348E7" w:rsidRPr="00722DF4">
        <w:rPr>
          <w:rFonts w:ascii="Arial" w:hAnsi="Arial" w:cs="Arial"/>
          <w:sz w:val="24"/>
          <w:szCs w:val="24"/>
        </w:rPr>
        <w:t xml:space="preserve"> prikazane su ukupne emisije uzimajući u obzir i njihove ponore, dok slika 2.</w:t>
      </w:r>
      <w:r>
        <w:rPr>
          <w:rFonts w:ascii="Arial" w:hAnsi="Arial" w:cs="Arial"/>
          <w:sz w:val="24"/>
          <w:szCs w:val="24"/>
        </w:rPr>
        <w:t>5</w:t>
      </w:r>
      <w:r w:rsidR="3B4348E7" w:rsidRPr="00722DF4">
        <w:rPr>
          <w:rFonts w:ascii="Arial" w:hAnsi="Arial" w:cs="Arial"/>
          <w:sz w:val="24"/>
          <w:szCs w:val="24"/>
        </w:rPr>
        <w:t xml:space="preserve"> prikazuje emisije bez ponora. Ukupne emisije s ponorima se kreću od -360.41 Gg CO</w:t>
      </w:r>
      <w:r w:rsidR="3B4348E7" w:rsidRPr="00722DF4">
        <w:rPr>
          <w:rFonts w:ascii="Arial" w:hAnsi="Arial" w:cs="Arial"/>
          <w:sz w:val="24"/>
          <w:szCs w:val="24"/>
          <w:vertAlign w:val="subscript"/>
        </w:rPr>
        <w:t>2</w:t>
      </w:r>
      <w:r w:rsidR="3B4348E7" w:rsidRPr="00722DF4">
        <w:rPr>
          <w:rFonts w:ascii="Arial" w:hAnsi="Arial" w:cs="Arial"/>
          <w:sz w:val="24"/>
          <w:szCs w:val="24"/>
        </w:rPr>
        <w:t>eq., 1994. godine do 4691.47 Gg, 1991. godine. Visoki nivoi ponora CO</w:t>
      </w:r>
      <w:r w:rsidR="3B4348E7" w:rsidRPr="00722DF4">
        <w:rPr>
          <w:rFonts w:ascii="Arial" w:hAnsi="Arial" w:cs="Arial"/>
          <w:sz w:val="24"/>
          <w:szCs w:val="24"/>
          <w:vertAlign w:val="subscript"/>
        </w:rPr>
        <w:t>2</w:t>
      </w:r>
      <w:r w:rsidR="3B4348E7" w:rsidRPr="00722DF4">
        <w:rPr>
          <w:rFonts w:ascii="Arial" w:hAnsi="Arial" w:cs="Arial"/>
          <w:sz w:val="24"/>
          <w:szCs w:val="24"/>
        </w:rPr>
        <w:t xml:space="preserve">eq posljedica su dobre pošumljenosti teritorije Crne Gore, dok je nizak nivo procijenjenih emisija iz poljoprivrede dijelom posljedica i nepotpuno procijenjenih emisija usljed nedostatka statističkih podataka. Ova činjenica kao i nepovoljna ekonomska kretanja i konstantni pad industrijske proizvodnje, rezultirali su relativno niskim nivoom emisija pojedinih godina u posmatranom periodu. Ukupne emisije gasova s efektom </w:t>
      </w:r>
      <w:r w:rsidR="3B4348E7" w:rsidRPr="00722DF4">
        <w:rPr>
          <w:rFonts w:ascii="Arial" w:hAnsi="Arial" w:cs="Arial"/>
          <w:sz w:val="24"/>
          <w:szCs w:val="24"/>
        </w:rPr>
        <w:lastRenderedPageBreak/>
        <w:t>staklene bašte (izuzimajući ponore emisija) prikazane kao CO</w:t>
      </w:r>
      <w:r w:rsidR="3B4348E7" w:rsidRPr="00722DF4">
        <w:rPr>
          <w:rFonts w:ascii="Arial" w:hAnsi="Arial" w:cs="Arial"/>
          <w:sz w:val="24"/>
          <w:szCs w:val="24"/>
          <w:vertAlign w:val="subscript"/>
        </w:rPr>
        <w:t>2</w:t>
      </w:r>
      <w:r w:rsidR="3B4348E7" w:rsidRPr="00722DF4">
        <w:rPr>
          <w:rFonts w:ascii="Arial" w:hAnsi="Arial" w:cs="Arial"/>
          <w:sz w:val="24"/>
          <w:szCs w:val="24"/>
        </w:rPr>
        <w:t>eq se kreću od 2126.04 Gg, 1994.godine do 5973.69 Gg, 1991.godine. na slici 2.4 prikazane su emisije CO</w:t>
      </w:r>
      <w:r w:rsidR="3B4348E7" w:rsidRPr="00722DF4">
        <w:rPr>
          <w:rFonts w:ascii="Arial" w:hAnsi="Arial" w:cs="Arial"/>
          <w:sz w:val="24"/>
          <w:szCs w:val="24"/>
          <w:vertAlign w:val="subscript"/>
        </w:rPr>
        <w:t>2</w:t>
      </w:r>
      <w:r w:rsidR="3B4348E7" w:rsidRPr="00722DF4">
        <w:rPr>
          <w:rFonts w:ascii="Arial" w:hAnsi="Arial" w:cs="Arial"/>
          <w:sz w:val="24"/>
          <w:szCs w:val="24"/>
        </w:rPr>
        <w:t>eq po sektorima za period 1990 - 2013. godina.</w:t>
      </w: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900420" cy="2061845"/>
            <wp:effectExtent l="19050" t="0" r="5080" b="0"/>
            <wp:docPr id="1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7" cstate="print"/>
                    <a:srcRect/>
                    <a:stretch>
                      <a:fillRect/>
                    </a:stretch>
                  </pic:blipFill>
                  <pic:spPr bwMode="auto">
                    <a:xfrm>
                      <a:off x="0" y="0"/>
                      <a:ext cx="5900420" cy="2061845"/>
                    </a:xfrm>
                    <a:prstGeom prst="rect">
                      <a:avLst/>
                    </a:prstGeom>
                    <a:noFill/>
                    <a:ln w="9525">
                      <a:noFill/>
                      <a:miter lim="800000"/>
                      <a:headEnd/>
                      <a:tailEnd/>
                    </a:ln>
                  </pic:spPr>
                </pic:pic>
              </a:graphicData>
            </a:graphic>
          </wp:inline>
        </w:drawing>
      </w:r>
    </w:p>
    <w:p w:rsidR="3B4348E7" w:rsidRPr="00744115" w:rsidRDefault="00CB21D4" w:rsidP="00722DF4">
      <w:pPr>
        <w:spacing w:after="0"/>
        <w:jc w:val="both"/>
        <w:rPr>
          <w:rFonts w:ascii="Arial" w:hAnsi="Arial" w:cs="Arial"/>
        </w:rPr>
      </w:pPr>
      <w:r w:rsidRPr="00744115">
        <w:rPr>
          <w:rFonts w:ascii="Arial" w:hAnsi="Arial" w:cs="Arial"/>
          <w:b/>
        </w:rPr>
        <w:t>Slika 2.4</w:t>
      </w:r>
      <w:r w:rsidR="3B4348E7" w:rsidRPr="00744115">
        <w:rPr>
          <w:rFonts w:ascii="Arial" w:hAnsi="Arial" w:cs="Arial"/>
          <w:b/>
        </w:rPr>
        <w:t xml:space="preserve">. </w:t>
      </w:r>
      <w:r w:rsidR="3B4348E7" w:rsidRPr="00744115">
        <w:rPr>
          <w:rFonts w:ascii="Arial" w:hAnsi="Arial" w:cs="Arial"/>
        </w:rPr>
        <w:t>Ukupne GHG emisije izražene kao CO</w:t>
      </w:r>
      <w:r w:rsidR="3B4348E7" w:rsidRPr="00744115">
        <w:rPr>
          <w:rFonts w:ascii="Arial" w:hAnsi="Arial" w:cs="Arial"/>
          <w:vertAlign w:val="subscript"/>
        </w:rPr>
        <w:t>2</w:t>
      </w:r>
      <w:r w:rsidR="3B4348E7" w:rsidRPr="00744115">
        <w:rPr>
          <w:rFonts w:ascii="Arial" w:hAnsi="Arial" w:cs="Arial"/>
        </w:rPr>
        <w:t>eq sa ponorima, 1990 – 2013. (Gg)</w:t>
      </w:r>
    </w:p>
    <w:p w:rsidR="00B61137" w:rsidRPr="00B61137" w:rsidRDefault="00B61137" w:rsidP="00722DF4">
      <w:pPr>
        <w:spacing w:after="0"/>
        <w:jc w:val="both"/>
        <w:rPr>
          <w:rFonts w:ascii="Arial" w:hAnsi="Arial" w:cs="Arial"/>
          <w:i/>
        </w:rPr>
      </w:pP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633085" cy="1984375"/>
            <wp:effectExtent l="19050" t="0" r="5715" b="0"/>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8" cstate="print"/>
                    <a:srcRect/>
                    <a:stretch>
                      <a:fillRect/>
                    </a:stretch>
                  </pic:blipFill>
                  <pic:spPr bwMode="auto">
                    <a:xfrm>
                      <a:off x="0" y="0"/>
                      <a:ext cx="5633085" cy="1984375"/>
                    </a:xfrm>
                    <a:prstGeom prst="rect">
                      <a:avLst/>
                    </a:prstGeom>
                    <a:noFill/>
                    <a:ln w="9525">
                      <a:noFill/>
                      <a:miter lim="800000"/>
                      <a:headEnd/>
                      <a:tailEnd/>
                    </a:ln>
                  </pic:spPr>
                </pic:pic>
              </a:graphicData>
            </a:graphic>
          </wp:inline>
        </w:drawing>
      </w:r>
    </w:p>
    <w:p w:rsidR="3B4348E7" w:rsidRDefault="00CB21D4" w:rsidP="00722DF4">
      <w:pPr>
        <w:spacing w:after="0"/>
        <w:jc w:val="both"/>
        <w:rPr>
          <w:rFonts w:ascii="Arial" w:hAnsi="Arial" w:cs="Arial"/>
        </w:rPr>
      </w:pPr>
      <w:r w:rsidRPr="00B61137">
        <w:rPr>
          <w:rFonts w:ascii="Arial" w:hAnsi="Arial" w:cs="Arial"/>
          <w:b/>
        </w:rPr>
        <w:t>Slika 2.5</w:t>
      </w:r>
      <w:r w:rsidR="3B4348E7" w:rsidRPr="00B61137">
        <w:rPr>
          <w:rFonts w:ascii="Arial" w:hAnsi="Arial" w:cs="Arial"/>
          <w:b/>
        </w:rPr>
        <w:t>.</w:t>
      </w:r>
      <w:r w:rsidR="3B4348E7" w:rsidRPr="00B61137">
        <w:rPr>
          <w:rFonts w:ascii="Arial" w:hAnsi="Arial" w:cs="Arial"/>
        </w:rPr>
        <w:t>Ukupne GHG emisije izražene kao CO</w:t>
      </w:r>
      <w:r w:rsidR="3B4348E7" w:rsidRPr="00B61137">
        <w:rPr>
          <w:rFonts w:ascii="Arial" w:hAnsi="Arial" w:cs="Arial"/>
          <w:vertAlign w:val="subscript"/>
        </w:rPr>
        <w:t>2</w:t>
      </w:r>
      <w:r w:rsidR="3B4348E7" w:rsidRPr="00B61137">
        <w:rPr>
          <w:rFonts w:ascii="Arial" w:hAnsi="Arial" w:cs="Arial"/>
        </w:rPr>
        <w:t>eq bez ponora, 1990 – 2013. (Gg)</w:t>
      </w:r>
    </w:p>
    <w:p w:rsidR="00B61137" w:rsidRPr="00B61137" w:rsidRDefault="00B61137" w:rsidP="00722DF4">
      <w:pPr>
        <w:spacing w:after="0"/>
        <w:jc w:val="both"/>
        <w:rPr>
          <w:rFonts w:ascii="Arial" w:hAnsi="Arial" w:cs="Arial"/>
        </w:rPr>
      </w:pP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727700" cy="2087880"/>
            <wp:effectExtent l="19050" t="0" r="6350" b="0"/>
            <wp:docPr id="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9" cstate="print"/>
                    <a:srcRect/>
                    <a:stretch>
                      <a:fillRect/>
                    </a:stretch>
                  </pic:blipFill>
                  <pic:spPr bwMode="auto">
                    <a:xfrm>
                      <a:off x="0" y="0"/>
                      <a:ext cx="5727700" cy="2087880"/>
                    </a:xfrm>
                    <a:prstGeom prst="rect">
                      <a:avLst/>
                    </a:prstGeom>
                    <a:noFill/>
                    <a:ln w="9525">
                      <a:noFill/>
                      <a:miter lim="800000"/>
                      <a:headEnd/>
                      <a:tailEnd/>
                    </a:ln>
                  </pic:spPr>
                </pic:pic>
              </a:graphicData>
            </a:graphic>
          </wp:inline>
        </w:drawing>
      </w:r>
    </w:p>
    <w:p w:rsidR="3B4348E7" w:rsidRPr="00B61137" w:rsidRDefault="00CB21D4" w:rsidP="00722DF4">
      <w:pPr>
        <w:spacing w:after="0"/>
        <w:jc w:val="both"/>
        <w:rPr>
          <w:rFonts w:ascii="Arial" w:hAnsi="Arial" w:cs="Arial"/>
        </w:rPr>
      </w:pPr>
      <w:r w:rsidRPr="00B61137">
        <w:rPr>
          <w:rFonts w:ascii="Arial" w:hAnsi="Arial" w:cs="Arial"/>
          <w:b/>
        </w:rPr>
        <w:t>Slika 2.6</w:t>
      </w:r>
      <w:r w:rsidR="3B4348E7" w:rsidRPr="00B61137">
        <w:rPr>
          <w:rFonts w:ascii="Arial" w:hAnsi="Arial" w:cs="Arial"/>
          <w:b/>
        </w:rPr>
        <w:t xml:space="preserve">. </w:t>
      </w:r>
      <w:r w:rsidR="3B4348E7" w:rsidRPr="00B61137">
        <w:rPr>
          <w:rFonts w:ascii="Arial" w:hAnsi="Arial" w:cs="Arial"/>
        </w:rPr>
        <w:t>GHG emisije izražene kao CO</w:t>
      </w:r>
      <w:r w:rsidR="3B4348E7" w:rsidRPr="00B61137">
        <w:rPr>
          <w:rFonts w:ascii="Arial" w:hAnsi="Arial" w:cs="Arial"/>
          <w:vertAlign w:val="subscript"/>
        </w:rPr>
        <w:t>2</w:t>
      </w:r>
      <w:r w:rsidR="3B4348E7" w:rsidRPr="00B61137">
        <w:rPr>
          <w:rFonts w:ascii="Arial" w:hAnsi="Arial" w:cs="Arial"/>
        </w:rPr>
        <w:t>eq po sektorima, 1990-2013. (Gg)</w:t>
      </w:r>
    </w:p>
    <w:p w:rsidR="00B61137" w:rsidRPr="00722DF4" w:rsidRDefault="00B61137" w:rsidP="00722DF4">
      <w:pPr>
        <w:spacing w:after="0"/>
        <w:jc w:val="both"/>
        <w:rPr>
          <w:rFonts w:ascii="Arial" w:hAnsi="Arial" w:cs="Arial"/>
          <w:sz w:val="24"/>
          <w:szCs w:val="24"/>
        </w:rPr>
      </w:pPr>
    </w:p>
    <w:p w:rsidR="3B4348E7" w:rsidRDefault="3B4348E7" w:rsidP="00722DF4">
      <w:pPr>
        <w:spacing w:after="0"/>
        <w:jc w:val="both"/>
        <w:rPr>
          <w:rFonts w:ascii="Arial" w:hAnsi="Arial" w:cs="Arial"/>
          <w:sz w:val="24"/>
          <w:szCs w:val="24"/>
        </w:rPr>
      </w:pPr>
      <w:r w:rsidRPr="00722DF4">
        <w:rPr>
          <w:rFonts w:ascii="Arial" w:hAnsi="Arial" w:cs="Arial"/>
          <w:sz w:val="24"/>
          <w:szCs w:val="24"/>
        </w:rPr>
        <w:lastRenderedPageBreak/>
        <w:t>Sektori energetike i industrijskih procesa imaju najveći udio u</w:t>
      </w:r>
      <w:r w:rsidR="007A62EA" w:rsidRPr="00722DF4">
        <w:rPr>
          <w:rFonts w:ascii="Arial" w:hAnsi="Arial" w:cs="Arial"/>
          <w:sz w:val="24"/>
          <w:szCs w:val="24"/>
        </w:rPr>
        <w:t xml:space="preserve"> ukupnim emisijama CO</w:t>
      </w:r>
      <w:r w:rsidR="007A62EA" w:rsidRPr="00722DF4">
        <w:rPr>
          <w:rFonts w:ascii="Arial" w:hAnsi="Arial" w:cs="Arial"/>
          <w:sz w:val="24"/>
          <w:szCs w:val="24"/>
          <w:vertAlign w:val="subscript"/>
        </w:rPr>
        <w:t>2</w:t>
      </w:r>
      <w:r w:rsidRPr="00722DF4">
        <w:rPr>
          <w:rFonts w:ascii="Arial" w:hAnsi="Arial" w:cs="Arial"/>
          <w:sz w:val="24"/>
          <w:szCs w:val="24"/>
        </w:rPr>
        <w:t>eq za posmatrani period. Shodno tome, u zavisnosti od potrošnje energenata, kao i nivoa industrijske proizvodnje bilježe se padovi i porasti procjenjenih emisija u posmatranom periodu. Udio emisija iz sektora energetike se kreće od 22.12% za 1995. godinu do 76.10% u 2013.godini. Udio emisije industrijskih procesa se kreće od 4.43% u 1994. do 60</w:t>
      </w:r>
      <w:r w:rsidR="007A62EA" w:rsidRPr="00722DF4">
        <w:rPr>
          <w:rFonts w:ascii="Arial" w:hAnsi="Arial" w:cs="Arial"/>
          <w:sz w:val="24"/>
          <w:szCs w:val="24"/>
        </w:rPr>
        <w:t>,91% u 1995. godini. Emisije CO</w:t>
      </w:r>
      <w:r w:rsidR="007A62EA" w:rsidRPr="00722DF4">
        <w:rPr>
          <w:rFonts w:ascii="Arial" w:hAnsi="Arial" w:cs="Arial"/>
          <w:sz w:val="24"/>
          <w:szCs w:val="24"/>
          <w:vertAlign w:val="subscript"/>
        </w:rPr>
        <w:t>2</w:t>
      </w:r>
      <w:r w:rsidRPr="00722DF4">
        <w:rPr>
          <w:rFonts w:ascii="Arial" w:hAnsi="Arial" w:cs="Arial"/>
          <w:sz w:val="24"/>
          <w:szCs w:val="24"/>
        </w:rPr>
        <w:t xml:space="preserve"> eq iz sektora poljoprivrede se kreću u rasponu od 6.54% u 2010. godini do 20.16% u 1994.godini, dok sektor otpada ima najmanji udio u ukupnim emisijama i kreće se od 0,38%, 1990.godine do 6.33%, 2009. godine.</w:t>
      </w:r>
    </w:p>
    <w:p w:rsidR="00107E20" w:rsidRPr="00722DF4" w:rsidRDefault="00107E20" w:rsidP="00722DF4">
      <w:pPr>
        <w:spacing w:after="0"/>
        <w:jc w:val="both"/>
        <w:rPr>
          <w:rFonts w:ascii="Arial" w:hAnsi="Arial" w:cs="Arial"/>
          <w:sz w:val="24"/>
          <w:szCs w:val="24"/>
        </w:rPr>
      </w:pPr>
    </w:p>
    <w:p w:rsidR="3B4348E7" w:rsidRDefault="3B4348E7" w:rsidP="00722DF4">
      <w:pPr>
        <w:spacing w:after="0"/>
        <w:jc w:val="both"/>
        <w:rPr>
          <w:rFonts w:ascii="Arial" w:hAnsi="Arial" w:cs="Arial"/>
          <w:sz w:val="24"/>
          <w:szCs w:val="24"/>
        </w:rPr>
      </w:pPr>
      <w:r w:rsidRPr="00722DF4">
        <w:rPr>
          <w:rFonts w:ascii="Arial" w:hAnsi="Arial" w:cs="Arial"/>
          <w:sz w:val="24"/>
          <w:szCs w:val="24"/>
        </w:rPr>
        <w:t>Najveći udio</w:t>
      </w:r>
      <w:r w:rsidR="007A62EA" w:rsidRPr="00722DF4">
        <w:rPr>
          <w:rFonts w:ascii="Arial" w:hAnsi="Arial" w:cs="Arial"/>
          <w:sz w:val="24"/>
          <w:szCs w:val="24"/>
        </w:rPr>
        <w:t xml:space="preserve"> u ukupnim GHG emisijama ima CO</w:t>
      </w:r>
      <w:r w:rsidR="007A62EA" w:rsidRPr="00722DF4">
        <w:rPr>
          <w:rFonts w:ascii="Arial" w:hAnsi="Arial" w:cs="Arial"/>
          <w:sz w:val="24"/>
          <w:szCs w:val="24"/>
          <w:vertAlign w:val="subscript"/>
        </w:rPr>
        <w:t>2</w:t>
      </w:r>
      <w:r w:rsidRPr="00722DF4">
        <w:rPr>
          <w:rFonts w:ascii="Arial" w:hAnsi="Arial" w:cs="Arial"/>
          <w:sz w:val="24"/>
          <w:szCs w:val="24"/>
        </w:rPr>
        <w:t xml:space="preserve"> (24.6-74.5%), slijede PFC (CF4 i C2F6) sa </w:t>
      </w:r>
      <w:r w:rsidR="007A62EA" w:rsidRPr="00722DF4">
        <w:rPr>
          <w:rFonts w:ascii="Arial" w:hAnsi="Arial" w:cs="Arial"/>
          <w:sz w:val="24"/>
          <w:szCs w:val="24"/>
        </w:rPr>
        <w:t>udjelom od 3% do 40.9%, udio CH</w:t>
      </w:r>
      <w:r w:rsidR="007A62EA" w:rsidRPr="00722DF4">
        <w:rPr>
          <w:rFonts w:ascii="Arial" w:hAnsi="Arial" w:cs="Arial"/>
          <w:sz w:val="24"/>
          <w:szCs w:val="24"/>
          <w:vertAlign w:val="subscript"/>
        </w:rPr>
        <w:t>4</w:t>
      </w:r>
      <w:r w:rsidRPr="00722DF4">
        <w:rPr>
          <w:rFonts w:ascii="Arial" w:hAnsi="Arial" w:cs="Arial"/>
          <w:sz w:val="24"/>
          <w:szCs w:val="24"/>
        </w:rPr>
        <w:t xml:space="preserve"> kret</w:t>
      </w:r>
      <w:r w:rsidR="007A62EA" w:rsidRPr="00722DF4">
        <w:rPr>
          <w:rFonts w:ascii="Arial" w:hAnsi="Arial" w:cs="Arial"/>
          <w:sz w:val="24"/>
          <w:szCs w:val="24"/>
        </w:rPr>
        <w:t>ao se od 10% do 27.5%, a udio N</w:t>
      </w:r>
      <w:r w:rsidR="007A62EA" w:rsidRPr="00722DF4">
        <w:rPr>
          <w:rFonts w:ascii="Arial" w:hAnsi="Arial" w:cs="Arial"/>
          <w:sz w:val="24"/>
          <w:szCs w:val="24"/>
          <w:vertAlign w:val="subscript"/>
        </w:rPr>
        <w:t>2</w:t>
      </w:r>
      <w:r w:rsidRPr="00722DF4">
        <w:rPr>
          <w:rFonts w:ascii="Arial" w:hAnsi="Arial" w:cs="Arial"/>
          <w:sz w:val="24"/>
          <w:szCs w:val="24"/>
        </w:rPr>
        <w:t>O je bio od 2.3% do 5.8 %. Najmanji udio u ukupnim emisijama imao je SF6 i on se kretao od 0.01% do 0.07%. Shodno podacima koji su bili na raspolaganju tokom rekalkulacije inventara procijenjene su emisije HFC (2012., 2013. godina) samo za podsektor 2.F. Upotreba alternativnih supstanci (2.F.1 – Frižideri i klima uređaji).</w:t>
      </w:r>
    </w:p>
    <w:p w:rsidR="00107E20" w:rsidRPr="00722DF4" w:rsidRDefault="00107E20" w:rsidP="00722DF4">
      <w:pPr>
        <w:spacing w:after="0"/>
        <w:jc w:val="both"/>
        <w:rPr>
          <w:rFonts w:ascii="Arial" w:hAnsi="Arial" w:cs="Arial"/>
          <w:sz w:val="24"/>
          <w:szCs w:val="24"/>
        </w:rPr>
      </w:pPr>
    </w:p>
    <w:p w:rsidR="3B4348E7" w:rsidRPr="00B61137" w:rsidRDefault="3B4348E7" w:rsidP="00722DF4">
      <w:pPr>
        <w:pStyle w:val="ColorfulList-Accent11"/>
        <w:numPr>
          <w:ilvl w:val="0"/>
          <w:numId w:val="2"/>
        </w:numPr>
        <w:spacing w:after="0"/>
        <w:jc w:val="both"/>
        <w:rPr>
          <w:rFonts w:ascii="Arial" w:hAnsi="Arial" w:cs="Arial"/>
          <w:sz w:val="24"/>
          <w:szCs w:val="24"/>
        </w:rPr>
      </w:pPr>
      <w:r w:rsidRPr="00722DF4">
        <w:rPr>
          <w:rFonts w:ascii="Arial" w:hAnsi="Arial" w:cs="Arial"/>
          <w:b/>
          <w:sz w:val="24"/>
          <w:szCs w:val="24"/>
        </w:rPr>
        <w:t>Ukupne CO</w:t>
      </w:r>
      <w:r w:rsidRPr="00B61137">
        <w:rPr>
          <w:rFonts w:ascii="Arial" w:hAnsi="Arial" w:cs="Arial"/>
          <w:b/>
          <w:sz w:val="24"/>
          <w:szCs w:val="24"/>
          <w:vertAlign w:val="subscript"/>
        </w:rPr>
        <w:t>2</w:t>
      </w:r>
      <w:r w:rsidRPr="00722DF4">
        <w:rPr>
          <w:rFonts w:ascii="Arial" w:hAnsi="Arial" w:cs="Arial"/>
          <w:b/>
          <w:sz w:val="24"/>
          <w:szCs w:val="24"/>
        </w:rPr>
        <w:t xml:space="preserve"> emisije </w:t>
      </w:r>
    </w:p>
    <w:p w:rsidR="00B61137" w:rsidRPr="00722DF4" w:rsidRDefault="00B61137" w:rsidP="00B61137">
      <w:pPr>
        <w:pStyle w:val="ColorfulList-Accent11"/>
        <w:spacing w:after="0"/>
        <w:jc w:val="both"/>
        <w:rPr>
          <w:rFonts w:ascii="Arial" w:hAnsi="Arial" w:cs="Arial"/>
          <w:sz w:val="24"/>
          <w:szCs w:val="24"/>
        </w:rPr>
      </w:pPr>
    </w:p>
    <w:p w:rsidR="3B4348E7" w:rsidRDefault="00744115" w:rsidP="00722DF4">
      <w:pPr>
        <w:spacing w:after="0"/>
        <w:jc w:val="both"/>
        <w:rPr>
          <w:rFonts w:ascii="Arial" w:hAnsi="Arial" w:cs="Arial"/>
          <w:sz w:val="24"/>
          <w:szCs w:val="24"/>
        </w:rPr>
      </w:pPr>
      <w:r>
        <w:rPr>
          <w:rFonts w:ascii="Arial" w:hAnsi="Arial" w:cs="Arial"/>
          <w:sz w:val="24"/>
          <w:szCs w:val="24"/>
        </w:rPr>
        <w:t>Na slici 2.7</w:t>
      </w:r>
      <w:r w:rsidR="3B4348E7" w:rsidRPr="00722DF4">
        <w:rPr>
          <w:rFonts w:ascii="Arial" w:hAnsi="Arial" w:cs="Arial"/>
          <w:sz w:val="24"/>
          <w:szCs w:val="24"/>
        </w:rPr>
        <w:t xml:space="preserve"> prikazane su ukupne emisije CO</w:t>
      </w:r>
      <w:r w:rsidR="3B4348E7" w:rsidRPr="00722DF4">
        <w:rPr>
          <w:rFonts w:ascii="Arial" w:hAnsi="Arial" w:cs="Arial"/>
          <w:sz w:val="24"/>
          <w:szCs w:val="24"/>
          <w:vertAlign w:val="subscript"/>
        </w:rPr>
        <w:t>2</w:t>
      </w:r>
      <w:r w:rsidR="3B4348E7" w:rsidRPr="00722DF4">
        <w:rPr>
          <w:rFonts w:ascii="Arial" w:hAnsi="Arial" w:cs="Arial"/>
          <w:sz w:val="24"/>
          <w:szCs w:val="24"/>
        </w:rPr>
        <w:t>. Za posmatrani period najveći udio u ukupnim CO</w:t>
      </w:r>
      <w:r w:rsidR="3B4348E7" w:rsidRPr="00722DF4">
        <w:rPr>
          <w:rFonts w:ascii="Arial" w:hAnsi="Arial" w:cs="Arial"/>
          <w:sz w:val="24"/>
          <w:szCs w:val="24"/>
          <w:vertAlign w:val="subscript"/>
        </w:rPr>
        <w:t>2</w:t>
      </w:r>
      <w:r w:rsidR="3B4348E7" w:rsidRPr="00722DF4">
        <w:rPr>
          <w:rFonts w:ascii="Arial" w:hAnsi="Arial" w:cs="Arial"/>
          <w:sz w:val="24"/>
          <w:szCs w:val="24"/>
        </w:rPr>
        <w:t xml:space="preserve"> emisijama im</w:t>
      </w:r>
      <w:r>
        <w:rPr>
          <w:rFonts w:ascii="Arial" w:hAnsi="Arial" w:cs="Arial"/>
          <w:sz w:val="24"/>
          <w:szCs w:val="24"/>
        </w:rPr>
        <w:t>ao je sektor energetike (76.8-</w:t>
      </w:r>
      <w:r w:rsidR="3B4348E7" w:rsidRPr="00722DF4">
        <w:rPr>
          <w:rFonts w:ascii="Arial" w:hAnsi="Arial" w:cs="Arial"/>
          <w:sz w:val="24"/>
          <w:szCs w:val="24"/>
        </w:rPr>
        <w:t>97.8%), dok je sektor ind</w:t>
      </w:r>
      <w:r>
        <w:rPr>
          <w:rFonts w:ascii="Arial" w:hAnsi="Arial" w:cs="Arial"/>
          <w:sz w:val="24"/>
          <w:szCs w:val="24"/>
        </w:rPr>
        <w:t>ustrije učestvovao sa 2.2-</w:t>
      </w:r>
      <w:r w:rsidR="3B4348E7" w:rsidRPr="00722DF4">
        <w:rPr>
          <w:rFonts w:ascii="Arial" w:hAnsi="Arial" w:cs="Arial"/>
          <w:sz w:val="24"/>
          <w:szCs w:val="24"/>
        </w:rPr>
        <w:t>9.4%.</w:t>
      </w:r>
    </w:p>
    <w:p w:rsidR="00107E20" w:rsidRPr="00722DF4" w:rsidRDefault="00107E20" w:rsidP="00722DF4">
      <w:pPr>
        <w:spacing w:after="0"/>
        <w:jc w:val="both"/>
        <w:rPr>
          <w:rFonts w:ascii="Arial" w:hAnsi="Arial" w:cs="Arial"/>
          <w:sz w:val="24"/>
          <w:szCs w:val="24"/>
        </w:rPr>
      </w:pP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943600" cy="2156460"/>
            <wp:effectExtent l="19050" t="0" r="0" b="0"/>
            <wp:docP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0" cstate="print"/>
                    <a:srcRect/>
                    <a:stretch>
                      <a:fillRect/>
                    </a:stretch>
                  </pic:blipFill>
                  <pic:spPr bwMode="auto">
                    <a:xfrm>
                      <a:off x="0" y="0"/>
                      <a:ext cx="5943600" cy="2156460"/>
                    </a:xfrm>
                    <a:prstGeom prst="rect">
                      <a:avLst/>
                    </a:prstGeom>
                    <a:noFill/>
                    <a:ln w="9525">
                      <a:noFill/>
                      <a:miter lim="800000"/>
                      <a:headEnd/>
                      <a:tailEnd/>
                    </a:ln>
                  </pic:spPr>
                </pic:pic>
              </a:graphicData>
            </a:graphic>
          </wp:inline>
        </w:drawing>
      </w:r>
    </w:p>
    <w:p w:rsidR="3B4348E7" w:rsidRDefault="00CB21D4" w:rsidP="00722DF4">
      <w:pPr>
        <w:spacing w:after="0"/>
        <w:jc w:val="both"/>
        <w:rPr>
          <w:rFonts w:ascii="Arial" w:hAnsi="Arial" w:cs="Arial"/>
        </w:rPr>
      </w:pPr>
      <w:r w:rsidRPr="00B61137">
        <w:rPr>
          <w:rFonts w:ascii="Arial" w:hAnsi="Arial" w:cs="Arial"/>
          <w:b/>
        </w:rPr>
        <w:t>Slika 2.7</w:t>
      </w:r>
      <w:r w:rsidR="3B4348E7" w:rsidRPr="00B61137">
        <w:rPr>
          <w:rFonts w:ascii="Arial" w:hAnsi="Arial" w:cs="Arial"/>
          <w:b/>
        </w:rPr>
        <w:t xml:space="preserve">. </w:t>
      </w:r>
      <w:r w:rsidR="3B4348E7" w:rsidRPr="00B61137">
        <w:rPr>
          <w:rFonts w:ascii="Arial" w:hAnsi="Arial" w:cs="Arial"/>
        </w:rPr>
        <w:t>Ukupne emisije CO</w:t>
      </w:r>
      <w:r w:rsidR="3B4348E7" w:rsidRPr="00B61137">
        <w:rPr>
          <w:rFonts w:ascii="Arial" w:hAnsi="Arial" w:cs="Arial"/>
          <w:vertAlign w:val="subscript"/>
        </w:rPr>
        <w:t>2</w:t>
      </w:r>
      <w:r w:rsidR="3B4348E7" w:rsidRPr="00B61137">
        <w:rPr>
          <w:rFonts w:ascii="Arial" w:hAnsi="Arial" w:cs="Arial"/>
        </w:rPr>
        <w:t xml:space="preserve"> po sektorima, 1990-2013. (Gg)</w:t>
      </w:r>
    </w:p>
    <w:p w:rsidR="00744115" w:rsidRPr="00B61137" w:rsidRDefault="00744115" w:rsidP="00722DF4">
      <w:pPr>
        <w:spacing w:after="0"/>
        <w:jc w:val="both"/>
        <w:rPr>
          <w:rFonts w:ascii="Arial" w:hAnsi="Arial" w:cs="Arial"/>
        </w:rPr>
      </w:pPr>
    </w:p>
    <w:p w:rsidR="00107E20" w:rsidRPr="00722DF4" w:rsidRDefault="00107E20" w:rsidP="00722DF4">
      <w:pPr>
        <w:spacing w:after="0"/>
        <w:jc w:val="both"/>
        <w:rPr>
          <w:rFonts w:ascii="Arial" w:hAnsi="Arial" w:cs="Arial"/>
          <w:sz w:val="24"/>
          <w:szCs w:val="24"/>
        </w:rPr>
      </w:pPr>
    </w:p>
    <w:p w:rsidR="3B4348E7" w:rsidRPr="00722DF4" w:rsidRDefault="3B4348E7" w:rsidP="00722DF4">
      <w:pPr>
        <w:pStyle w:val="ColorfulList-Accent11"/>
        <w:numPr>
          <w:ilvl w:val="0"/>
          <w:numId w:val="2"/>
        </w:numPr>
        <w:spacing w:after="0"/>
        <w:jc w:val="both"/>
        <w:rPr>
          <w:rFonts w:ascii="Arial" w:hAnsi="Arial" w:cs="Arial"/>
          <w:sz w:val="24"/>
          <w:szCs w:val="24"/>
        </w:rPr>
      </w:pPr>
      <w:r w:rsidRPr="00722DF4">
        <w:rPr>
          <w:rFonts w:ascii="Arial" w:hAnsi="Arial" w:cs="Arial"/>
          <w:b/>
          <w:sz w:val="24"/>
          <w:szCs w:val="24"/>
        </w:rPr>
        <w:t>Ukupne CH</w:t>
      </w:r>
      <w:r w:rsidRPr="00722DF4">
        <w:rPr>
          <w:rFonts w:ascii="Arial" w:hAnsi="Arial" w:cs="Arial"/>
          <w:b/>
          <w:sz w:val="24"/>
          <w:szCs w:val="24"/>
          <w:vertAlign w:val="subscript"/>
        </w:rPr>
        <w:t>4</w:t>
      </w:r>
      <w:r w:rsidRPr="00722DF4">
        <w:rPr>
          <w:rFonts w:ascii="Arial" w:hAnsi="Arial" w:cs="Arial"/>
          <w:b/>
          <w:sz w:val="24"/>
          <w:szCs w:val="24"/>
        </w:rPr>
        <w:t xml:space="preserve"> emisije </w:t>
      </w:r>
    </w:p>
    <w:p w:rsidR="3B4348E7" w:rsidRPr="00722DF4" w:rsidRDefault="00744115" w:rsidP="00722DF4">
      <w:pPr>
        <w:spacing w:after="0"/>
        <w:jc w:val="both"/>
        <w:rPr>
          <w:rFonts w:ascii="Arial" w:hAnsi="Arial" w:cs="Arial"/>
          <w:sz w:val="24"/>
          <w:szCs w:val="24"/>
        </w:rPr>
      </w:pPr>
      <w:r>
        <w:rPr>
          <w:rFonts w:ascii="Arial" w:hAnsi="Arial" w:cs="Arial"/>
          <w:sz w:val="24"/>
          <w:szCs w:val="24"/>
        </w:rPr>
        <w:t>Na slici 2.8</w:t>
      </w:r>
      <w:r w:rsidR="007A62EA" w:rsidRPr="00722DF4">
        <w:rPr>
          <w:rFonts w:ascii="Arial" w:hAnsi="Arial" w:cs="Arial"/>
          <w:sz w:val="24"/>
          <w:szCs w:val="24"/>
        </w:rPr>
        <w:t xml:space="preserve"> prikazane su ukupne emisije CH</w:t>
      </w:r>
      <w:r w:rsidR="007A62EA" w:rsidRPr="00722DF4">
        <w:rPr>
          <w:rFonts w:ascii="Arial" w:hAnsi="Arial" w:cs="Arial"/>
          <w:sz w:val="24"/>
          <w:szCs w:val="24"/>
          <w:vertAlign w:val="subscript"/>
        </w:rPr>
        <w:t>4</w:t>
      </w:r>
      <w:r w:rsidR="3B4348E7" w:rsidRPr="00722DF4">
        <w:rPr>
          <w:rFonts w:ascii="Arial" w:hAnsi="Arial" w:cs="Arial"/>
          <w:sz w:val="24"/>
          <w:szCs w:val="24"/>
        </w:rPr>
        <w:t>. Za posmatrani period najveći udio u ukupnim CH</w:t>
      </w:r>
      <w:r w:rsidR="3B4348E7" w:rsidRPr="00722DF4">
        <w:rPr>
          <w:rFonts w:ascii="Arial" w:hAnsi="Arial" w:cs="Arial"/>
          <w:sz w:val="24"/>
          <w:szCs w:val="24"/>
          <w:vertAlign w:val="subscript"/>
        </w:rPr>
        <w:t>4</w:t>
      </w:r>
      <w:r w:rsidR="3B4348E7" w:rsidRPr="00722DF4">
        <w:rPr>
          <w:rFonts w:ascii="Arial" w:hAnsi="Arial" w:cs="Arial"/>
          <w:sz w:val="24"/>
          <w:szCs w:val="24"/>
        </w:rPr>
        <w:t xml:space="preserve"> emisijama imao je sektor poljoprivrede (40.7</w:t>
      </w:r>
      <w:r>
        <w:rPr>
          <w:rFonts w:ascii="Arial" w:hAnsi="Arial" w:cs="Arial"/>
          <w:sz w:val="24"/>
          <w:szCs w:val="24"/>
        </w:rPr>
        <w:t>-</w:t>
      </w:r>
      <w:r w:rsidR="3B4348E7" w:rsidRPr="00722DF4">
        <w:rPr>
          <w:rFonts w:ascii="Arial" w:hAnsi="Arial" w:cs="Arial"/>
          <w:sz w:val="24"/>
          <w:szCs w:val="24"/>
        </w:rPr>
        <w:t xml:space="preserve">78.3%), sektor energetike </w:t>
      </w:r>
      <w:r w:rsidR="3B4348E7" w:rsidRPr="00722DF4">
        <w:rPr>
          <w:rFonts w:ascii="Arial" w:hAnsi="Arial" w:cs="Arial"/>
          <w:sz w:val="24"/>
          <w:szCs w:val="24"/>
        </w:rPr>
        <w:lastRenderedPageBreak/>
        <w:t>učestvovao je sa 11.6-22.4% dok je sektor otpad</w:t>
      </w:r>
      <w:r w:rsidR="007A62EA" w:rsidRPr="00722DF4">
        <w:rPr>
          <w:rFonts w:ascii="Arial" w:hAnsi="Arial" w:cs="Arial"/>
          <w:sz w:val="24"/>
          <w:szCs w:val="24"/>
        </w:rPr>
        <w:t xml:space="preserve"> doprinio u ukupni emisijama CH</w:t>
      </w:r>
      <w:r w:rsidR="007A62EA" w:rsidRPr="00722DF4">
        <w:rPr>
          <w:rFonts w:ascii="Arial" w:hAnsi="Arial" w:cs="Arial"/>
          <w:sz w:val="24"/>
          <w:szCs w:val="24"/>
          <w:vertAlign w:val="subscript"/>
        </w:rPr>
        <w:t>4</w:t>
      </w:r>
      <w:r>
        <w:rPr>
          <w:rFonts w:ascii="Arial" w:hAnsi="Arial" w:cs="Arial"/>
          <w:sz w:val="24"/>
          <w:szCs w:val="24"/>
        </w:rPr>
        <w:t xml:space="preserve"> sa 2.3-</w:t>
      </w:r>
      <w:r w:rsidR="3B4348E7" w:rsidRPr="00722DF4">
        <w:rPr>
          <w:rFonts w:ascii="Arial" w:hAnsi="Arial" w:cs="Arial"/>
          <w:sz w:val="24"/>
          <w:szCs w:val="24"/>
        </w:rPr>
        <w:t>37.6%.</w:t>
      </w: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770880" cy="2156460"/>
            <wp:effectExtent l="19050" t="0" r="1270" b="0"/>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1" cstate="print"/>
                    <a:srcRect/>
                    <a:stretch>
                      <a:fillRect/>
                    </a:stretch>
                  </pic:blipFill>
                  <pic:spPr bwMode="auto">
                    <a:xfrm>
                      <a:off x="0" y="0"/>
                      <a:ext cx="5770880" cy="2156460"/>
                    </a:xfrm>
                    <a:prstGeom prst="rect">
                      <a:avLst/>
                    </a:prstGeom>
                    <a:noFill/>
                    <a:ln w="9525">
                      <a:noFill/>
                      <a:miter lim="800000"/>
                      <a:headEnd/>
                      <a:tailEnd/>
                    </a:ln>
                  </pic:spPr>
                </pic:pic>
              </a:graphicData>
            </a:graphic>
          </wp:inline>
        </w:drawing>
      </w:r>
    </w:p>
    <w:p w:rsidR="3B4348E7" w:rsidRPr="00B61137" w:rsidRDefault="00CB21D4" w:rsidP="00722DF4">
      <w:pPr>
        <w:spacing w:after="0"/>
        <w:jc w:val="both"/>
        <w:rPr>
          <w:rFonts w:ascii="Arial" w:hAnsi="Arial" w:cs="Arial"/>
        </w:rPr>
      </w:pPr>
      <w:r w:rsidRPr="00B61137">
        <w:rPr>
          <w:rFonts w:ascii="Arial" w:hAnsi="Arial" w:cs="Arial"/>
          <w:b/>
        </w:rPr>
        <w:t>Slika 2.8</w:t>
      </w:r>
      <w:r w:rsidR="3B4348E7" w:rsidRPr="00B61137">
        <w:rPr>
          <w:rFonts w:ascii="Arial" w:hAnsi="Arial" w:cs="Arial"/>
          <w:b/>
        </w:rPr>
        <w:t xml:space="preserve">. </w:t>
      </w:r>
      <w:r w:rsidR="3B4348E7" w:rsidRPr="00B61137">
        <w:rPr>
          <w:rFonts w:ascii="Arial" w:hAnsi="Arial" w:cs="Arial"/>
        </w:rPr>
        <w:t>Ukupne emisije CH</w:t>
      </w:r>
      <w:r w:rsidR="3B4348E7" w:rsidRPr="00B61137">
        <w:rPr>
          <w:rFonts w:ascii="Arial" w:hAnsi="Arial" w:cs="Arial"/>
          <w:vertAlign w:val="subscript"/>
        </w:rPr>
        <w:t>4</w:t>
      </w:r>
      <w:r w:rsidR="00744115">
        <w:rPr>
          <w:rFonts w:ascii="Arial" w:hAnsi="Arial" w:cs="Arial"/>
        </w:rPr>
        <w:t xml:space="preserve"> po sektorima, 1990-2013</w:t>
      </w:r>
      <w:r w:rsidR="3B4348E7" w:rsidRPr="00B61137">
        <w:rPr>
          <w:rFonts w:ascii="Arial" w:hAnsi="Arial" w:cs="Arial"/>
        </w:rPr>
        <w:t xml:space="preserve"> (Gg)</w:t>
      </w:r>
    </w:p>
    <w:p w:rsidR="00107E20" w:rsidRPr="00722DF4" w:rsidRDefault="00107E20" w:rsidP="00722DF4">
      <w:pPr>
        <w:spacing w:after="0"/>
        <w:jc w:val="both"/>
        <w:rPr>
          <w:rFonts w:ascii="Arial" w:hAnsi="Arial" w:cs="Arial"/>
          <w:sz w:val="24"/>
          <w:szCs w:val="24"/>
        </w:rPr>
      </w:pPr>
    </w:p>
    <w:p w:rsidR="3B4348E7" w:rsidRPr="00722DF4" w:rsidRDefault="3B4348E7" w:rsidP="00722DF4">
      <w:pPr>
        <w:pStyle w:val="ColorfulList-Accent11"/>
        <w:numPr>
          <w:ilvl w:val="0"/>
          <w:numId w:val="2"/>
        </w:numPr>
        <w:spacing w:after="0"/>
        <w:jc w:val="both"/>
        <w:rPr>
          <w:rFonts w:ascii="Arial" w:hAnsi="Arial" w:cs="Arial"/>
          <w:sz w:val="24"/>
          <w:szCs w:val="24"/>
        </w:rPr>
      </w:pPr>
      <w:r w:rsidRPr="00722DF4">
        <w:rPr>
          <w:rFonts w:ascii="Arial" w:hAnsi="Arial" w:cs="Arial"/>
          <w:b/>
          <w:sz w:val="24"/>
          <w:szCs w:val="24"/>
        </w:rPr>
        <w:t>Ukupne N</w:t>
      </w:r>
      <w:r w:rsidRPr="00722DF4">
        <w:rPr>
          <w:rFonts w:ascii="Arial" w:hAnsi="Arial" w:cs="Arial"/>
          <w:b/>
          <w:sz w:val="24"/>
          <w:szCs w:val="24"/>
          <w:vertAlign w:val="subscript"/>
        </w:rPr>
        <w:t>2</w:t>
      </w:r>
      <w:r w:rsidRPr="00722DF4">
        <w:rPr>
          <w:rFonts w:ascii="Arial" w:hAnsi="Arial" w:cs="Arial"/>
          <w:b/>
          <w:sz w:val="24"/>
          <w:szCs w:val="24"/>
        </w:rPr>
        <w:t>O emisije</w:t>
      </w:r>
    </w:p>
    <w:p w:rsidR="3B4348E7" w:rsidRPr="00722DF4" w:rsidRDefault="00744115" w:rsidP="00722DF4">
      <w:pPr>
        <w:spacing w:after="0"/>
        <w:jc w:val="both"/>
        <w:rPr>
          <w:rFonts w:ascii="Arial" w:hAnsi="Arial" w:cs="Arial"/>
          <w:sz w:val="24"/>
          <w:szCs w:val="24"/>
        </w:rPr>
      </w:pPr>
      <w:r>
        <w:rPr>
          <w:rFonts w:ascii="Arial" w:hAnsi="Arial" w:cs="Arial"/>
          <w:sz w:val="24"/>
          <w:szCs w:val="24"/>
        </w:rPr>
        <w:t>Na slici 2.9</w:t>
      </w:r>
      <w:r w:rsidR="3B4348E7" w:rsidRPr="00722DF4">
        <w:rPr>
          <w:rFonts w:ascii="Arial" w:hAnsi="Arial" w:cs="Arial"/>
          <w:sz w:val="24"/>
          <w:szCs w:val="24"/>
        </w:rPr>
        <w:t xml:space="preserve"> prikazane su ukupne emisije N</w:t>
      </w:r>
      <w:r w:rsidR="3B4348E7" w:rsidRPr="00722DF4">
        <w:rPr>
          <w:rFonts w:ascii="Arial" w:hAnsi="Arial" w:cs="Arial"/>
          <w:sz w:val="24"/>
          <w:szCs w:val="24"/>
          <w:vertAlign w:val="subscript"/>
        </w:rPr>
        <w:t>2</w:t>
      </w:r>
      <w:r w:rsidR="3B4348E7" w:rsidRPr="00722DF4">
        <w:rPr>
          <w:rFonts w:ascii="Arial" w:hAnsi="Arial" w:cs="Arial"/>
          <w:sz w:val="24"/>
          <w:szCs w:val="24"/>
        </w:rPr>
        <w:t>O. za posmatrani period najveći udio u ukupnim N</w:t>
      </w:r>
      <w:r w:rsidR="3B4348E7" w:rsidRPr="00722DF4">
        <w:rPr>
          <w:rFonts w:ascii="Arial" w:hAnsi="Arial" w:cs="Arial"/>
          <w:sz w:val="24"/>
          <w:szCs w:val="24"/>
          <w:vertAlign w:val="subscript"/>
        </w:rPr>
        <w:t>2</w:t>
      </w:r>
      <w:r w:rsidR="3B4348E7" w:rsidRPr="00722DF4">
        <w:rPr>
          <w:rFonts w:ascii="Arial" w:hAnsi="Arial" w:cs="Arial"/>
          <w:sz w:val="24"/>
          <w:szCs w:val="24"/>
        </w:rPr>
        <w:t>O emisijama imao je sektor poljoprivrede (54.9 – 81.7%), sektor energetike učestvovao je sa 13.8-36% dok je sektor otpada doprinio u ukupnim emisijama N</w:t>
      </w:r>
      <w:r w:rsidR="3B4348E7" w:rsidRPr="00722DF4">
        <w:rPr>
          <w:rFonts w:ascii="Arial" w:hAnsi="Arial" w:cs="Arial"/>
          <w:sz w:val="24"/>
          <w:szCs w:val="24"/>
          <w:vertAlign w:val="subscript"/>
        </w:rPr>
        <w:t>2</w:t>
      </w:r>
      <w:r w:rsidR="3B4348E7" w:rsidRPr="00722DF4">
        <w:rPr>
          <w:rFonts w:ascii="Arial" w:hAnsi="Arial" w:cs="Arial"/>
          <w:sz w:val="24"/>
          <w:szCs w:val="24"/>
        </w:rPr>
        <w:t>O sa 4-9.1%.</w:t>
      </w:r>
    </w:p>
    <w:p w:rsidR="00B61137" w:rsidRDefault="001210F4" w:rsidP="00722DF4">
      <w:pPr>
        <w:spacing w:after="0"/>
        <w:jc w:val="both"/>
        <w:rPr>
          <w:rFonts w:ascii="Arial" w:hAnsi="Arial" w:cs="Arial"/>
          <w:noProof/>
          <w:sz w:val="24"/>
          <w:szCs w:val="24"/>
        </w:rPr>
      </w:pPr>
      <w:r>
        <w:rPr>
          <w:rFonts w:ascii="Arial" w:hAnsi="Arial" w:cs="Arial"/>
          <w:noProof/>
          <w:sz w:val="24"/>
          <w:szCs w:val="24"/>
        </w:rPr>
        <w:drawing>
          <wp:inline distT="0" distB="0" distL="0" distR="0">
            <wp:extent cx="5788025" cy="2536190"/>
            <wp:effectExtent l="19050" t="0" r="3175" b="0"/>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2" cstate="print"/>
                    <a:srcRect/>
                    <a:stretch>
                      <a:fillRect/>
                    </a:stretch>
                  </pic:blipFill>
                  <pic:spPr bwMode="auto">
                    <a:xfrm>
                      <a:off x="0" y="0"/>
                      <a:ext cx="5788025" cy="2536190"/>
                    </a:xfrm>
                    <a:prstGeom prst="rect">
                      <a:avLst/>
                    </a:prstGeom>
                    <a:noFill/>
                    <a:ln w="9525">
                      <a:noFill/>
                      <a:miter lim="800000"/>
                      <a:headEnd/>
                      <a:tailEnd/>
                    </a:ln>
                  </pic:spPr>
                </pic:pic>
              </a:graphicData>
            </a:graphic>
          </wp:inline>
        </w:drawing>
      </w:r>
    </w:p>
    <w:p w:rsidR="3B4348E7" w:rsidRPr="00B61137" w:rsidRDefault="00CB21D4" w:rsidP="00722DF4">
      <w:pPr>
        <w:spacing w:after="0"/>
        <w:jc w:val="both"/>
        <w:rPr>
          <w:rFonts w:ascii="Arial" w:hAnsi="Arial" w:cs="Arial"/>
        </w:rPr>
      </w:pPr>
      <w:r w:rsidRPr="00B61137">
        <w:rPr>
          <w:rFonts w:ascii="Arial" w:hAnsi="Arial" w:cs="Arial"/>
          <w:b/>
        </w:rPr>
        <w:t>Slika 2.9</w:t>
      </w:r>
      <w:r w:rsidR="2966677B" w:rsidRPr="00B61137">
        <w:rPr>
          <w:rFonts w:ascii="Arial" w:hAnsi="Arial" w:cs="Arial"/>
          <w:b/>
        </w:rPr>
        <w:t>.</w:t>
      </w:r>
      <w:r w:rsidR="2966677B" w:rsidRPr="00B61137">
        <w:rPr>
          <w:rFonts w:ascii="Arial" w:hAnsi="Arial" w:cs="Arial"/>
        </w:rPr>
        <w:t>Ukupne emisije N</w:t>
      </w:r>
      <w:r w:rsidR="2966677B" w:rsidRPr="00B61137">
        <w:rPr>
          <w:rFonts w:ascii="Arial" w:hAnsi="Arial" w:cs="Arial"/>
          <w:vertAlign w:val="subscript"/>
        </w:rPr>
        <w:t>2</w:t>
      </w:r>
      <w:r w:rsidR="2966677B" w:rsidRPr="00B61137">
        <w:rPr>
          <w:rFonts w:ascii="Arial" w:hAnsi="Arial" w:cs="Arial"/>
        </w:rPr>
        <w:t>O po sektorima, 1990-2013. (Gg)</w:t>
      </w:r>
    </w:p>
    <w:p w:rsidR="00107E20" w:rsidRDefault="00107E20" w:rsidP="00722DF4">
      <w:pPr>
        <w:spacing w:after="0"/>
        <w:jc w:val="both"/>
        <w:rPr>
          <w:rFonts w:ascii="Arial" w:hAnsi="Arial" w:cs="Arial"/>
          <w:sz w:val="24"/>
          <w:szCs w:val="24"/>
        </w:rPr>
      </w:pPr>
    </w:p>
    <w:p w:rsidR="00744115" w:rsidRDefault="00744115" w:rsidP="00722DF4">
      <w:pPr>
        <w:spacing w:after="0"/>
        <w:jc w:val="both"/>
        <w:rPr>
          <w:rFonts w:ascii="Arial" w:hAnsi="Arial" w:cs="Arial"/>
          <w:sz w:val="24"/>
          <w:szCs w:val="24"/>
        </w:rPr>
      </w:pPr>
    </w:p>
    <w:p w:rsidR="00744115" w:rsidRPr="00722DF4" w:rsidRDefault="00744115" w:rsidP="00722DF4">
      <w:pPr>
        <w:spacing w:after="0"/>
        <w:jc w:val="both"/>
        <w:rPr>
          <w:rFonts w:ascii="Arial" w:hAnsi="Arial" w:cs="Arial"/>
          <w:sz w:val="24"/>
          <w:szCs w:val="24"/>
        </w:rPr>
      </w:pPr>
    </w:p>
    <w:p w:rsidR="3B4348E7" w:rsidRPr="00722DF4" w:rsidRDefault="3B4348E7" w:rsidP="00722DF4">
      <w:pPr>
        <w:pStyle w:val="ColorfulList-Accent11"/>
        <w:numPr>
          <w:ilvl w:val="0"/>
          <w:numId w:val="2"/>
        </w:numPr>
        <w:spacing w:after="0"/>
        <w:jc w:val="both"/>
        <w:rPr>
          <w:rFonts w:ascii="Arial" w:hAnsi="Arial" w:cs="Arial"/>
          <w:sz w:val="24"/>
          <w:szCs w:val="24"/>
        </w:rPr>
      </w:pPr>
      <w:r w:rsidRPr="00722DF4">
        <w:rPr>
          <w:rFonts w:ascii="Arial" w:hAnsi="Arial" w:cs="Arial"/>
          <w:b/>
          <w:sz w:val="24"/>
          <w:szCs w:val="24"/>
        </w:rPr>
        <w:t>Ukupne PFC emisije</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Shodno raspoloživim podacima za posmatrani period procijenjene su emisije PFC (CF</w:t>
      </w:r>
      <w:r w:rsidRPr="00722DF4">
        <w:rPr>
          <w:rFonts w:ascii="Arial" w:hAnsi="Arial" w:cs="Arial"/>
          <w:sz w:val="24"/>
          <w:szCs w:val="24"/>
          <w:vertAlign w:val="subscript"/>
        </w:rPr>
        <w:t>4</w:t>
      </w:r>
      <w:r w:rsidRPr="00722DF4">
        <w:rPr>
          <w:rFonts w:ascii="Arial" w:hAnsi="Arial" w:cs="Arial"/>
          <w:sz w:val="24"/>
          <w:szCs w:val="24"/>
        </w:rPr>
        <w:t>, C</w:t>
      </w:r>
      <w:r w:rsidRPr="00722DF4">
        <w:rPr>
          <w:rFonts w:ascii="Arial" w:hAnsi="Arial" w:cs="Arial"/>
          <w:sz w:val="24"/>
          <w:szCs w:val="24"/>
          <w:vertAlign w:val="subscript"/>
        </w:rPr>
        <w:t>2</w:t>
      </w:r>
      <w:r w:rsidRPr="00722DF4">
        <w:rPr>
          <w:rFonts w:ascii="Arial" w:hAnsi="Arial" w:cs="Arial"/>
          <w:sz w:val="24"/>
          <w:szCs w:val="24"/>
        </w:rPr>
        <w:t>F</w:t>
      </w:r>
      <w:r w:rsidRPr="00722DF4">
        <w:rPr>
          <w:rFonts w:ascii="Arial" w:hAnsi="Arial" w:cs="Arial"/>
          <w:sz w:val="24"/>
          <w:szCs w:val="24"/>
          <w:vertAlign w:val="subscript"/>
        </w:rPr>
        <w:t>6</w:t>
      </w:r>
      <w:r w:rsidRPr="00722DF4">
        <w:rPr>
          <w:rFonts w:ascii="Arial" w:hAnsi="Arial" w:cs="Arial"/>
          <w:sz w:val="24"/>
          <w:szCs w:val="24"/>
        </w:rPr>
        <w:t>) iz sektora industrije, tj. iz proizvodnje aluminijum</w:t>
      </w:r>
      <w:r w:rsidR="00744115">
        <w:rPr>
          <w:rFonts w:ascii="Arial" w:hAnsi="Arial" w:cs="Arial"/>
          <w:sz w:val="24"/>
          <w:szCs w:val="24"/>
        </w:rPr>
        <w:t>a – pogon Elektrolize (slika 2.10</w:t>
      </w:r>
      <w:r w:rsidRPr="00722DF4">
        <w:rPr>
          <w:rFonts w:ascii="Arial" w:hAnsi="Arial" w:cs="Arial"/>
          <w:sz w:val="24"/>
          <w:szCs w:val="24"/>
        </w:rPr>
        <w:t>).</w:t>
      </w: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5822950" cy="2173605"/>
            <wp:effectExtent l="19050" t="0" r="6350" b="0"/>
            <wp:docPr id="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3" cstate="print"/>
                    <a:srcRect/>
                    <a:stretch>
                      <a:fillRect/>
                    </a:stretch>
                  </pic:blipFill>
                  <pic:spPr bwMode="auto">
                    <a:xfrm>
                      <a:off x="0" y="0"/>
                      <a:ext cx="5822950" cy="2173605"/>
                    </a:xfrm>
                    <a:prstGeom prst="rect">
                      <a:avLst/>
                    </a:prstGeom>
                    <a:noFill/>
                    <a:ln w="9525">
                      <a:noFill/>
                      <a:miter lim="800000"/>
                      <a:headEnd/>
                      <a:tailEnd/>
                    </a:ln>
                  </pic:spPr>
                </pic:pic>
              </a:graphicData>
            </a:graphic>
          </wp:inline>
        </w:drawing>
      </w:r>
    </w:p>
    <w:p w:rsidR="3B4348E7" w:rsidRPr="00B61137" w:rsidRDefault="00CB21D4" w:rsidP="00722DF4">
      <w:pPr>
        <w:spacing w:after="0"/>
        <w:jc w:val="both"/>
        <w:rPr>
          <w:rFonts w:ascii="Arial" w:hAnsi="Arial" w:cs="Arial"/>
        </w:rPr>
      </w:pPr>
      <w:r w:rsidRPr="00B61137">
        <w:rPr>
          <w:rFonts w:ascii="Arial" w:hAnsi="Arial" w:cs="Arial"/>
          <w:b/>
        </w:rPr>
        <w:t>Slika 2.10</w:t>
      </w:r>
      <w:r w:rsidR="3B4348E7" w:rsidRPr="00B61137">
        <w:rPr>
          <w:rFonts w:ascii="Arial" w:hAnsi="Arial" w:cs="Arial"/>
          <w:b/>
        </w:rPr>
        <w:t xml:space="preserve">. </w:t>
      </w:r>
      <w:r w:rsidR="3B4348E7" w:rsidRPr="00B61137">
        <w:rPr>
          <w:rFonts w:ascii="Arial" w:hAnsi="Arial" w:cs="Arial"/>
        </w:rPr>
        <w:t>Ukupne emisije PFC iz sektora i</w:t>
      </w:r>
      <w:r w:rsidR="00744115">
        <w:rPr>
          <w:rFonts w:ascii="Arial" w:hAnsi="Arial" w:cs="Arial"/>
        </w:rPr>
        <w:t>dustrije, 1990-2013</w:t>
      </w:r>
      <w:r w:rsidR="3B4348E7" w:rsidRPr="00B61137">
        <w:rPr>
          <w:rFonts w:ascii="Arial" w:hAnsi="Arial" w:cs="Arial"/>
        </w:rPr>
        <w:t xml:space="preserve"> (Gg)</w:t>
      </w:r>
    </w:p>
    <w:p w:rsidR="00107E20" w:rsidRPr="00722DF4" w:rsidRDefault="00107E20" w:rsidP="00722DF4">
      <w:pPr>
        <w:spacing w:after="0"/>
        <w:jc w:val="both"/>
        <w:rPr>
          <w:rFonts w:ascii="Arial" w:hAnsi="Arial" w:cs="Arial"/>
          <w:sz w:val="24"/>
          <w:szCs w:val="24"/>
        </w:rPr>
      </w:pPr>
    </w:p>
    <w:p w:rsidR="3B4348E7" w:rsidRPr="00722DF4" w:rsidRDefault="3B4348E7" w:rsidP="00722DF4">
      <w:pPr>
        <w:pStyle w:val="ColorfulList-Accent11"/>
        <w:numPr>
          <w:ilvl w:val="0"/>
          <w:numId w:val="2"/>
        </w:numPr>
        <w:spacing w:after="0"/>
        <w:jc w:val="both"/>
        <w:rPr>
          <w:rFonts w:ascii="Arial" w:hAnsi="Arial" w:cs="Arial"/>
          <w:sz w:val="24"/>
          <w:szCs w:val="24"/>
        </w:rPr>
      </w:pPr>
      <w:r w:rsidRPr="00722DF4">
        <w:rPr>
          <w:rFonts w:ascii="Arial" w:hAnsi="Arial" w:cs="Arial"/>
          <w:b/>
          <w:sz w:val="24"/>
          <w:szCs w:val="24"/>
        </w:rPr>
        <w:t>Ukupne emisije SF</w:t>
      </w:r>
      <w:r w:rsidRPr="00722DF4">
        <w:rPr>
          <w:rFonts w:ascii="Arial" w:hAnsi="Arial" w:cs="Arial"/>
          <w:b/>
          <w:sz w:val="24"/>
          <w:szCs w:val="24"/>
          <w:vertAlign w:val="subscript"/>
        </w:rPr>
        <w:t>6</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Shodno raspoloživim podacima za posmatrani period procijenjene su emisije SF</w:t>
      </w:r>
      <w:r w:rsidRPr="00722DF4">
        <w:rPr>
          <w:rFonts w:ascii="Arial" w:hAnsi="Arial" w:cs="Arial"/>
          <w:sz w:val="24"/>
          <w:szCs w:val="24"/>
          <w:vertAlign w:val="subscript"/>
        </w:rPr>
        <w:t>6</w:t>
      </w:r>
      <w:r w:rsidRPr="00722DF4">
        <w:rPr>
          <w:rFonts w:ascii="Arial" w:hAnsi="Arial" w:cs="Arial"/>
          <w:sz w:val="24"/>
          <w:szCs w:val="24"/>
        </w:rPr>
        <w:t xml:space="preserve"> iz podsektora 2.G-Ostala proizvodnja i upotreba proizvoda tj. iz aktivnosti </w:t>
      </w:r>
      <w:r w:rsidR="00744115">
        <w:rPr>
          <w:rFonts w:ascii="Arial" w:hAnsi="Arial" w:cs="Arial"/>
          <w:sz w:val="24"/>
          <w:szCs w:val="24"/>
        </w:rPr>
        <w:t>G.1-Električna oprema (slika 2.11</w:t>
      </w:r>
      <w:r w:rsidRPr="00722DF4">
        <w:rPr>
          <w:rFonts w:ascii="Arial" w:hAnsi="Arial" w:cs="Arial"/>
          <w:sz w:val="24"/>
          <w:szCs w:val="24"/>
        </w:rPr>
        <w:t>)</w:t>
      </w: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934710" cy="2113280"/>
            <wp:effectExtent l="19050" t="0" r="8890" b="0"/>
            <wp:docPr id="2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4" cstate="print"/>
                    <a:srcRect/>
                    <a:stretch>
                      <a:fillRect/>
                    </a:stretch>
                  </pic:blipFill>
                  <pic:spPr bwMode="auto">
                    <a:xfrm>
                      <a:off x="0" y="0"/>
                      <a:ext cx="5934710" cy="2113280"/>
                    </a:xfrm>
                    <a:prstGeom prst="rect">
                      <a:avLst/>
                    </a:prstGeom>
                    <a:noFill/>
                    <a:ln w="9525">
                      <a:noFill/>
                      <a:miter lim="800000"/>
                      <a:headEnd/>
                      <a:tailEnd/>
                    </a:ln>
                  </pic:spPr>
                </pic:pic>
              </a:graphicData>
            </a:graphic>
          </wp:inline>
        </w:drawing>
      </w:r>
    </w:p>
    <w:p w:rsidR="00B72D05" w:rsidRPr="00B61137" w:rsidRDefault="00CB21D4" w:rsidP="00722DF4">
      <w:pPr>
        <w:spacing w:after="0"/>
        <w:jc w:val="both"/>
        <w:rPr>
          <w:rFonts w:ascii="Arial" w:hAnsi="Arial" w:cs="Arial"/>
        </w:rPr>
      </w:pPr>
      <w:r w:rsidRPr="00B61137">
        <w:rPr>
          <w:rFonts w:ascii="Arial" w:hAnsi="Arial" w:cs="Arial"/>
          <w:b/>
        </w:rPr>
        <w:t>Slika 2.11</w:t>
      </w:r>
      <w:r w:rsidR="3B4348E7" w:rsidRPr="00B61137">
        <w:rPr>
          <w:rFonts w:ascii="Arial" w:hAnsi="Arial" w:cs="Arial"/>
          <w:b/>
        </w:rPr>
        <w:t>.</w:t>
      </w:r>
      <w:r w:rsidR="3B4348E7" w:rsidRPr="00B61137">
        <w:rPr>
          <w:rFonts w:ascii="Arial" w:hAnsi="Arial" w:cs="Arial"/>
        </w:rPr>
        <w:t>Ukupne emisije SF</w:t>
      </w:r>
      <w:r w:rsidR="3B4348E7" w:rsidRPr="00B61137">
        <w:rPr>
          <w:rFonts w:ascii="Arial" w:hAnsi="Arial" w:cs="Arial"/>
          <w:vertAlign w:val="subscript"/>
        </w:rPr>
        <w:t>6</w:t>
      </w:r>
      <w:r w:rsidR="3B4348E7" w:rsidRPr="00B61137">
        <w:rPr>
          <w:rFonts w:ascii="Arial" w:hAnsi="Arial" w:cs="Arial"/>
        </w:rPr>
        <w:t xml:space="preserve"> i</w:t>
      </w:r>
      <w:r w:rsidR="00744115">
        <w:rPr>
          <w:rFonts w:ascii="Arial" w:hAnsi="Arial" w:cs="Arial"/>
        </w:rPr>
        <w:t>z sektora industrije, 1990-2013</w:t>
      </w:r>
      <w:r w:rsidR="3B4348E7" w:rsidRPr="00B61137">
        <w:rPr>
          <w:rFonts w:ascii="Arial" w:hAnsi="Arial" w:cs="Arial"/>
        </w:rPr>
        <w:t xml:space="preserve"> (Gg)</w:t>
      </w:r>
    </w:p>
    <w:p w:rsidR="00107E20" w:rsidRPr="00722DF4" w:rsidRDefault="00107E20" w:rsidP="00722DF4">
      <w:pPr>
        <w:spacing w:after="0"/>
        <w:jc w:val="both"/>
        <w:rPr>
          <w:rFonts w:ascii="Arial" w:hAnsi="Arial" w:cs="Arial"/>
          <w:sz w:val="24"/>
          <w:szCs w:val="24"/>
        </w:rPr>
      </w:pPr>
    </w:p>
    <w:p w:rsidR="3B4348E7" w:rsidRPr="00722DF4" w:rsidRDefault="3B4348E7" w:rsidP="00722DF4">
      <w:pPr>
        <w:pStyle w:val="ColorfulList-Accent11"/>
        <w:numPr>
          <w:ilvl w:val="0"/>
          <w:numId w:val="1"/>
        </w:numPr>
        <w:spacing w:after="0"/>
        <w:jc w:val="both"/>
        <w:rPr>
          <w:rFonts w:ascii="Arial" w:hAnsi="Arial" w:cs="Arial"/>
          <w:sz w:val="24"/>
          <w:szCs w:val="24"/>
        </w:rPr>
      </w:pPr>
      <w:r w:rsidRPr="00722DF4">
        <w:rPr>
          <w:rFonts w:ascii="Arial" w:hAnsi="Arial" w:cs="Arial"/>
          <w:b/>
          <w:sz w:val="24"/>
          <w:szCs w:val="24"/>
        </w:rPr>
        <w:t>Ukupne HFC emisije</w:t>
      </w: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Za procjenu ukupnih HFC emisija dostupni su bili podaci za period 2011-2013.godina. procijenjene emisije iz podsektora 2.F-Upotreba alternativnih supstanci, tj. iz aktivnosti 2.F.1-frižid</w:t>
      </w:r>
      <w:r w:rsidR="00744115">
        <w:rPr>
          <w:rFonts w:ascii="Arial" w:hAnsi="Arial" w:cs="Arial"/>
          <w:sz w:val="24"/>
          <w:szCs w:val="24"/>
        </w:rPr>
        <w:t>eri i klima uređaji (slika 2.12</w:t>
      </w:r>
      <w:r w:rsidRPr="00722DF4">
        <w:rPr>
          <w:rFonts w:ascii="Arial" w:hAnsi="Arial" w:cs="Arial"/>
          <w:sz w:val="24"/>
          <w:szCs w:val="24"/>
        </w:rPr>
        <w:t>).</w:t>
      </w: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5081270" cy="2191385"/>
            <wp:effectExtent l="19050" t="0" r="5080" b="0"/>
            <wp:docPr id="2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5" cstate="print"/>
                    <a:srcRect/>
                    <a:stretch>
                      <a:fillRect/>
                    </a:stretch>
                  </pic:blipFill>
                  <pic:spPr bwMode="auto">
                    <a:xfrm>
                      <a:off x="0" y="0"/>
                      <a:ext cx="5081270" cy="2191385"/>
                    </a:xfrm>
                    <a:prstGeom prst="rect">
                      <a:avLst/>
                    </a:prstGeom>
                    <a:noFill/>
                    <a:ln w="9525">
                      <a:noFill/>
                      <a:miter lim="800000"/>
                      <a:headEnd/>
                      <a:tailEnd/>
                    </a:ln>
                  </pic:spPr>
                </pic:pic>
              </a:graphicData>
            </a:graphic>
          </wp:inline>
        </w:drawing>
      </w:r>
    </w:p>
    <w:p w:rsidR="3B4348E7" w:rsidRPr="00B61137" w:rsidRDefault="00CB21D4" w:rsidP="00722DF4">
      <w:pPr>
        <w:spacing w:after="0"/>
        <w:jc w:val="both"/>
        <w:rPr>
          <w:rFonts w:ascii="Arial" w:hAnsi="Arial" w:cs="Arial"/>
        </w:rPr>
      </w:pPr>
      <w:r w:rsidRPr="00B61137">
        <w:rPr>
          <w:rFonts w:ascii="Arial" w:hAnsi="Arial" w:cs="Arial"/>
          <w:b/>
        </w:rPr>
        <w:t>Slika 2.12</w:t>
      </w:r>
      <w:r w:rsidR="3B4348E7" w:rsidRPr="00B61137">
        <w:rPr>
          <w:rFonts w:ascii="Arial" w:hAnsi="Arial" w:cs="Arial"/>
          <w:b/>
        </w:rPr>
        <w:t xml:space="preserve">. </w:t>
      </w:r>
      <w:r w:rsidR="3B4348E7" w:rsidRPr="00B61137">
        <w:rPr>
          <w:rFonts w:ascii="Arial" w:hAnsi="Arial" w:cs="Arial"/>
        </w:rPr>
        <w:t>Ukupne emisije HFC iz sektora industrije, 2011-2013 (Gg)</w:t>
      </w:r>
    </w:p>
    <w:p w:rsidR="00107E20" w:rsidRPr="00722DF4" w:rsidRDefault="00107E20" w:rsidP="00722DF4">
      <w:pPr>
        <w:spacing w:after="0"/>
        <w:jc w:val="both"/>
        <w:rPr>
          <w:rFonts w:ascii="Arial" w:hAnsi="Arial" w:cs="Arial"/>
          <w:sz w:val="24"/>
          <w:szCs w:val="24"/>
        </w:rPr>
      </w:pPr>
    </w:p>
    <w:p w:rsidR="3B4348E7" w:rsidRPr="00722DF4" w:rsidRDefault="00744115" w:rsidP="00722DF4">
      <w:pPr>
        <w:spacing w:after="0"/>
        <w:jc w:val="both"/>
        <w:rPr>
          <w:rFonts w:ascii="Arial" w:hAnsi="Arial" w:cs="Arial"/>
          <w:sz w:val="24"/>
          <w:szCs w:val="24"/>
        </w:rPr>
      </w:pPr>
      <w:r>
        <w:rPr>
          <w:rFonts w:ascii="Arial" w:hAnsi="Arial" w:cs="Arial"/>
          <w:sz w:val="24"/>
          <w:szCs w:val="24"/>
        </w:rPr>
        <w:t>Tabelom 2.6 i slikom 2.13</w:t>
      </w:r>
      <w:r w:rsidR="3B4348E7" w:rsidRPr="00722DF4">
        <w:rPr>
          <w:rFonts w:ascii="Arial" w:hAnsi="Arial" w:cs="Arial"/>
          <w:sz w:val="24"/>
          <w:szCs w:val="24"/>
        </w:rPr>
        <w:t xml:space="preserve"> prikazane su emisije CO</w:t>
      </w:r>
      <w:r w:rsidR="3B4348E7" w:rsidRPr="00722DF4">
        <w:rPr>
          <w:rFonts w:ascii="Arial" w:hAnsi="Arial" w:cs="Arial"/>
          <w:sz w:val="24"/>
          <w:szCs w:val="24"/>
          <w:vertAlign w:val="subscript"/>
        </w:rPr>
        <w:t>2</w:t>
      </w:r>
      <w:r w:rsidR="3B4348E7" w:rsidRPr="00722DF4">
        <w:rPr>
          <w:rFonts w:ascii="Arial" w:hAnsi="Arial" w:cs="Arial"/>
          <w:sz w:val="24"/>
          <w:szCs w:val="24"/>
        </w:rPr>
        <w:t>eq po sta</w:t>
      </w:r>
      <w:r w:rsidR="009361EE" w:rsidRPr="00722DF4">
        <w:rPr>
          <w:rFonts w:ascii="Arial" w:hAnsi="Arial" w:cs="Arial"/>
          <w:sz w:val="24"/>
          <w:szCs w:val="24"/>
        </w:rPr>
        <w:t>n</w:t>
      </w:r>
      <w:r w:rsidR="3B4348E7" w:rsidRPr="00722DF4">
        <w:rPr>
          <w:rFonts w:ascii="Arial" w:hAnsi="Arial" w:cs="Arial"/>
          <w:sz w:val="24"/>
          <w:szCs w:val="24"/>
        </w:rPr>
        <w:t>ovniku.</w:t>
      </w:r>
    </w:p>
    <w:p w:rsidR="00B72D05" w:rsidRPr="00722DF4" w:rsidRDefault="00B72D05" w:rsidP="00722DF4">
      <w:pPr>
        <w:spacing w:after="0"/>
        <w:jc w:val="both"/>
        <w:rPr>
          <w:rFonts w:ascii="Arial" w:hAnsi="Arial" w:cs="Arial"/>
          <w:sz w:val="24"/>
          <w:szCs w:val="24"/>
        </w:rPr>
      </w:pPr>
    </w:p>
    <w:p w:rsidR="3B4348E7" w:rsidRPr="00744115" w:rsidRDefault="005A1861" w:rsidP="00722DF4">
      <w:pPr>
        <w:spacing w:after="0"/>
        <w:jc w:val="both"/>
        <w:rPr>
          <w:rFonts w:ascii="Arial" w:hAnsi="Arial" w:cs="Arial"/>
        </w:rPr>
      </w:pPr>
      <w:r w:rsidRPr="00744115">
        <w:rPr>
          <w:rFonts w:ascii="Arial" w:hAnsi="Arial" w:cs="Arial"/>
          <w:b/>
        </w:rPr>
        <w:t>Tabela 2.6</w:t>
      </w:r>
      <w:r w:rsidR="3B4348E7" w:rsidRPr="00744115">
        <w:rPr>
          <w:rFonts w:ascii="Arial" w:hAnsi="Arial" w:cs="Arial"/>
          <w:b/>
        </w:rPr>
        <w:t>.</w:t>
      </w:r>
      <w:r w:rsidR="3B4348E7" w:rsidRPr="00744115">
        <w:rPr>
          <w:rFonts w:ascii="Arial" w:hAnsi="Arial" w:cs="Arial"/>
        </w:rPr>
        <w:t>Ukupne emisije CO</w:t>
      </w:r>
      <w:r w:rsidR="3B4348E7" w:rsidRPr="00744115">
        <w:rPr>
          <w:rFonts w:ascii="Arial" w:hAnsi="Arial" w:cs="Arial"/>
          <w:vertAlign w:val="subscript"/>
        </w:rPr>
        <w:t>2</w:t>
      </w:r>
      <w:r w:rsidR="3B4348E7" w:rsidRPr="00744115">
        <w:rPr>
          <w:rFonts w:ascii="Arial" w:hAnsi="Arial" w:cs="Arial"/>
        </w:rPr>
        <w:t xml:space="preserve"> po stanoviku, 1990-2013. (t/stanovniku)</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1495"/>
        <w:gridCol w:w="650"/>
        <w:gridCol w:w="705"/>
        <w:gridCol w:w="650"/>
        <w:gridCol w:w="650"/>
        <w:gridCol w:w="650"/>
        <w:gridCol w:w="650"/>
        <w:gridCol w:w="650"/>
        <w:gridCol w:w="650"/>
        <w:gridCol w:w="650"/>
        <w:gridCol w:w="650"/>
        <w:gridCol w:w="650"/>
        <w:gridCol w:w="650"/>
      </w:tblGrid>
      <w:tr w:rsidR="3B4348E7" w:rsidRPr="00107E20" w:rsidTr="00CA2879">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CO</w:t>
            </w:r>
            <w:r w:rsidRPr="00107E20">
              <w:rPr>
                <w:rFonts w:ascii="Arial" w:hAnsi="Arial" w:cs="Arial"/>
                <w:b/>
                <w:bCs/>
                <w:sz w:val="20"/>
                <w:szCs w:val="20"/>
                <w:vertAlign w:val="subscript"/>
              </w:rPr>
              <w:t>2</w:t>
            </w:r>
            <w:r w:rsidRPr="00107E20">
              <w:rPr>
                <w:rFonts w:ascii="Arial" w:hAnsi="Arial" w:cs="Arial"/>
                <w:b/>
                <w:bCs/>
                <w:sz w:val="20"/>
                <w:szCs w:val="20"/>
              </w:rPr>
              <w:t>eq (t/stanovniku)</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1990</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1991</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1992</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1993</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1994</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1995</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1996</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1997</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1998</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1999</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2000</w:t>
            </w:r>
          </w:p>
        </w:tc>
        <w:tc>
          <w:tcPr>
            <w:tcW w:w="720" w:type="dxa"/>
            <w:tcBorders>
              <w:bottom w:val="single" w:sz="12" w:space="0" w:color="95B3D7"/>
            </w:tcBorders>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2001</w:t>
            </w:r>
          </w:p>
        </w:tc>
      </w:tr>
      <w:tr w:rsidR="3B4348E7" w:rsidRPr="00107E20" w:rsidTr="00CA2879">
        <w:tc>
          <w:tcPr>
            <w:tcW w:w="720" w:type="dxa"/>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Ukupni CO</w:t>
            </w:r>
            <w:r w:rsidRPr="00107E20">
              <w:rPr>
                <w:rFonts w:ascii="Arial" w:hAnsi="Arial" w:cs="Arial"/>
                <w:b/>
                <w:bCs/>
                <w:sz w:val="20"/>
                <w:szCs w:val="20"/>
                <w:vertAlign w:val="subscript"/>
              </w:rPr>
              <w:t>2</w:t>
            </w:r>
            <w:r w:rsidRPr="00107E20">
              <w:rPr>
                <w:rFonts w:ascii="Arial" w:hAnsi="Arial" w:cs="Arial"/>
                <w:b/>
                <w:bCs/>
                <w:sz w:val="20"/>
                <w:szCs w:val="20"/>
              </w:rPr>
              <w:t>eq bez ponora</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9.03</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10.27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7.33</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4.97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3.59</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6.31</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4.68</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6.77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7.30</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7.70</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8.52</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7.98</w:t>
            </w:r>
          </w:p>
        </w:tc>
      </w:tr>
      <w:tr w:rsidR="3B4348E7" w:rsidRPr="00107E20" w:rsidTr="00CA2879">
        <w:tc>
          <w:tcPr>
            <w:tcW w:w="720" w:type="dxa"/>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Ukupni CO</w:t>
            </w:r>
            <w:r w:rsidRPr="00107E20">
              <w:rPr>
                <w:rFonts w:ascii="Arial" w:hAnsi="Arial" w:cs="Arial"/>
                <w:b/>
                <w:bCs/>
                <w:sz w:val="20"/>
                <w:szCs w:val="20"/>
                <w:vertAlign w:val="subscript"/>
              </w:rPr>
              <w:t>2</w:t>
            </w:r>
            <w:r w:rsidRPr="00107E20">
              <w:rPr>
                <w:rFonts w:ascii="Arial" w:hAnsi="Arial" w:cs="Arial"/>
                <w:b/>
                <w:bCs/>
                <w:sz w:val="20"/>
                <w:szCs w:val="20"/>
              </w:rPr>
              <w:t>eq sa ponorima</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6.31</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8.07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3.82</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0.71</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-0.62</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3.23</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1.07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2.76</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3.28</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3.67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4.45</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4.12</w:t>
            </w:r>
          </w:p>
        </w:tc>
      </w:tr>
      <w:tr w:rsidR="3B4348E7" w:rsidRPr="00107E20" w:rsidTr="00CA2879">
        <w:tc>
          <w:tcPr>
            <w:tcW w:w="720" w:type="dxa"/>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CO</w:t>
            </w:r>
            <w:r w:rsidRPr="00107E20">
              <w:rPr>
                <w:rFonts w:ascii="Arial" w:hAnsi="Arial" w:cs="Arial"/>
                <w:b/>
                <w:bCs/>
                <w:sz w:val="20"/>
                <w:szCs w:val="20"/>
                <w:vertAlign w:val="subscript"/>
              </w:rPr>
              <w:t>2</w:t>
            </w:r>
            <w:r w:rsidRPr="00107E20">
              <w:rPr>
                <w:rFonts w:ascii="Arial" w:hAnsi="Arial" w:cs="Arial"/>
                <w:b/>
                <w:bCs/>
                <w:sz w:val="20"/>
                <w:szCs w:val="20"/>
              </w:rPr>
              <w:t>eq (t/stanovniku)</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2002</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2003</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2004</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2005</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2006</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2007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2008</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2009</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2010</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2011</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2012</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2013</w:t>
            </w:r>
          </w:p>
        </w:tc>
      </w:tr>
      <w:tr w:rsidR="3B4348E7" w:rsidRPr="00107E20" w:rsidTr="00CA2879">
        <w:tc>
          <w:tcPr>
            <w:tcW w:w="720" w:type="dxa"/>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Ukupni CO</w:t>
            </w:r>
            <w:r w:rsidRPr="00107E20">
              <w:rPr>
                <w:rFonts w:ascii="Arial" w:hAnsi="Arial" w:cs="Arial"/>
                <w:b/>
                <w:bCs/>
                <w:sz w:val="20"/>
                <w:szCs w:val="20"/>
                <w:vertAlign w:val="subscript"/>
              </w:rPr>
              <w:t>2</w:t>
            </w:r>
            <w:r w:rsidRPr="00107E20">
              <w:rPr>
                <w:rFonts w:ascii="Arial" w:hAnsi="Arial" w:cs="Arial"/>
                <w:b/>
                <w:bCs/>
                <w:sz w:val="20"/>
                <w:szCs w:val="20"/>
              </w:rPr>
              <w:t>eq bez ponora</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8.88</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8.11</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7.71</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6.97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7.35</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7.52</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7.06</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4.87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6.30</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6.48</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5.76</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5.12</w:t>
            </w:r>
          </w:p>
        </w:tc>
      </w:tr>
      <w:tr w:rsidR="3B4348E7" w:rsidRPr="00107E20" w:rsidTr="00CA2879">
        <w:tc>
          <w:tcPr>
            <w:tcW w:w="720" w:type="dxa"/>
          </w:tcPr>
          <w:p w:rsidR="3B4348E7" w:rsidRPr="00107E20" w:rsidRDefault="3B4348E7" w:rsidP="00722DF4">
            <w:pPr>
              <w:spacing w:after="0"/>
              <w:jc w:val="both"/>
              <w:rPr>
                <w:rFonts w:ascii="Arial" w:hAnsi="Arial" w:cs="Arial"/>
                <w:b/>
                <w:bCs/>
                <w:sz w:val="20"/>
                <w:szCs w:val="20"/>
              </w:rPr>
            </w:pPr>
            <w:r w:rsidRPr="00107E20">
              <w:rPr>
                <w:rFonts w:ascii="Arial" w:hAnsi="Arial" w:cs="Arial"/>
                <w:b/>
                <w:bCs/>
                <w:sz w:val="20"/>
                <w:szCs w:val="20"/>
              </w:rPr>
              <w:t>Ukupni CO</w:t>
            </w:r>
            <w:r w:rsidRPr="00107E20">
              <w:rPr>
                <w:rFonts w:ascii="Arial" w:hAnsi="Arial" w:cs="Arial"/>
                <w:b/>
                <w:bCs/>
                <w:sz w:val="20"/>
                <w:szCs w:val="20"/>
                <w:vertAlign w:val="subscript"/>
              </w:rPr>
              <w:t>2</w:t>
            </w:r>
            <w:r w:rsidRPr="00107E20">
              <w:rPr>
                <w:rFonts w:ascii="Arial" w:hAnsi="Arial" w:cs="Arial"/>
                <w:b/>
                <w:bCs/>
                <w:sz w:val="20"/>
                <w:szCs w:val="20"/>
              </w:rPr>
              <w:t>eq sa ponorima</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4.47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4.35</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4.65</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3.56</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5.08</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3.58</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3.43</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1.07</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3.09</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3.46</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2.46</w:t>
            </w:r>
          </w:p>
        </w:tc>
        <w:tc>
          <w:tcPr>
            <w:tcW w:w="720" w:type="dxa"/>
          </w:tcPr>
          <w:p w:rsidR="3B4348E7" w:rsidRPr="00107E20" w:rsidRDefault="3B4348E7" w:rsidP="00722DF4">
            <w:pPr>
              <w:spacing w:after="0"/>
              <w:jc w:val="both"/>
              <w:rPr>
                <w:rFonts w:ascii="Arial" w:hAnsi="Arial" w:cs="Arial"/>
                <w:sz w:val="20"/>
                <w:szCs w:val="20"/>
              </w:rPr>
            </w:pPr>
            <w:r w:rsidRPr="00107E20">
              <w:rPr>
                <w:rFonts w:ascii="Arial" w:hAnsi="Arial" w:cs="Arial"/>
                <w:sz w:val="20"/>
                <w:szCs w:val="20"/>
              </w:rPr>
              <w:t>1.54</w:t>
            </w:r>
          </w:p>
        </w:tc>
      </w:tr>
    </w:tbl>
    <w:p w:rsidR="3B4348E7" w:rsidRPr="00722DF4" w:rsidRDefault="3B4348E7" w:rsidP="00722DF4">
      <w:pPr>
        <w:spacing w:after="0"/>
        <w:jc w:val="both"/>
        <w:rPr>
          <w:rFonts w:ascii="Arial" w:hAnsi="Arial" w:cs="Arial"/>
          <w:sz w:val="24"/>
          <w:szCs w:val="24"/>
        </w:rPr>
      </w:pPr>
    </w:p>
    <w:p w:rsidR="3B4348E7"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5926455" cy="2372360"/>
            <wp:effectExtent l="19050" t="0" r="0" b="0"/>
            <wp:docPr id="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6" cstate="print"/>
                    <a:srcRect/>
                    <a:stretch>
                      <a:fillRect/>
                    </a:stretch>
                  </pic:blipFill>
                  <pic:spPr bwMode="auto">
                    <a:xfrm>
                      <a:off x="0" y="0"/>
                      <a:ext cx="5926455" cy="2372360"/>
                    </a:xfrm>
                    <a:prstGeom prst="rect">
                      <a:avLst/>
                    </a:prstGeom>
                    <a:noFill/>
                    <a:ln w="9525">
                      <a:noFill/>
                      <a:miter lim="800000"/>
                      <a:headEnd/>
                      <a:tailEnd/>
                    </a:ln>
                  </pic:spPr>
                </pic:pic>
              </a:graphicData>
            </a:graphic>
          </wp:inline>
        </w:drawing>
      </w:r>
    </w:p>
    <w:p w:rsidR="008C1E26" w:rsidRPr="00B61137" w:rsidRDefault="005A1861" w:rsidP="00722DF4">
      <w:pPr>
        <w:pStyle w:val="NoSpacing"/>
        <w:spacing w:line="276" w:lineRule="auto"/>
        <w:jc w:val="both"/>
        <w:rPr>
          <w:rFonts w:ascii="Arial" w:hAnsi="Arial" w:cs="Arial"/>
          <w:i/>
          <w:sz w:val="22"/>
          <w:szCs w:val="22"/>
        </w:rPr>
      </w:pPr>
      <w:r w:rsidRPr="00B61137">
        <w:rPr>
          <w:rFonts w:ascii="Arial" w:hAnsi="Arial" w:cs="Arial"/>
          <w:b/>
          <w:sz w:val="22"/>
          <w:szCs w:val="22"/>
        </w:rPr>
        <w:t>Slika 2.13</w:t>
      </w:r>
      <w:r w:rsidR="3B4348E7" w:rsidRPr="00B61137">
        <w:rPr>
          <w:rFonts w:ascii="Arial" w:hAnsi="Arial" w:cs="Arial"/>
          <w:b/>
          <w:sz w:val="22"/>
          <w:szCs w:val="22"/>
        </w:rPr>
        <w:t xml:space="preserve">. </w:t>
      </w:r>
      <w:r w:rsidR="3B4348E7" w:rsidRPr="00B61137">
        <w:rPr>
          <w:rFonts w:ascii="Arial" w:hAnsi="Arial" w:cs="Arial"/>
          <w:sz w:val="22"/>
          <w:szCs w:val="22"/>
        </w:rPr>
        <w:t>Ukupne emisije CO</w:t>
      </w:r>
      <w:r w:rsidR="3B4348E7" w:rsidRPr="00B61137">
        <w:rPr>
          <w:rFonts w:ascii="Arial" w:hAnsi="Arial" w:cs="Arial"/>
          <w:sz w:val="22"/>
          <w:szCs w:val="22"/>
          <w:vertAlign w:val="subscript"/>
        </w:rPr>
        <w:t>2</w:t>
      </w:r>
      <w:r w:rsidR="3B4348E7" w:rsidRPr="00B61137">
        <w:rPr>
          <w:rFonts w:ascii="Arial" w:hAnsi="Arial" w:cs="Arial"/>
          <w:sz w:val="22"/>
          <w:szCs w:val="22"/>
        </w:rPr>
        <w:t>eq po sta</w:t>
      </w:r>
      <w:r w:rsidR="004A4031" w:rsidRPr="00B61137">
        <w:rPr>
          <w:rFonts w:ascii="Arial" w:hAnsi="Arial" w:cs="Arial"/>
          <w:sz w:val="22"/>
          <w:szCs w:val="22"/>
        </w:rPr>
        <w:t>n</w:t>
      </w:r>
      <w:r w:rsidR="3B4348E7" w:rsidRPr="00B61137">
        <w:rPr>
          <w:rFonts w:ascii="Arial" w:hAnsi="Arial" w:cs="Arial"/>
          <w:sz w:val="22"/>
          <w:szCs w:val="22"/>
        </w:rPr>
        <w:t>ov</w:t>
      </w:r>
      <w:r w:rsidR="004A4031" w:rsidRPr="00B61137">
        <w:rPr>
          <w:rFonts w:ascii="Arial" w:hAnsi="Arial" w:cs="Arial"/>
          <w:sz w:val="22"/>
          <w:szCs w:val="22"/>
        </w:rPr>
        <w:t>n</w:t>
      </w:r>
      <w:r w:rsidR="00744115">
        <w:rPr>
          <w:rFonts w:ascii="Arial" w:hAnsi="Arial" w:cs="Arial"/>
          <w:sz w:val="22"/>
          <w:szCs w:val="22"/>
        </w:rPr>
        <w:t>iku, 1990-2013</w:t>
      </w:r>
      <w:r w:rsidR="3B4348E7" w:rsidRPr="00B61137">
        <w:rPr>
          <w:rFonts w:ascii="Arial" w:hAnsi="Arial" w:cs="Arial"/>
          <w:sz w:val="22"/>
          <w:szCs w:val="22"/>
        </w:rPr>
        <w:t xml:space="preserve"> (t/stanovniku</w:t>
      </w:r>
      <w:r w:rsidR="3B4348E7" w:rsidRPr="00B61137">
        <w:rPr>
          <w:rFonts w:ascii="Arial" w:hAnsi="Arial" w:cs="Arial"/>
          <w:i/>
          <w:sz w:val="22"/>
          <w:szCs w:val="22"/>
        </w:rPr>
        <w:t>)</w:t>
      </w:r>
    </w:p>
    <w:p w:rsidR="004A4031" w:rsidRDefault="004A4031" w:rsidP="00722DF4">
      <w:pPr>
        <w:pStyle w:val="NoSpacing"/>
        <w:spacing w:line="276" w:lineRule="auto"/>
        <w:jc w:val="both"/>
        <w:rPr>
          <w:rFonts w:ascii="Arial" w:hAnsi="Arial" w:cs="Arial"/>
          <w:b/>
        </w:rPr>
      </w:pPr>
    </w:p>
    <w:p w:rsidR="00B61137" w:rsidRPr="00722DF4" w:rsidRDefault="00B61137" w:rsidP="00722DF4">
      <w:pPr>
        <w:pStyle w:val="NoSpacing"/>
        <w:spacing w:line="276" w:lineRule="auto"/>
        <w:jc w:val="both"/>
        <w:rPr>
          <w:rFonts w:ascii="Arial" w:hAnsi="Arial" w:cs="Arial"/>
          <w:b/>
        </w:rPr>
      </w:pPr>
    </w:p>
    <w:p w:rsidR="004A4031" w:rsidRPr="00722DF4" w:rsidRDefault="3B4348E7" w:rsidP="00722DF4">
      <w:pPr>
        <w:pStyle w:val="NoSpacing"/>
        <w:spacing w:line="276" w:lineRule="auto"/>
        <w:jc w:val="both"/>
        <w:rPr>
          <w:rFonts w:ascii="Arial" w:hAnsi="Arial" w:cs="Arial"/>
          <w:b/>
        </w:rPr>
      </w:pPr>
      <w:r w:rsidRPr="00722DF4">
        <w:rPr>
          <w:rFonts w:ascii="Arial" w:hAnsi="Arial" w:cs="Arial"/>
          <w:b/>
        </w:rPr>
        <w:t>2.2. Geomorfologija</w:t>
      </w:r>
    </w:p>
    <w:p w:rsidR="004A4031" w:rsidRPr="00722DF4" w:rsidRDefault="004A4031" w:rsidP="00722DF4">
      <w:pPr>
        <w:pStyle w:val="NoSpacing"/>
        <w:spacing w:line="276" w:lineRule="auto"/>
        <w:jc w:val="both"/>
        <w:rPr>
          <w:rFonts w:ascii="Arial" w:hAnsi="Arial" w:cs="Arial"/>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Razvoj reljefa Crne Gore predisponiran je intenzivnom geotektonskom aktivnošcu tokom geološke evolucije. Na teritoriji Crne Gore može se izdvojiti više reljefnih cjelina. To su:</w:t>
      </w: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Crnogorsko primorje,</w:t>
      </w: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Zaravan dubokog krasa (Krivošije, Grahovski kraj, Rudine i Banjani),</w:t>
      </w: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Središnja udolina Crne Gore,</w:t>
      </w: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Oblast visokih planina i površina,</w:t>
      </w:r>
    </w:p>
    <w:p w:rsidR="00983A30" w:rsidRDefault="00983A30" w:rsidP="00722DF4">
      <w:pPr>
        <w:spacing w:after="0"/>
        <w:jc w:val="both"/>
        <w:rPr>
          <w:rFonts w:ascii="Arial" w:hAnsi="Arial" w:cs="Arial"/>
          <w:sz w:val="24"/>
          <w:szCs w:val="24"/>
        </w:rPr>
      </w:pPr>
      <w:r w:rsidRPr="00722DF4">
        <w:rPr>
          <w:rFonts w:ascii="Arial" w:hAnsi="Arial" w:cs="Arial"/>
          <w:sz w:val="24"/>
          <w:szCs w:val="24"/>
        </w:rPr>
        <w:t>• Oblast sjeveroistocne Crne Gore.</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Crnogorsko primorje obuhvata uski obalni pojas koji je Orjenom, Lovćenom, Sutormanom i Rumijom oštro odvojen od ostalog dijela Crne Gore. Njihove strme strane i vertikalni odsijeci izbrazdani su dubokim tocilima i nazubljenim grebenima. U uskom pojasu između nižih brda uz obalu i planina u zaleđu formirani su kompleksi ravničarskih terena, od kojih se ističu Ulcinjsko i Vladimirsko polje na jugoistoku, Barsko, Buljaricko i Budvansko polje u središnjem dijelu, Mrčevo i Grbaljsko polje i uvala Sutorina u području Boke Kotorske.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Zaravan dubokog krša prosječne visine 800–1000 m niži je dio planinskog prostora Crne Gore, koji predstavlja jedno od najtipičnijih kraških područja na svijetu. Ova prostrana krečnjacko-dolomitska površ</w:t>
      </w:r>
      <w:r w:rsidR="004A4031" w:rsidRPr="00722DF4">
        <w:rPr>
          <w:rFonts w:ascii="Arial" w:hAnsi="Arial" w:cs="Arial"/>
          <w:sz w:val="24"/>
          <w:szCs w:val="24"/>
        </w:rPr>
        <w:t>, dužine 100 km i 50 km širine,</w:t>
      </w:r>
      <w:r w:rsidRPr="00722DF4">
        <w:rPr>
          <w:rFonts w:ascii="Arial" w:hAnsi="Arial" w:cs="Arial"/>
          <w:sz w:val="24"/>
          <w:szCs w:val="24"/>
        </w:rPr>
        <w:t xml:space="preserve"> stepenasto spušta od sjeverozapada prema jugoistoku do skadarske depresije. Čitava zaravan je područje ljutog krša sa specifičnim oblicima reljefa i specifičnom hidrografijom. Osnovnu geomorfološku strukturu regije karakterišu planinska područja Orjena, Lo</w:t>
      </w:r>
      <w:r w:rsidR="004A4031" w:rsidRPr="00722DF4">
        <w:rPr>
          <w:rFonts w:ascii="Arial" w:hAnsi="Arial" w:cs="Arial"/>
          <w:sz w:val="24"/>
          <w:szCs w:val="24"/>
        </w:rPr>
        <w:t>vć</w:t>
      </w:r>
      <w:r w:rsidRPr="00722DF4">
        <w:rPr>
          <w:rFonts w:ascii="Arial" w:hAnsi="Arial" w:cs="Arial"/>
          <w:sz w:val="24"/>
          <w:szCs w:val="24"/>
        </w:rPr>
        <w:t>ena, Rumije, Somine, Njeg</w:t>
      </w:r>
      <w:r w:rsidR="004A4031" w:rsidRPr="00722DF4">
        <w:rPr>
          <w:rFonts w:ascii="Arial" w:hAnsi="Arial" w:cs="Arial"/>
          <w:sz w:val="24"/>
          <w:szCs w:val="24"/>
        </w:rPr>
        <w:t>uša, Pustog lisca, Budoša i Garč</w:t>
      </w:r>
      <w:r w:rsidRPr="00722DF4">
        <w:rPr>
          <w:rFonts w:ascii="Arial" w:hAnsi="Arial" w:cs="Arial"/>
          <w:sz w:val="24"/>
          <w:szCs w:val="24"/>
        </w:rPr>
        <w:t xml:space="preserve">a, te manja kraška polja.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Središnja udolina Crne Gore, odnosno oblast Zetske i Bjelopavlićke ravnice, Nikšićkog polja i klanca Duge, veoma je naglašena morfološka i geotektonska crta u prostoru Crne Gore i Dinarida u cjelini. Proteže se između Gatačkog polja i Skadarskog jezera i dalje prema jugoistoku, a otvorena je prema Jadranskom moru.</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Najveći dio sjevernog područja Crne Gore čini oblast visokih planina, koji se smatra jedanim od najtipičnijih prostora Dinarida. Oblast čine viši planinski lanci dinarskog smjera pružanja, između kojih se nalaze duboki kanjoni i površine. Posebnu važnost imaju kanjonske doline rijeke Morače, Tare i Pive. Među planinama ističu se Golija, Vojnik, Maganik, Prekornica, Žijovo, Volujak, Ljubišnja, Durmitor, Sinjajevina, Bjelasica, Komovi, Visitor i Prokletije. U dolini Tare najprostranije su M</w:t>
      </w:r>
      <w:r w:rsidR="004A4031" w:rsidRPr="00722DF4">
        <w:rPr>
          <w:rFonts w:ascii="Arial" w:hAnsi="Arial" w:cs="Arial"/>
          <w:sz w:val="24"/>
          <w:szCs w:val="24"/>
        </w:rPr>
        <w:t>ojkovačka i Kolašinska kotlina. U dolini rijeke Ćehotine najznač</w:t>
      </w:r>
      <w:r w:rsidRPr="00722DF4">
        <w:rPr>
          <w:rFonts w:ascii="Arial" w:hAnsi="Arial" w:cs="Arial"/>
          <w:sz w:val="24"/>
          <w:szCs w:val="24"/>
        </w:rPr>
        <w:t xml:space="preserve">ajnije su veće kotline Maočka i Pljevaljska. </w:t>
      </w:r>
    </w:p>
    <w:p w:rsidR="00107E20" w:rsidRPr="00722DF4" w:rsidRDefault="00107E2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Sjeveroistočna oblast se prostire pravcem sjeverozapad – jugoistok u dužini od 140 km i širini od 35 km. Najveci dio ove oblasti izgrađuju paleozojske stijene (izvorišni dijelovi Ćehotine i Ljuboviđe, dijelovi podrulčja Pljevalja i Rožaja), kao i više mjesta u rječnim dolinama. Za formiranje određenih oblika reljefa imaju značaj mlade neogene naslage u kotlinama i uvalama, prije svega u Beranskoj i Pljevaljskoj kotlini, gdje se nalaze ležišta uglja. U okviru ove oblasti, kao posebne cjeline izdvajaju se doline Ćehotine, Lima i Ibra.</w:t>
      </w:r>
    </w:p>
    <w:p w:rsidR="00983A30" w:rsidRPr="00722DF4" w:rsidRDefault="00983A30" w:rsidP="00722DF4">
      <w:pPr>
        <w:spacing w:after="0"/>
        <w:jc w:val="both"/>
        <w:rPr>
          <w:rFonts w:ascii="Arial" w:hAnsi="Arial" w:cs="Arial"/>
          <w:sz w:val="24"/>
          <w:szCs w:val="24"/>
        </w:rPr>
      </w:pPr>
    </w:p>
    <w:p w:rsidR="00983A30"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296535" cy="2096135"/>
            <wp:effectExtent l="19050" t="0" r="0" b="0"/>
            <wp:docPr id="23" name="Picture 10" descr="crna-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na-gora"/>
                    <pic:cNvPicPr>
                      <a:picLocks noChangeAspect="1" noChangeArrowheads="1"/>
                    </pic:cNvPicPr>
                  </pic:nvPicPr>
                  <pic:blipFill>
                    <a:blip r:embed="rId27" cstate="print"/>
                    <a:srcRect/>
                    <a:stretch>
                      <a:fillRect/>
                    </a:stretch>
                  </pic:blipFill>
                  <pic:spPr bwMode="auto">
                    <a:xfrm>
                      <a:off x="0" y="0"/>
                      <a:ext cx="5296535" cy="2096135"/>
                    </a:xfrm>
                    <a:prstGeom prst="rect">
                      <a:avLst/>
                    </a:prstGeom>
                    <a:noFill/>
                    <a:ln w="9525">
                      <a:noFill/>
                      <a:miter lim="800000"/>
                      <a:headEnd/>
                      <a:tailEnd/>
                    </a:ln>
                  </pic:spPr>
                </pic:pic>
              </a:graphicData>
            </a:graphic>
          </wp:inline>
        </w:drawing>
      </w:r>
    </w:p>
    <w:p w:rsidR="00E75D52" w:rsidRPr="00B61137" w:rsidRDefault="00983A30" w:rsidP="00722DF4">
      <w:pPr>
        <w:spacing w:after="0"/>
        <w:jc w:val="both"/>
        <w:rPr>
          <w:rFonts w:ascii="Arial" w:hAnsi="Arial" w:cs="Arial"/>
          <w:i/>
        </w:rPr>
      </w:pPr>
      <w:r w:rsidRPr="00B61137">
        <w:rPr>
          <w:rFonts w:ascii="Arial" w:hAnsi="Arial" w:cs="Arial"/>
          <w:b/>
          <w:i/>
        </w:rPr>
        <w:t xml:space="preserve">Slika </w:t>
      </w:r>
      <w:r w:rsidR="009361EE" w:rsidRPr="00B61137">
        <w:rPr>
          <w:rFonts w:ascii="Arial" w:hAnsi="Arial" w:cs="Arial"/>
          <w:b/>
          <w:i/>
        </w:rPr>
        <w:t>2.1</w:t>
      </w:r>
      <w:r w:rsidR="005A1861" w:rsidRPr="00B61137">
        <w:rPr>
          <w:rFonts w:ascii="Arial" w:hAnsi="Arial" w:cs="Arial"/>
          <w:b/>
          <w:i/>
        </w:rPr>
        <w:t>4</w:t>
      </w:r>
      <w:r w:rsidR="009361EE" w:rsidRPr="00B61137">
        <w:rPr>
          <w:rFonts w:ascii="Arial" w:hAnsi="Arial" w:cs="Arial"/>
          <w:i/>
        </w:rPr>
        <w:t>.</w:t>
      </w:r>
      <w:r w:rsidRPr="00B61137">
        <w:rPr>
          <w:rFonts w:ascii="Arial" w:hAnsi="Arial" w:cs="Arial"/>
          <w:i/>
        </w:rPr>
        <w:t>Prikaz reljefa Crne Gore</w:t>
      </w:r>
    </w:p>
    <w:p w:rsidR="00107E20" w:rsidRDefault="00107E20" w:rsidP="00722DF4">
      <w:pPr>
        <w:spacing w:after="0"/>
        <w:jc w:val="both"/>
        <w:rPr>
          <w:rFonts w:ascii="Arial" w:hAnsi="Arial" w:cs="Arial"/>
          <w:sz w:val="24"/>
          <w:szCs w:val="24"/>
        </w:rPr>
      </w:pPr>
    </w:p>
    <w:p w:rsidR="00B61137" w:rsidRPr="00722DF4" w:rsidRDefault="00B61137" w:rsidP="00722DF4">
      <w:pPr>
        <w:spacing w:after="0"/>
        <w:jc w:val="both"/>
        <w:rPr>
          <w:rFonts w:ascii="Arial" w:hAnsi="Arial" w:cs="Arial"/>
          <w:sz w:val="24"/>
          <w:szCs w:val="24"/>
        </w:rPr>
      </w:pPr>
    </w:p>
    <w:p w:rsidR="00983A30" w:rsidRPr="00722DF4" w:rsidRDefault="00983A30" w:rsidP="00722DF4">
      <w:pPr>
        <w:pStyle w:val="Heading2"/>
        <w:numPr>
          <w:ilvl w:val="0"/>
          <w:numId w:val="0"/>
        </w:numPr>
        <w:spacing w:before="0"/>
        <w:jc w:val="both"/>
        <w:rPr>
          <w:rFonts w:cs="Arial"/>
          <w:szCs w:val="24"/>
        </w:rPr>
      </w:pPr>
      <w:bookmarkStart w:id="22" w:name="_Toc6172813"/>
      <w:r w:rsidRPr="00722DF4">
        <w:rPr>
          <w:rFonts w:cs="Arial"/>
          <w:szCs w:val="24"/>
        </w:rPr>
        <w:t>2.3. Geološke i hidrogeološke karakteristike</w:t>
      </w:r>
      <w:bookmarkEnd w:id="22"/>
    </w:p>
    <w:p w:rsidR="004A4031" w:rsidRDefault="00983A30" w:rsidP="00722DF4">
      <w:pPr>
        <w:pStyle w:val="Heading3"/>
        <w:numPr>
          <w:ilvl w:val="0"/>
          <w:numId w:val="0"/>
        </w:numPr>
        <w:spacing w:before="0"/>
        <w:jc w:val="both"/>
        <w:rPr>
          <w:rFonts w:cs="Arial"/>
          <w:szCs w:val="24"/>
          <w:lang w:val="sr-Latn-CS"/>
        </w:rPr>
      </w:pPr>
      <w:bookmarkStart w:id="23" w:name="_Toc6172814"/>
      <w:r w:rsidRPr="00722DF4">
        <w:rPr>
          <w:rFonts w:cs="Arial"/>
          <w:szCs w:val="24"/>
        </w:rPr>
        <w:t>2.3.1. Geološke karakteristike</w:t>
      </w:r>
      <w:bookmarkEnd w:id="23"/>
    </w:p>
    <w:p w:rsidR="00107E20" w:rsidRPr="00107E20" w:rsidRDefault="00107E20" w:rsidP="00107E20">
      <w:pPr>
        <w:rPr>
          <w:lang w:val="sr-Latn-CS"/>
        </w:rPr>
      </w:pPr>
    </w:p>
    <w:p w:rsidR="009B32FC" w:rsidRDefault="00983A30" w:rsidP="00722DF4">
      <w:pPr>
        <w:spacing w:after="0"/>
        <w:jc w:val="both"/>
        <w:rPr>
          <w:rFonts w:ascii="Arial" w:hAnsi="Arial" w:cs="Arial"/>
          <w:sz w:val="24"/>
          <w:szCs w:val="24"/>
        </w:rPr>
      </w:pPr>
      <w:r w:rsidRPr="00722DF4">
        <w:rPr>
          <w:rFonts w:ascii="Arial" w:hAnsi="Arial" w:cs="Arial"/>
          <w:sz w:val="24"/>
          <w:szCs w:val="24"/>
        </w:rPr>
        <w:lastRenderedPageBreak/>
        <w:t xml:space="preserve">Prostor Crne Gore izgrađen je od naslaga koje su nastale u </w:t>
      </w:r>
      <w:r w:rsidR="009B32FC" w:rsidRPr="00722DF4">
        <w:rPr>
          <w:rFonts w:ascii="Arial" w:hAnsi="Arial" w:cs="Arial"/>
          <w:sz w:val="24"/>
          <w:szCs w:val="24"/>
        </w:rPr>
        <w:t xml:space="preserve">posljednjih 400 miliona godina. </w:t>
      </w:r>
      <w:r w:rsidRPr="00722DF4">
        <w:rPr>
          <w:rFonts w:ascii="Arial" w:hAnsi="Arial" w:cs="Arial"/>
          <w:sz w:val="24"/>
          <w:szCs w:val="24"/>
        </w:rPr>
        <w:t>Stijene stratigrafski pripadaju eri pale</w:t>
      </w:r>
      <w:r w:rsidR="00B72D05" w:rsidRPr="00722DF4">
        <w:rPr>
          <w:rFonts w:ascii="Arial" w:hAnsi="Arial" w:cs="Arial"/>
          <w:sz w:val="24"/>
          <w:szCs w:val="24"/>
        </w:rPr>
        <w:t xml:space="preserve">ozoika, mezozoika i kenozoika. </w:t>
      </w:r>
    </w:p>
    <w:p w:rsidR="00107E20" w:rsidRPr="00722DF4" w:rsidRDefault="00107E2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u w:val="single"/>
        </w:rPr>
      </w:pPr>
      <w:r w:rsidRPr="00722DF4">
        <w:rPr>
          <w:rFonts w:ascii="Arial" w:hAnsi="Arial" w:cs="Arial"/>
          <w:sz w:val="24"/>
          <w:szCs w:val="24"/>
          <w:u w:val="single"/>
        </w:rPr>
        <w:t>Paleozoik</w:t>
      </w: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xml:space="preserve">Najstariji slojevi na prostoru Crne Gore pripadaju mlađem paleozoiku (devon, karbon i perm). Paleozojske tvorevine javljaju se između Ibra, Lima i Tare. Predstavljene su stijenama koje su manje ili više škriljave, glinovito-laporovito pjeskovitim slojevima i raznovrsnim škriljcima s rjeđm proslojcima i sočivima krečnjaka i konglomerata. </w:t>
      </w: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U jezgru antiklinale u okolini Rožaja, otkrivene su stijene devonske starosti. Na većim površinama u dolinama Ibra, Lima i Tare,a dijelom i u dolini Ćehotine, oko Rožaja, Andrejevice, Berana, Bijelog Polja, Mojkovca i Kolašina, raširene su stijene mlađeg paleozoika, koje prišpadaju devonu i permu. Iste starosti su i paleozojski sediment oko Budve, Petrovca i u okolini Rumije. </w:t>
      </w:r>
    </w:p>
    <w:p w:rsidR="00107E20" w:rsidRPr="00722DF4" w:rsidRDefault="00107E2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u w:val="single"/>
        </w:rPr>
      </w:pPr>
      <w:r w:rsidRPr="00722DF4">
        <w:rPr>
          <w:rFonts w:ascii="Arial" w:hAnsi="Arial" w:cs="Arial"/>
          <w:sz w:val="24"/>
          <w:szCs w:val="24"/>
          <w:u w:val="single"/>
        </w:rPr>
        <w:t xml:space="preserve">Mezozoik </w:t>
      </w: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Izuzimajući manje zone paleogenog fliša i kvartarne sedimente, preostali prostor Crne Gore izgrađen je od mezozojskih tvorervina (trijas, jura i kreda).</w:t>
      </w:r>
    </w:p>
    <w:p w:rsidR="00983A30" w:rsidRDefault="00983A30" w:rsidP="00722DF4">
      <w:pPr>
        <w:spacing w:after="0"/>
        <w:jc w:val="both"/>
        <w:rPr>
          <w:rFonts w:ascii="Arial" w:hAnsi="Arial" w:cs="Arial"/>
          <w:sz w:val="24"/>
          <w:szCs w:val="24"/>
        </w:rPr>
      </w:pPr>
      <w:r w:rsidRPr="00722DF4">
        <w:rPr>
          <w:rFonts w:ascii="Arial" w:hAnsi="Arial" w:cs="Arial"/>
          <w:sz w:val="24"/>
          <w:szCs w:val="24"/>
        </w:rPr>
        <w:t>Donji trijas, razvijen je u klastičnoj faciji verfenskih slojeva, koje čine liskunoviti pješčari i škriljci, pjeskoviti škriljci i ređe oločasti krečnjaci i dolomite.  Ovi sediment su erozijom najčešće otkriveni pod nu dubokih dolina, ali ih ima na višim nivoima, gde tektonskim putem uzdignuti. Kao klastična masa, verfenski slojevi imaju veliki hidrogeološki značaj, odnosno predstavlja hidrogeološku barijeru, pa se javljaju brojna vrela, na kontaku verfenskih slojeva i krečnjaka, koji ih prekriva.</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Verfenski slojevi su utvrđeni na Bjelasici, Visitoru, pograničnim krajevima između Srbije i Crne Gore, u dolini Ibra i Ćehotine, u podnožju Ljubišnje, u dolini Tare, a veće preostranstvo zahvataju oko Mojkovca i Kolašina. Uske zone pomenutih slojeva registrovane su i duž tektonskih linija, na većim nadmorskim visinama, na Durmitoru i Sinjajevini.  Takođe, verfenski slojevi zahvataju znatno prostranstvo u Nikšićkoj župi i na prostoru Crmnice.</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Srednji trijas zahvata veće prostranstvo od donjeg trijasa. Obično se javlja u faciji čistih krečnjaka, ali</w:t>
      </w:r>
      <w:r w:rsidR="008644EF" w:rsidRPr="00722DF4">
        <w:rPr>
          <w:rFonts w:ascii="Arial" w:hAnsi="Arial" w:cs="Arial"/>
          <w:sz w:val="24"/>
          <w:szCs w:val="24"/>
        </w:rPr>
        <w:t xml:space="preserve"> i</w:t>
      </w:r>
      <w:r w:rsidRPr="00722DF4">
        <w:rPr>
          <w:rFonts w:ascii="Arial" w:hAnsi="Arial" w:cs="Arial"/>
          <w:sz w:val="24"/>
          <w:szCs w:val="24"/>
        </w:rPr>
        <w:t xml:space="preserve"> u faciji klastičnih stijena. Sedimente srednjeg trijasa dosta je teško razlikovati od sedimenata gornjeg trijasa, u koje često neprimetno prelaze. Detektovane su dvije isprekidane uzane zone srednjeg trijasa, koje se protežu duž primorja, sve od Sutorine do rijeke Bojane. Uske zone srednjeg trijasa nalaze se i u unutrašnjosti, u Crmnici i u Nikšićkoj župi.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lastRenderedPageBreak/>
        <w:t>Najveće prostranstvo sediment</w:t>
      </w:r>
      <w:r w:rsidR="008644EF" w:rsidRPr="00722DF4">
        <w:rPr>
          <w:rFonts w:ascii="Arial" w:hAnsi="Arial" w:cs="Arial"/>
          <w:sz w:val="24"/>
          <w:szCs w:val="24"/>
        </w:rPr>
        <w:t>i</w:t>
      </w:r>
      <w:r w:rsidRPr="00722DF4">
        <w:rPr>
          <w:rFonts w:ascii="Arial" w:hAnsi="Arial" w:cs="Arial"/>
          <w:sz w:val="24"/>
          <w:szCs w:val="24"/>
        </w:rPr>
        <w:t xml:space="preserve"> srednjeg trijasa imaju u sjevernom dijelu Crne Gore, na Ljubišnji, oko Pljevalja, kao i u istočnim krajevima, oko Berana, i na planinama istočnije od doline Lima. Srednji trijas prisutan je i na Sinjajevini, Durmitoru, i dolinama Pive i Tare.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Gornji trijas zastupljen je dolomitima, dolomitičnim krečnjacima, i krečnjacima. U južnim i jugozapadnim dijelovima Crne Gore, dornji trijas je više predstavljen dolomitima, a u sjveroistočnim krečnjacima. Jugozapadni pojas dolomita gornjeg trijasa podijeljen je rijekom Zetom na dva uzdužna pojasa.  Dolomitični pojas jugozapadno od doline Zete proteže se od granice sa Hercegovinom, obuhvata veliki dio grahovskog polja, a nastavlja se dalje ka Lovćenu, Cetinjskom polju, Rijeci Crnojevića i Crmnici, i dalje ka Rumiji. Sjeveroitočno od Zete nalazi se drugi pojas Dolomita gornjeg trijasa, koji je koji je manje otkriven i povezan. Počinje u dolini Pive, a nastavlja se dolinom Komarnice, preko dijelova vojnika i Jasenova polja, istočnim obodom Nikšićkog polja, da bi se preko Prekornice i doline Morače nastavio na Kuče.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Krečnjaci gornjeg trijasa zauzimaju znatan prostor oko toka Ćehotine, Ljubišnje, Maglića, na Durmitoru i Sinjajevini. Na mjestima gde su tokom duge geološke istorije izloženi eroziji, na njima je prisutno bogatstvo kraških oblika reljefa.</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Jurski sediment dosta su rasprostranjeni u Crnoj Gori. Najeveće prostore jura zauzima u prijedelu dubok</w:t>
      </w:r>
      <w:r w:rsidR="008644EF" w:rsidRPr="00722DF4">
        <w:rPr>
          <w:rFonts w:ascii="Arial" w:hAnsi="Arial" w:cs="Arial"/>
          <w:sz w:val="24"/>
          <w:szCs w:val="24"/>
        </w:rPr>
        <w:t>og</w:t>
      </w:r>
      <w:r w:rsidRPr="00722DF4">
        <w:rPr>
          <w:rFonts w:ascii="Arial" w:hAnsi="Arial" w:cs="Arial"/>
          <w:sz w:val="24"/>
          <w:szCs w:val="24"/>
        </w:rPr>
        <w:t xml:space="preserve"> krša.  Sedimenti donje jure javljaju se u obliku litiotskih sivih krečnjaka i crvenih škriljavih krečnjaka. Litiotski krečnjaci su su često veoma laporoviti, čak i potpuno glinoviti. Obiluju fosilima. Zastupljeni su na dijelovima Lovćena, na zapadnom obodu Grahovskog polja, u dolini Morače i duž sjeveroistočnih padine Rumije. Crveni pločasti, nekad i škriljavi krečnjaci zastupljeni su</w:t>
      </w:r>
      <w:r w:rsidR="00A2618E">
        <w:rPr>
          <w:rFonts w:ascii="Arial" w:hAnsi="Arial" w:cs="Arial"/>
          <w:sz w:val="24"/>
          <w:szCs w:val="24"/>
        </w:rPr>
        <w:t xml:space="preserve"> n</w:t>
      </w:r>
      <w:r w:rsidRPr="00722DF4">
        <w:rPr>
          <w:rFonts w:ascii="Arial" w:hAnsi="Arial" w:cs="Arial"/>
          <w:sz w:val="24"/>
          <w:szCs w:val="24"/>
        </w:rPr>
        <w:t>a Vojniku  i Pivskoj planini.</w:t>
      </w:r>
    </w:p>
    <w:p w:rsidR="00107E20" w:rsidRPr="00722DF4" w:rsidRDefault="00107E20" w:rsidP="00722DF4">
      <w:pPr>
        <w:spacing w:after="0"/>
        <w:jc w:val="both"/>
        <w:rPr>
          <w:rFonts w:ascii="Arial" w:hAnsi="Arial" w:cs="Arial"/>
          <w:sz w:val="24"/>
          <w:szCs w:val="24"/>
        </w:rPr>
      </w:pPr>
    </w:p>
    <w:p w:rsidR="00983A30" w:rsidRDefault="00A2618E" w:rsidP="00722DF4">
      <w:pPr>
        <w:spacing w:after="0"/>
        <w:jc w:val="both"/>
        <w:rPr>
          <w:rFonts w:ascii="Arial" w:hAnsi="Arial" w:cs="Arial"/>
          <w:sz w:val="24"/>
          <w:szCs w:val="24"/>
        </w:rPr>
      </w:pPr>
      <w:r>
        <w:rPr>
          <w:rFonts w:ascii="Arial" w:hAnsi="Arial" w:cs="Arial"/>
          <w:sz w:val="24"/>
          <w:szCs w:val="24"/>
        </w:rPr>
        <w:t>Srednja jura se javlja na</w:t>
      </w:r>
      <w:r w:rsidR="00983A30" w:rsidRPr="00722DF4">
        <w:rPr>
          <w:rFonts w:ascii="Arial" w:hAnsi="Arial" w:cs="Arial"/>
          <w:sz w:val="24"/>
          <w:szCs w:val="24"/>
        </w:rPr>
        <w:t xml:space="preserve"> primorju, na prostoru oko Herceg Novog, do Veriga, i od Bečića do Sutomora. To </w:t>
      </w:r>
      <w:r>
        <w:rPr>
          <w:rFonts w:ascii="Arial" w:hAnsi="Arial" w:cs="Arial"/>
          <w:sz w:val="24"/>
          <w:szCs w:val="24"/>
        </w:rPr>
        <w:t xml:space="preserve">su </w:t>
      </w:r>
      <w:r w:rsidR="00983A30" w:rsidRPr="00722DF4">
        <w:rPr>
          <w:rFonts w:ascii="Arial" w:hAnsi="Arial" w:cs="Arial"/>
          <w:sz w:val="24"/>
          <w:szCs w:val="24"/>
        </w:rPr>
        <w:t xml:space="preserve">crvenkasti tanko slojeviti krečnjaci sa rožnacima.  Na prostoru dubokog krša srednja jura nema veliko rasprostranjenje.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Gornja jura zastupljena je u primorskom pojasu, u obliku uskih pojaseva, podnožjem Orjena i Lovćena, a ovi slojevi se obično završavaju rožnacima. Na prostoru dubokog krša, gornja jura se teško može odvojiti od srednje jure.  Izrazitije je izdvojen pojas krečnjaka gornje jure podnožjem Rumije i oko Skadarskog jezera, između albanske granice i Virpazara, ali i zapadnije u dijelu Crmnice. U oblasti kučke kraljušti gornja jura se takođe javlja sa srednjom jurom. Predstavljene su dugim pojasom od Pivske župe, preko Vojnika i Nikšićke župe, dalje ka jugoistoku do Žijova. Na prostoru sjveroistočne Crne Gore gornja jura je uglavnom predstavljena facijom krečnjaka  koja često dostiže debljinu i preko 400 m (dijelovi Durmitora, Sinjajevina i Pivske planine).</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Kreda je u Crnoj Gori zastupljena u faciji krečnjaka, dolomita i fliša. Sedimenti donje krede prostiru se duž primorja, preko jurskih sedimenata. U karbonatnim sedimentima donje krede znatno je prisustvo silicijskih stijena. Donja kreda se prostire u dijelu Sutorine, na više mjesta u Boki Kotorskoj, na prostoru Budve, Svetog Stefana i Petrovca. U srednjem dijelu Crne Gore donja kreda je razvijena oko Skadarskog jezerai u dolini Cijevne. Ovi krečnjaci u završnim dijelovima prelaze u dolomite. U kučkoj geotektonskoj jedinici zahvata relativno širok pojas od Kuča preko Morače, na Prekornici, Maganiku i oko Nikšića. Obično su to bankoviti sivi krečnjaci.</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Gornja kreda je na primorju zastupljena u okviru klastične, krečnjačko-silicijske facije. Ovih sedimenata ima u Boki kotorskoj, oko Budve, Petrovca i Bara. Na prostoru dubokog krša i u srednjem dijelu Crne Gore ovi sedimenti imaju veliko rasprostranjenje. Otkriveni su u neprekidnom lancu od granice prema Albaniji, preko okoline Podgorice, Danilovgrada i Nikšića, prema Hercegovini. Uglavnom se radi o čistim krečnjacima, dok su dolomiti znatno ređi. Gornjoj kredi pripadaju i jednim dijelom flišni sedimenti oko Herceg Novog, Mornjskog i Risanskog zaliva.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Krajem krede i početkom paleogena nataložena su naslage koje</w:t>
      </w:r>
      <w:r w:rsidR="008644EF" w:rsidRPr="00722DF4">
        <w:rPr>
          <w:rFonts w:ascii="Arial" w:hAnsi="Arial" w:cs="Arial"/>
          <w:sz w:val="24"/>
          <w:szCs w:val="24"/>
        </w:rPr>
        <w:t xml:space="preserve"> su u literaturi</w:t>
      </w:r>
      <w:r w:rsidRPr="00722DF4">
        <w:rPr>
          <w:rFonts w:ascii="Arial" w:hAnsi="Arial" w:cs="Arial"/>
          <w:sz w:val="24"/>
          <w:szCs w:val="24"/>
        </w:rPr>
        <w:t xml:space="preserve"> poznate kao durmitorski fliš, koji čine krupnozrni heterogeni krečnjaci, breče, konglomerati i pijeskovito-lap</w:t>
      </w:r>
      <w:r w:rsidR="008644EF" w:rsidRPr="00722DF4">
        <w:rPr>
          <w:rFonts w:ascii="Arial" w:hAnsi="Arial" w:cs="Arial"/>
          <w:sz w:val="24"/>
          <w:szCs w:val="24"/>
        </w:rPr>
        <w:t>oroviti sedimenti. Ove tvorevine</w:t>
      </w:r>
      <w:r w:rsidRPr="00722DF4">
        <w:rPr>
          <w:rFonts w:ascii="Arial" w:hAnsi="Arial" w:cs="Arial"/>
          <w:sz w:val="24"/>
          <w:szCs w:val="24"/>
        </w:rPr>
        <w:t xml:space="preserve"> rasprostranjene su u dolinama Sušice i Pive, i nastavljaju se srednjim dijelom Durmitora, ka jugoistoku u dolini Tare uzvodno od Kolašina.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Na mezozojskim sedimentima formirana su brojna ležišta crvenih i bijelih boksita. </w:t>
      </w:r>
    </w:p>
    <w:p w:rsidR="00107E20" w:rsidRPr="00722DF4" w:rsidRDefault="00107E2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u w:val="single"/>
        </w:rPr>
      </w:pPr>
      <w:r w:rsidRPr="00722DF4">
        <w:rPr>
          <w:rFonts w:ascii="Arial" w:hAnsi="Arial" w:cs="Arial"/>
          <w:sz w:val="24"/>
          <w:szCs w:val="24"/>
          <w:u w:val="single"/>
        </w:rPr>
        <w:t>Kenozoik</w:t>
      </w: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Sedimenti paleogena otkriveni su na Crnogorskom primorju, u obliku paralelnih pojaseva, pravca pružanja sjeverozapad-jugoistok. To su pretežno klastične stijene, koje se prostiru od Sutorine, preko Boke, Budve, Buljarice, Bara i Ulcinja. Ove stijene predstavljene su konglomeratima, nimulitskim krečnjacima, pjaščarima i brečama, laporcima i alevrolitima. Paleogeni sedimenti registrovani su i u na drugim lokalitetima, takođe u visu u uskih pojaseva. </w:t>
      </w:r>
    </w:p>
    <w:p w:rsidR="00107E20" w:rsidRPr="00722DF4" w:rsidRDefault="00107E2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xml:space="preserve">Neogen je razvijen u faciji jezerskih sedimenata, koji su otkriveni u većem broju basena. Ti sedimenti imaju veliki značaj jer su praćeni nalazištima uglja. Neogeni baseni nalaze se u okolini Rožaja, Berana, a najpoznatiji baseni su u Pljevljima i okolini. </w:t>
      </w: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Kvartarni sedimenti predstavljaju najmlađe tvorevine koje izgrađuju teritoriju Crne Gore. Razvijene su u svim dijelovima teritorije Crne Gore i vrlo su različitog litološkog sastava. </w:t>
      </w:r>
      <w:r w:rsidRPr="00722DF4">
        <w:rPr>
          <w:rFonts w:ascii="Arial" w:hAnsi="Arial" w:cs="Arial"/>
          <w:sz w:val="24"/>
          <w:szCs w:val="24"/>
        </w:rPr>
        <w:lastRenderedPageBreak/>
        <w:t>Kvartarni nanosi nastali su u novijoj geološkoj istoriji,  egzogenim procesima. U zavisnosti od procesa kojim je materi</w:t>
      </w:r>
      <w:r w:rsidR="008644EF" w:rsidRPr="00722DF4">
        <w:rPr>
          <w:rFonts w:ascii="Arial" w:hAnsi="Arial" w:cs="Arial"/>
          <w:sz w:val="24"/>
          <w:szCs w:val="24"/>
        </w:rPr>
        <w:t>j</w:t>
      </w:r>
      <w:r w:rsidRPr="00722DF4">
        <w:rPr>
          <w:rFonts w:ascii="Arial" w:hAnsi="Arial" w:cs="Arial"/>
          <w:sz w:val="24"/>
          <w:szCs w:val="24"/>
        </w:rPr>
        <w:t>al kvartarne starosti stvaran, kao i od geološke sredine u kojoj se process dešavao, mogu se izdvojiti najrazličitije litološke tvorevine. Prema procesima u kojima nastaju, kvartarni sediment</w:t>
      </w:r>
      <w:r w:rsidR="008644EF" w:rsidRPr="00722DF4">
        <w:rPr>
          <w:rFonts w:ascii="Arial" w:hAnsi="Arial" w:cs="Arial"/>
          <w:sz w:val="24"/>
          <w:szCs w:val="24"/>
        </w:rPr>
        <w:t>i</w:t>
      </w:r>
      <w:r w:rsidRPr="00722DF4">
        <w:rPr>
          <w:rFonts w:ascii="Arial" w:hAnsi="Arial" w:cs="Arial"/>
          <w:sz w:val="24"/>
          <w:szCs w:val="24"/>
        </w:rPr>
        <w:t xml:space="preserve"> mogu biti aluvijalni, deluvijalni, glacijalni (morene), kao i fluvio-glacijalni, aluvijalno-deluvijalni i limno-glacijalni. Pretežno su to gline, pijeskovi, šljunkovi, različite granulacije i litološkog sastava. </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Najveće akumulacije aluvijalnih sedimenata nalaze se u dolinama rijeka (Morača, Zeta, Tara..) i u zonama vodotokova uopšte. Prisustvo glacijalnih sedimenata vezuje se periode glacijacije, a najveći centri glacijacije, a samim tim i najveće naslage morenskog materijala su područja Durmitora, Sinjajevine, Bjelasice, Žijova, Maganika i ostalih. Deluvijalni sedimenti vezani su podnožja strmih planinskih strana i najčešće su predstavljeni komadima krečnjaka i dolomita. </w:t>
      </w:r>
    </w:p>
    <w:p w:rsidR="00107E20" w:rsidRPr="00722DF4" w:rsidRDefault="00107E2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xml:space="preserve">Magmatske stijene otkrivene su </w:t>
      </w:r>
      <w:r w:rsidR="008644EF" w:rsidRPr="00722DF4">
        <w:rPr>
          <w:rFonts w:ascii="Arial" w:hAnsi="Arial" w:cs="Arial"/>
          <w:sz w:val="24"/>
          <w:szCs w:val="24"/>
        </w:rPr>
        <w:t xml:space="preserve">u </w:t>
      </w:r>
      <w:r w:rsidRPr="00722DF4">
        <w:rPr>
          <w:rFonts w:ascii="Arial" w:hAnsi="Arial" w:cs="Arial"/>
          <w:sz w:val="24"/>
          <w:szCs w:val="24"/>
        </w:rPr>
        <w:t xml:space="preserve">svim dijelovima Crne Gore. Njihovo izlivanje desilo se posle donjeg trijasa, pretežno tokom srednjeg trijasa. Obično su to andeziti, daciti, kvarc-keratofiri i keratofiri, prećeni tufovima i tufitima.  </w:t>
      </w:r>
    </w:p>
    <w:p w:rsidR="00983A30" w:rsidRPr="00722DF4" w:rsidRDefault="00983A3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p>
    <w:p w:rsidR="00983A30"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5443220" cy="6228080"/>
            <wp:effectExtent l="19050" t="0" r="508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srcRect/>
                    <a:stretch>
                      <a:fillRect/>
                    </a:stretch>
                  </pic:blipFill>
                  <pic:spPr bwMode="auto">
                    <a:xfrm>
                      <a:off x="0" y="0"/>
                      <a:ext cx="5443220" cy="6228080"/>
                    </a:xfrm>
                    <a:prstGeom prst="rect">
                      <a:avLst/>
                    </a:prstGeom>
                    <a:noFill/>
                    <a:ln w="9525">
                      <a:noFill/>
                      <a:miter lim="800000"/>
                      <a:headEnd/>
                      <a:tailEnd/>
                    </a:ln>
                  </pic:spPr>
                </pic:pic>
              </a:graphicData>
            </a:graphic>
          </wp:inline>
        </w:drawing>
      </w:r>
    </w:p>
    <w:p w:rsidR="00983A30" w:rsidRPr="00B61137" w:rsidRDefault="009B32FC" w:rsidP="00722DF4">
      <w:pPr>
        <w:spacing w:after="0"/>
        <w:jc w:val="both"/>
        <w:rPr>
          <w:rFonts w:ascii="Arial" w:hAnsi="Arial" w:cs="Arial"/>
        </w:rPr>
      </w:pPr>
      <w:r w:rsidRPr="00B61137">
        <w:rPr>
          <w:rFonts w:ascii="Arial" w:hAnsi="Arial" w:cs="Arial"/>
          <w:b/>
        </w:rPr>
        <w:t xml:space="preserve">Slika </w:t>
      </w:r>
      <w:r w:rsidR="005A1861" w:rsidRPr="00B61137">
        <w:rPr>
          <w:rFonts w:ascii="Arial" w:hAnsi="Arial" w:cs="Arial"/>
          <w:b/>
        </w:rPr>
        <w:t>2.15</w:t>
      </w:r>
      <w:r w:rsidR="009361EE" w:rsidRPr="00B61137">
        <w:rPr>
          <w:rFonts w:ascii="Arial" w:hAnsi="Arial" w:cs="Arial"/>
          <w:b/>
        </w:rPr>
        <w:t>.</w:t>
      </w:r>
      <w:r w:rsidR="00107E20" w:rsidRPr="00B61137">
        <w:rPr>
          <w:rFonts w:ascii="Arial" w:hAnsi="Arial" w:cs="Arial"/>
          <w:b/>
        </w:rPr>
        <w:t xml:space="preserve"> </w:t>
      </w:r>
      <w:r w:rsidR="00983A30" w:rsidRPr="00B61137">
        <w:rPr>
          <w:rFonts w:ascii="Arial" w:hAnsi="Arial" w:cs="Arial"/>
        </w:rPr>
        <w:t xml:space="preserve">Prikaz geološke karte područja Crne Gore (Legenda: 1. Aluvijalni i glacijalni sedimenti; 2. Neogeni sedimenti; 3. Kredni i paleog. fliš; 4. Kredni krečnjaci i dolomiti; 6. Jurska dijabazrožnacka formacija; 7. Trijaski krečnjaci i dolomite; 8. Srednjetrijaski eruptivi; 9. Donjotrijaski sedimenti; 10. Paleozojski škriljci i pješčari; 11. Budvanska zona – donji trijas-eocen; 12. Granice regionalnih kraljušti i navlaka. </w:t>
      </w:r>
      <w:r w:rsidR="00983A30" w:rsidRPr="00B61137">
        <w:rPr>
          <w:rFonts w:ascii="Arial" w:hAnsi="Arial" w:cs="Arial"/>
          <w:i/>
        </w:rPr>
        <w:t>Vode Crne Gore, prof.dr Branko Radoji</w:t>
      </w:r>
      <w:r w:rsidR="00983A30" w:rsidRPr="00B61137">
        <w:rPr>
          <w:rFonts w:ascii="Arial" w:hAnsi="Arial" w:cs="Arial"/>
        </w:rPr>
        <w:t>c</w:t>
      </w:r>
      <w:r w:rsidR="00983A30" w:rsidRPr="00B61137">
        <w:rPr>
          <w:rFonts w:ascii="Arial" w:hAnsi="Arial" w:cs="Arial"/>
          <w:i/>
        </w:rPr>
        <w:t>i</w:t>
      </w:r>
      <w:r w:rsidR="00983A30" w:rsidRPr="00B61137">
        <w:rPr>
          <w:rFonts w:ascii="Arial" w:hAnsi="Arial" w:cs="Arial"/>
        </w:rPr>
        <w:t>c</w:t>
      </w:r>
      <w:r w:rsidR="00983A30" w:rsidRPr="00B61137">
        <w:rPr>
          <w:rFonts w:ascii="Arial" w:hAnsi="Arial" w:cs="Arial"/>
          <w:i/>
        </w:rPr>
        <w:t>, Filozofski fakultet u Nikši</w:t>
      </w:r>
      <w:r w:rsidR="00983A30" w:rsidRPr="00B61137">
        <w:rPr>
          <w:rFonts w:ascii="Arial" w:hAnsi="Arial" w:cs="Arial"/>
        </w:rPr>
        <w:t>c</w:t>
      </w:r>
      <w:r w:rsidR="00983A30" w:rsidRPr="00B61137">
        <w:rPr>
          <w:rFonts w:ascii="Arial" w:hAnsi="Arial" w:cs="Arial"/>
          <w:i/>
        </w:rPr>
        <w:t>u, Institut za geografiju,2005.</w:t>
      </w:r>
      <w:r w:rsidR="00B72D05" w:rsidRPr="00B61137">
        <w:rPr>
          <w:rFonts w:ascii="Arial" w:hAnsi="Arial" w:cs="Arial"/>
        </w:rPr>
        <w:t>)</w:t>
      </w:r>
    </w:p>
    <w:p w:rsidR="00C01018" w:rsidRDefault="00C01018" w:rsidP="00722DF4">
      <w:pPr>
        <w:pStyle w:val="Heading3"/>
        <w:numPr>
          <w:ilvl w:val="0"/>
          <w:numId w:val="0"/>
        </w:numPr>
        <w:spacing w:before="0"/>
        <w:jc w:val="both"/>
        <w:rPr>
          <w:rFonts w:cs="Arial"/>
          <w:szCs w:val="24"/>
          <w:lang w:val="en-GB"/>
        </w:rPr>
      </w:pPr>
    </w:p>
    <w:p w:rsidR="00B61137" w:rsidRPr="00B61137" w:rsidRDefault="00B61137" w:rsidP="00B61137">
      <w:pPr>
        <w:rPr>
          <w:lang w:val="en-GB"/>
        </w:rPr>
      </w:pPr>
    </w:p>
    <w:p w:rsidR="00983A30" w:rsidRDefault="00983A30" w:rsidP="00722DF4">
      <w:pPr>
        <w:pStyle w:val="Heading3"/>
        <w:numPr>
          <w:ilvl w:val="0"/>
          <w:numId w:val="0"/>
        </w:numPr>
        <w:spacing w:before="0"/>
        <w:jc w:val="both"/>
        <w:rPr>
          <w:rFonts w:cs="Arial"/>
          <w:szCs w:val="24"/>
          <w:lang w:val="sr-Latn-CS"/>
        </w:rPr>
      </w:pPr>
      <w:bookmarkStart w:id="24" w:name="_Toc6172815"/>
      <w:r w:rsidRPr="00722DF4">
        <w:rPr>
          <w:rFonts w:cs="Arial"/>
          <w:szCs w:val="24"/>
        </w:rPr>
        <w:lastRenderedPageBreak/>
        <w:t>2.3.2. Tektonski sklop</w:t>
      </w:r>
      <w:bookmarkEnd w:id="24"/>
    </w:p>
    <w:p w:rsidR="00107E20" w:rsidRPr="00107E20" w:rsidRDefault="00107E20" w:rsidP="00107E20">
      <w:pPr>
        <w:rPr>
          <w:lang w:val="sr-Latn-CS"/>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Teritorija Crne Gore pripada jugoistočnim Dinaridima koji se</w:t>
      </w:r>
      <w:r w:rsidR="008644EF" w:rsidRPr="00722DF4">
        <w:rPr>
          <w:rFonts w:ascii="Arial" w:hAnsi="Arial" w:cs="Arial"/>
          <w:sz w:val="24"/>
          <w:szCs w:val="24"/>
        </w:rPr>
        <w:t xml:space="preserve"> karakterišu veoma složenom tek</w:t>
      </w:r>
      <w:r w:rsidRPr="00722DF4">
        <w:rPr>
          <w:rFonts w:ascii="Arial" w:hAnsi="Arial" w:cs="Arial"/>
          <w:sz w:val="24"/>
          <w:szCs w:val="24"/>
        </w:rPr>
        <w:t>tonskom građom. Danas, najveći broj autora izdvaja četiri geotektnoske jedinice na teritoriji Crne Gore:</w:t>
      </w:r>
    </w:p>
    <w:p w:rsidR="00983A30" w:rsidRPr="00722DF4" w:rsidRDefault="008644EF" w:rsidP="00663F7F">
      <w:pPr>
        <w:pStyle w:val="ColorfulList-Accent11"/>
        <w:numPr>
          <w:ilvl w:val="0"/>
          <w:numId w:val="5"/>
        </w:numPr>
        <w:spacing w:after="0"/>
        <w:jc w:val="both"/>
        <w:rPr>
          <w:rFonts w:ascii="Arial" w:hAnsi="Arial" w:cs="Arial"/>
          <w:sz w:val="24"/>
          <w:szCs w:val="24"/>
        </w:rPr>
      </w:pPr>
      <w:r w:rsidRPr="00722DF4">
        <w:rPr>
          <w:rFonts w:ascii="Arial" w:hAnsi="Arial" w:cs="Arial"/>
          <w:sz w:val="24"/>
          <w:szCs w:val="24"/>
        </w:rPr>
        <w:t>Paraautohton (Jadranski si</w:t>
      </w:r>
      <w:r w:rsidR="00983A30" w:rsidRPr="00722DF4">
        <w:rPr>
          <w:rFonts w:ascii="Arial" w:hAnsi="Arial" w:cs="Arial"/>
          <w:sz w:val="24"/>
          <w:szCs w:val="24"/>
        </w:rPr>
        <w:t>stem bora)</w:t>
      </w:r>
    </w:p>
    <w:p w:rsidR="00983A30" w:rsidRPr="00722DF4" w:rsidRDefault="00983A30" w:rsidP="00663F7F">
      <w:pPr>
        <w:pStyle w:val="ColorfulList-Accent11"/>
        <w:numPr>
          <w:ilvl w:val="0"/>
          <w:numId w:val="5"/>
        </w:numPr>
        <w:spacing w:after="0"/>
        <w:jc w:val="both"/>
        <w:rPr>
          <w:rFonts w:ascii="Arial" w:hAnsi="Arial" w:cs="Arial"/>
          <w:sz w:val="24"/>
          <w:szCs w:val="24"/>
        </w:rPr>
      </w:pPr>
      <w:r w:rsidRPr="00722DF4">
        <w:rPr>
          <w:rFonts w:ascii="Arial" w:hAnsi="Arial" w:cs="Arial"/>
          <w:sz w:val="24"/>
          <w:szCs w:val="24"/>
        </w:rPr>
        <w:t>Budva – Cukali zona</w:t>
      </w:r>
    </w:p>
    <w:p w:rsidR="00983A30" w:rsidRPr="00722DF4" w:rsidRDefault="00983A30" w:rsidP="00663F7F">
      <w:pPr>
        <w:pStyle w:val="ColorfulList-Accent11"/>
        <w:numPr>
          <w:ilvl w:val="0"/>
          <w:numId w:val="5"/>
        </w:numPr>
        <w:spacing w:after="0"/>
        <w:jc w:val="both"/>
        <w:rPr>
          <w:rFonts w:ascii="Arial" w:hAnsi="Arial" w:cs="Arial"/>
          <w:sz w:val="24"/>
          <w:szCs w:val="24"/>
        </w:rPr>
      </w:pPr>
      <w:r w:rsidRPr="00722DF4">
        <w:rPr>
          <w:rFonts w:ascii="Arial" w:hAnsi="Arial" w:cs="Arial"/>
          <w:sz w:val="24"/>
          <w:szCs w:val="24"/>
        </w:rPr>
        <w:t>Visoki krš</w:t>
      </w:r>
    </w:p>
    <w:p w:rsidR="00983A30" w:rsidRDefault="00983A30" w:rsidP="00663F7F">
      <w:pPr>
        <w:pStyle w:val="ColorfulList-Accent11"/>
        <w:numPr>
          <w:ilvl w:val="0"/>
          <w:numId w:val="5"/>
        </w:numPr>
        <w:spacing w:after="0"/>
        <w:jc w:val="both"/>
        <w:rPr>
          <w:rFonts w:ascii="Arial" w:hAnsi="Arial" w:cs="Arial"/>
          <w:sz w:val="24"/>
          <w:szCs w:val="24"/>
        </w:rPr>
      </w:pPr>
      <w:r w:rsidRPr="00722DF4">
        <w:rPr>
          <w:rFonts w:ascii="Arial" w:hAnsi="Arial" w:cs="Arial"/>
          <w:sz w:val="24"/>
          <w:szCs w:val="24"/>
        </w:rPr>
        <w:t>Durmitorska jedinica</w:t>
      </w:r>
    </w:p>
    <w:p w:rsidR="00107E20" w:rsidRPr="00722DF4" w:rsidRDefault="00107E20" w:rsidP="00107E20">
      <w:pPr>
        <w:pStyle w:val="ColorfulList-Accent11"/>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Paraautohton zahvata prostor pored morske obale i dijelom ispod mora, između rijeke Bojane i Herceg Novog. Ima dinarski pravac pružanja, izuzev u krajnjem jugoistočnom dijelu gdje dolazi do skretanja prema istoku. Ova geotektonska jedinica izgrađena je od karbonatnih stijena gornje krede i donjeg eocena, sedimenata fliša i klastičnih sedimenata.</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Budva – Cukali zona predstavlja značajnu jedinicu sa hidrogeološkog aspekta. Kao cijelina je neprobojan kompleks, odnosno potpuna podinska barijera. U geološkoj građi ove zone učestvuju karbonatne i silicijske stijene trijaske, jurske i kredne starosti, flišne tvorevine trijasa i paleogena, kao i eruptive trijaske starosti.</w:t>
      </w:r>
    </w:p>
    <w:p w:rsidR="00107E20" w:rsidRPr="00722DF4" w:rsidRDefault="00107E20" w:rsidP="00722DF4">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Zona Viskog krša obuhvata prostor između primorskog pojasa i Durmitorske navlake do planinskih masiva Komova, Durmitora i Volujaka. U geološkoj građi ove geotektonske jedinice učestvuju krabonatni sediment</w:t>
      </w:r>
      <w:r w:rsidR="008644EF" w:rsidRPr="00722DF4">
        <w:rPr>
          <w:rFonts w:ascii="Arial" w:hAnsi="Arial" w:cs="Arial"/>
          <w:sz w:val="24"/>
          <w:szCs w:val="24"/>
        </w:rPr>
        <w:t>i</w:t>
      </w:r>
      <w:r w:rsidRPr="00722DF4">
        <w:rPr>
          <w:rFonts w:ascii="Arial" w:hAnsi="Arial" w:cs="Arial"/>
          <w:sz w:val="24"/>
          <w:szCs w:val="24"/>
        </w:rPr>
        <w:t xml:space="preserve"> mezozoika, klastični sediment perma i donjeg trijasa, fliš paleogene starosti, eruptivne stijene srednjeg trijasa, kao i miocenski jezerski sediment</w:t>
      </w:r>
      <w:r w:rsidR="008644EF" w:rsidRPr="00722DF4">
        <w:rPr>
          <w:rFonts w:ascii="Arial" w:hAnsi="Arial" w:cs="Arial"/>
          <w:sz w:val="24"/>
          <w:szCs w:val="24"/>
        </w:rPr>
        <w:t>i</w:t>
      </w:r>
      <w:r w:rsidRPr="00722DF4">
        <w:rPr>
          <w:rFonts w:ascii="Arial" w:hAnsi="Arial" w:cs="Arial"/>
          <w:sz w:val="24"/>
          <w:szCs w:val="24"/>
        </w:rPr>
        <w:t xml:space="preserve"> i kvartarne tvorevine.</w:t>
      </w:r>
    </w:p>
    <w:p w:rsidR="00107E20" w:rsidRPr="00722DF4" w:rsidRDefault="00107E2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xml:space="preserve">Durmitorska geotektonska jedinica sa sjevera i sjeveroistoka naliježe na Visoki krš. Obuhvata područje Komova, Visitora, dijela Prokletija, Sinjajevine, Pivske planine, Durmitora, Ljubišnje, Pljevalja, dolinu Lima, Bijelo Polje, Beransku kotlinu i Rožaje. Ove terene izgrađuju klastični sediment paleozioka i donjeg trijasa, karbonatne, vulkanske i silicijske stijene srednjeg trijasa, karbonatne stijene gornjeg trijasa i jure, kao </w:t>
      </w:r>
      <w:r w:rsidR="008644EF" w:rsidRPr="00722DF4">
        <w:rPr>
          <w:rFonts w:ascii="Arial" w:hAnsi="Arial" w:cs="Arial"/>
          <w:sz w:val="24"/>
          <w:szCs w:val="24"/>
        </w:rPr>
        <w:t xml:space="preserve">i </w:t>
      </w:r>
      <w:r w:rsidRPr="00722DF4">
        <w:rPr>
          <w:rFonts w:ascii="Arial" w:hAnsi="Arial" w:cs="Arial"/>
          <w:sz w:val="24"/>
          <w:szCs w:val="24"/>
        </w:rPr>
        <w:t>stijene dijabaz-r</w:t>
      </w:r>
      <w:r w:rsidR="008644EF" w:rsidRPr="00722DF4">
        <w:rPr>
          <w:rFonts w:ascii="Arial" w:hAnsi="Arial" w:cs="Arial"/>
          <w:sz w:val="24"/>
          <w:szCs w:val="24"/>
        </w:rPr>
        <w:t>ožnačke formacije i kvartarne sedimente</w:t>
      </w:r>
      <w:r w:rsidRPr="00722DF4">
        <w:rPr>
          <w:rFonts w:ascii="Arial" w:hAnsi="Arial" w:cs="Arial"/>
          <w:sz w:val="24"/>
          <w:szCs w:val="24"/>
        </w:rPr>
        <w:t>.</w:t>
      </w:r>
    </w:p>
    <w:p w:rsidR="00983A30"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5408930" cy="6702425"/>
            <wp:effectExtent l="19050" t="0" r="127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408930" cy="6702425"/>
                    </a:xfrm>
                    <a:prstGeom prst="rect">
                      <a:avLst/>
                    </a:prstGeom>
                    <a:noFill/>
                    <a:ln w="9525">
                      <a:noFill/>
                      <a:miter lim="800000"/>
                      <a:headEnd/>
                      <a:tailEnd/>
                    </a:ln>
                  </pic:spPr>
                </pic:pic>
              </a:graphicData>
            </a:graphic>
          </wp:inline>
        </w:drawing>
      </w:r>
    </w:p>
    <w:p w:rsidR="00983A30" w:rsidRPr="00B61137" w:rsidRDefault="00983A30" w:rsidP="00722DF4">
      <w:pPr>
        <w:spacing w:after="0"/>
        <w:jc w:val="both"/>
        <w:rPr>
          <w:rFonts w:ascii="Arial" w:hAnsi="Arial" w:cs="Arial"/>
          <w:i/>
          <w:lang w:val="sr-Latn-CS"/>
        </w:rPr>
      </w:pPr>
      <w:r w:rsidRPr="00B61137">
        <w:rPr>
          <w:rFonts w:ascii="Arial" w:hAnsi="Arial" w:cs="Arial"/>
          <w:b/>
        </w:rPr>
        <w:t xml:space="preserve">Slika </w:t>
      </w:r>
      <w:r w:rsidR="005A1861" w:rsidRPr="00B61137">
        <w:rPr>
          <w:rFonts w:ascii="Arial" w:hAnsi="Arial" w:cs="Arial"/>
          <w:b/>
        </w:rPr>
        <w:t>2.16</w:t>
      </w:r>
      <w:r w:rsidR="009F61C5" w:rsidRPr="00B61137">
        <w:rPr>
          <w:rFonts w:ascii="Arial" w:hAnsi="Arial" w:cs="Arial"/>
          <w:b/>
        </w:rPr>
        <w:t>.</w:t>
      </w:r>
      <w:r w:rsidR="00744115">
        <w:rPr>
          <w:rFonts w:ascii="Arial" w:hAnsi="Arial" w:cs="Arial"/>
          <w:b/>
        </w:rPr>
        <w:t xml:space="preserve"> </w:t>
      </w:r>
      <w:r w:rsidRPr="00B61137">
        <w:rPr>
          <w:rFonts w:ascii="Arial" w:hAnsi="Arial" w:cs="Arial"/>
        </w:rPr>
        <w:t>Prikaz karte tektonske rejonizacije Crne Gor</w:t>
      </w:r>
      <w:r w:rsidR="00AA6A43" w:rsidRPr="00B61137">
        <w:rPr>
          <w:rFonts w:ascii="Arial" w:hAnsi="Arial" w:cs="Arial"/>
        </w:rPr>
        <w:t xml:space="preserve">e </w:t>
      </w:r>
      <w:r w:rsidR="00AA6A43" w:rsidRPr="00B61137">
        <w:rPr>
          <w:rFonts w:ascii="Arial" w:hAnsi="Arial" w:cs="Arial"/>
          <w:i/>
        </w:rPr>
        <w:t>(</w:t>
      </w:r>
      <w:r w:rsidR="00AA6A43" w:rsidRPr="00B61137">
        <w:rPr>
          <w:rFonts w:ascii="Arial" w:hAnsi="Arial" w:cs="Arial"/>
          <w:i/>
          <w:lang w:val="sr-Latn-CS"/>
        </w:rPr>
        <w:t>Hidrogeologija karsta Crne Gore, Dr Mićko Radulović, Podgorica, 2000. god.)</w:t>
      </w:r>
    </w:p>
    <w:p w:rsidR="009F61C5" w:rsidRDefault="009F61C5" w:rsidP="00722DF4">
      <w:pPr>
        <w:spacing w:after="0"/>
        <w:jc w:val="both"/>
        <w:rPr>
          <w:rFonts w:ascii="Arial" w:hAnsi="Arial" w:cs="Arial"/>
          <w:b/>
          <w:sz w:val="24"/>
          <w:szCs w:val="24"/>
        </w:rPr>
      </w:pPr>
    </w:p>
    <w:p w:rsidR="00B61137" w:rsidRDefault="00B61137" w:rsidP="00722DF4">
      <w:pPr>
        <w:spacing w:after="0"/>
        <w:jc w:val="both"/>
        <w:rPr>
          <w:rFonts w:ascii="Arial" w:hAnsi="Arial" w:cs="Arial"/>
          <w:b/>
          <w:sz w:val="24"/>
          <w:szCs w:val="24"/>
        </w:rPr>
      </w:pPr>
    </w:p>
    <w:p w:rsidR="00B61137" w:rsidRPr="00722DF4" w:rsidRDefault="00B61137" w:rsidP="00722DF4">
      <w:pPr>
        <w:spacing w:after="0"/>
        <w:jc w:val="both"/>
        <w:rPr>
          <w:rFonts w:ascii="Arial" w:hAnsi="Arial" w:cs="Arial"/>
          <w:b/>
          <w:sz w:val="24"/>
          <w:szCs w:val="24"/>
        </w:rPr>
      </w:pPr>
    </w:p>
    <w:p w:rsidR="00983A30" w:rsidRDefault="00983A30" w:rsidP="00722DF4">
      <w:pPr>
        <w:pStyle w:val="Heading3"/>
        <w:numPr>
          <w:ilvl w:val="0"/>
          <w:numId w:val="0"/>
        </w:numPr>
        <w:spacing w:before="0"/>
        <w:jc w:val="both"/>
        <w:rPr>
          <w:rFonts w:cs="Arial"/>
          <w:szCs w:val="24"/>
          <w:lang w:val="sr-Latn-CS"/>
        </w:rPr>
      </w:pPr>
      <w:bookmarkStart w:id="25" w:name="_Toc6172816"/>
      <w:r w:rsidRPr="00722DF4">
        <w:rPr>
          <w:rFonts w:cs="Arial"/>
          <w:szCs w:val="24"/>
        </w:rPr>
        <w:lastRenderedPageBreak/>
        <w:t>2.3.3. Seizmičnost</w:t>
      </w:r>
      <w:bookmarkEnd w:id="25"/>
    </w:p>
    <w:p w:rsidR="00107E20" w:rsidRPr="00107E20" w:rsidRDefault="00107E20" w:rsidP="00107E20">
      <w:pPr>
        <w:rPr>
          <w:lang w:val="sr-Latn-CS"/>
        </w:rPr>
      </w:pPr>
    </w:p>
    <w:p w:rsidR="00D12A41" w:rsidRPr="00722DF4" w:rsidRDefault="00D12A41" w:rsidP="00722DF4">
      <w:pPr>
        <w:spacing w:after="0"/>
        <w:jc w:val="both"/>
        <w:rPr>
          <w:rFonts w:ascii="Arial" w:hAnsi="Arial" w:cs="Arial"/>
          <w:sz w:val="24"/>
          <w:szCs w:val="24"/>
        </w:rPr>
      </w:pPr>
      <w:r w:rsidRPr="00722DF4">
        <w:rPr>
          <w:rFonts w:ascii="Arial" w:hAnsi="Arial" w:cs="Arial"/>
          <w:sz w:val="24"/>
          <w:szCs w:val="24"/>
        </w:rPr>
        <w:t>Crna Gora se nalazi u relativno aktivnoj seizmičkoj zoni, sa najvišim nivoom ugroženosti i rizika u jugoistočnom obalnom području - priobalne oblasti kao što su zetsko-skadarska depresija i beranski basen koje treba istaći kao područja značajne seizmičke aktivnosti u Crnoj Gori. Seizmička aktivnost je povezana sa pomjeranjem tektonskih ploča. Na makro nivou, Crna Gora je blizu granice evroazijske ploče i afričke ploče sa jadranskom i egejskom mikro pločom između njih. Složena kretanja ovih ploča dovode do visoke seizmičke aktivnosti u ovoj zemlji; jadranska mikro ploča se po</w:t>
      </w:r>
      <w:r w:rsidR="00B61137">
        <w:rPr>
          <w:rFonts w:ascii="Arial" w:hAnsi="Arial" w:cs="Arial"/>
          <w:sz w:val="24"/>
          <w:szCs w:val="24"/>
        </w:rPr>
        <w:t>dvlači pod egejsku mikro ploču.</w:t>
      </w:r>
    </w:p>
    <w:p w:rsidR="009F61C5" w:rsidRPr="00722DF4" w:rsidRDefault="009F61C5" w:rsidP="00722DF4">
      <w:pPr>
        <w:spacing w:after="0"/>
        <w:jc w:val="both"/>
        <w:rPr>
          <w:rFonts w:ascii="Arial" w:hAnsi="Arial" w:cs="Arial"/>
          <w:b/>
          <w:sz w:val="24"/>
          <w:szCs w:val="24"/>
        </w:rPr>
      </w:pPr>
    </w:p>
    <w:p w:rsidR="009F61C5" w:rsidRPr="00722DF4" w:rsidRDefault="001210F4" w:rsidP="00722DF4">
      <w:pPr>
        <w:spacing w:after="0"/>
        <w:jc w:val="both"/>
        <w:rPr>
          <w:rFonts w:ascii="Arial" w:hAnsi="Arial" w:cs="Arial"/>
          <w:b/>
          <w:sz w:val="24"/>
          <w:szCs w:val="24"/>
        </w:rPr>
      </w:pPr>
      <w:r>
        <w:rPr>
          <w:rFonts w:ascii="Arial" w:hAnsi="Arial" w:cs="Arial"/>
          <w:noProof/>
          <w:sz w:val="24"/>
          <w:szCs w:val="24"/>
        </w:rPr>
        <w:drawing>
          <wp:anchor distT="0" distB="0" distL="114300" distR="114300" simplePos="0" relativeHeight="251657216" behindDoc="0" locked="0" layoutInCell="1" allowOverlap="1">
            <wp:simplePos x="0" y="0"/>
            <wp:positionH relativeFrom="column">
              <wp:posOffset>1273810</wp:posOffset>
            </wp:positionH>
            <wp:positionV relativeFrom="paragraph">
              <wp:posOffset>35560</wp:posOffset>
            </wp:positionV>
            <wp:extent cx="3160395" cy="3510915"/>
            <wp:effectExtent l="19050" t="0" r="1905" b="0"/>
            <wp:wrapSquare wrapText="bothSides"/>
            <wp:docPr id="52" name="Picture 67" descr="REJ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REJON1"/>
                    <pic:cNvPicPr>
                      <a:picLocks noChangeAspect="1" noChangeArrowheads="1"/>
                    </pic:cNvPicPr>
                  </pic:nvPicPr>
                  <pic:blipFill>
                    <a:blip r:embed="rId30" cstate="print">
                      <a:lum bright="2000" contrast="6000"/>
                    </a:blip>
                    <a:srcRect/>
                    <a:stretch>
                      <a:fillRect/>
                    </a:stretch>
                  </pic:blipFill>
                  <pic:spPr bwMode="auto">
                    <a:xfrm>
                      <a:off x="0" y="0"/>
                      <a:ext cx="3160395" cy="3510915"/>
                    </a:xfrm>
                    <a:prstGeom prst="rect">
                      <a:avLst/>
                    </a:prstGeom>
                    <a:noFill/>
                    <a:ln w="9525">
                      <a:noFill/>
                      <a:miter lim="800000"/>
                      <a:headEnd/>
                      <a:tailEnd/>
                    </a:ln>
                  </pic:spPr>
                </pic:pic>
              </a:graphicData>
            </a:graphic>
          </wp:anchor>
        </w:drawing>
      </w: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D12A41" w:rsidRPr="00B61137" w:rsidRDefault="00D12A41" w:rsidP="00722DF4">
      <w:pPr>
        <w:spacing w:after="0"/>
        <w:jc w:val="both"/>
        <w:rPr>
          <w:rFonts w:ascii="Arial" w:hAnsi="Arial" w:cs="Arial"/>
        </w:rPr>
      </w:pPr>
      <w:r w:rsidRPr="00B61137">
        <w:rPr>
          <w:rFonts w:ascii="Arial" w:hAnsi="Arial" w:cs="Arial"/>
          <w:b/>
        </w:rPr>
        <w:t xml:space="preserve">Slika </w:t>
      </w:r>
      <w:r w:rsidR="005A1861" w:rsidRPr="00B61137">
        <w:rPr>
          <w:rFonts w:ascii="Arial" w:hAnsi="Arial" w:cs="Arial"/>
          <w:b/>
        </w:rPr>
        <w:t>2.17</w:t>
      </w:r>
      <w:r w:rsidR="009F61C5" w:rsidRPr="00B61137">
        <w:rPr>
          <w:rFonts w:ascii="Arial" w:hAnsi="Arial" w:cs="Arial"/>
          <w:b/>
        </w:rPr>
        <w:t>.</w:t>
      </w:r>
      <w:r w:rsidRPr="00B61137">
        <w:rPr>
          <w:rFonts w:ascii="Arial" w:hAnsi="Arial" w:cs="Arial"/>
        </w:rPr>
        <w:t>Prikaz karte seizmičke rejonizacije Crne Gore</w:t>
      </w:r>
    </w:p>
    <w:p w:rsidR="00EF2394" w:rsidRPr="00722DF4" w:rsidRDefault="00EF2394" w:rsidP="00722DF4">
      <w:pPr>
        <w:spacing w:after="0"/>
        <w:jc w:val="both"/>
        <w:rPr>
          <w:rFonts w:ascii="Arial" w:hAnsi="Arial" w:cs="Arial"/>
          <w:sz w:val="24"/>
          <w:szCs w:val="24"/>
        </w:rPr>
      </w:pPr>
    </w:p>
    <w:p w:rsidR="00D12A41" w:rsidRDefault="00D12A41" w:rsidP="00722DF4">
      <w:pPr>
        <w:spacing w:after="0"/>
        <w:jc w:val="both"/>
        <w:rPr>
          <w:rFonts w:ascii="Arial" w:hAnsi="Arial" w:cs="Arial"/>
          <w:sz w:val="24"/>
          <w:szCs w:val="24"/>
        </w:rPr>
      </w:pPr>
      <w:r w:rsidRPr="00722DF4">
        <w:rPr>
          <w:rFonts w:ascii="Arial" w:hAnsi="Arial" w:cs="Arial"/>
          <w:sz w:val="24"/>
          <w:szCs w:val="24"/>
        </w:rPr>
        <w:t>Prema Nacionalnoj strategiji za vanredne situacije, najviše seizmičke zone su u priobalnom području i njihov intenzitet se smanjuje prema istoku zemlje. Najviša zona (IX) javlja se u području južne Hrvatske i proteže se duž crnogorske obale i preko sjeverne Albanije sve do jugozapadne Srbije. Oblasti oko Ulcinja, Bara, Budve i Brajića kao i Bokokotorski zaliv, zatim u neposrednoj blizini Berana, cio region Skadarskog jezera, planina Maganik i dr. su praktično seizmički aktivna područja.</w:t>
      </w:r>
    </w:p>
    <w:p w:rsidR="00744115" w:rsidRPr="00722DF4" w:rsidRDefault="00744115" w:rsidP="00722DF4">
      <w:pPr>
        <w:spacing w:after="0"/>
        <w:jc w:val="both"/>
        <w:rPr>
          <w:rFonts w:ascii="Arial" w:hAnsi="Arial" w:cs="Arial"/>
          <w:sz w:val="24"/>
          <w:szCs w:val="24"/>
        </w:rPr>
      </w:pPr>
    </w:p>
    <w:p w:rsidR="00D12A41" w:rsidRDefault="00D12A41" w:rsidP="00722DF4">
      <w:pPr>
        <w:spacing w:after="0"/>
        <w:jc w:val="both"/>
        <w:rPr>
          <w:rFonts w:ascii="Arial" w:hAnsi="Arial" w:cs="Arial"/>
          <w:sz w:val="24"/>
          <w:szCs w:val="24"/>
        </w:rPr>
      </w:pPr>
      <w:r w:rsidRPr="00722DF4">
        <w:rPr>
          <w:rFonts w:ascii="Arial" w:hAnsi="Arial" w:cs="Arial"/>
          <w:sz w:val="24"/>
          <w:szCs w:val="24"/>
        </w:rPr>
        <w:lastRenderedPageBreak/>
        <w:t>Region Crne Gore pretrpio je dosta teških i destruktivnih zemljotresa. U prosjeku, svake treće godine, javi se bar jedan zemljotres jačine VII stepeni Merkalijeve skale (MSC), svake petnaeste godine zemljotres jačine VIII stepeni MSC i u prosjeku svake šezdesete godine razorni zemljotres sa značajnim ljudskim žrtvama.</w:t>
      </w:r>
    </w:p>
    <w:p w:rsidR="00EF2394" w:rsidRPr="00722DF4" w:rsidRDefault="00EF2394" w:rsidP="00722DF4">
      <w:pPr>
        <w:spacing w:after="0"/>
        <w:jc w:val="both"/>
        <w:rPr>
          <w:rFonts w:ascii="Arial" w:hAnsi="Arial" w:cs="Arial"/>
          <w:sz w:val="24"/>
          <w:szCs w:val="24"/>
        </w:rPr>
      </w:pPr>
    </w:p>
    <w:p w:rsidR="00D12A41" w:rsidRDefault="00D12A41" w:rsidP="00722DF4">
      <w:pPr>
        <w:spacing w:after="0"/>
        <w:jc w:val="both"/>
        <w:rPr>
          <w:rFonts w:ascii="Arial" w:hAnsi="Arial" w:cs="Arial"/>
          <w:sz w:val="24"/>
          <w:szCs w:val="24"/>
        </w:rPr>
      </w:pPr>
      <w:r w:rsidRPr="00722DF4">
        <w:rPr>
          <w:rFonts w:ascii="Arial" w:hAnsi="Arial" w:cs="Arial"/>
          <w:sz w:val="24"/>
          <w:szCs w:val="24"/>
        </w:rPr>
        <w:t>Posljednji razorni zemljotres bio je u aprilu 1979.</w:t>
      </w:r>
      <w:r w:rsidR="008644EF" w:rsidRPr="00722DF4">
        <w:rPr>
          <w:rFonts w:ascii="Arial" w:hAnsi="Arial" w:cs="Arial"/>
          <w:sz w:val="24"/>
          <w:szCs w:val="24"/>
        </w:rPr>
        <w:t xml:space="preserve"> </w:t>
      </w:r>
      <w:r w:rsidRPr="00722DF4">
        <w:rPr>
          <w:rFonts w:ascii="Arial" w:hAnsi="Arial" w:cs="Arial"/>
          <w:sz w:val="24"/>
          <w:szCs w:val="24"/>
        </w:rPr>
        <w:t>godine i uništio je obalu i šire područje oko Skadarskog jezera, izazvao materijalnu štetu od 4 milijarde američkih dolara (USD), usmrtio 136 ljudi i pogodio više od 100 000 stanovnika Crne Gore.</w:t>
      </w:r>
    </w:p>
    <w:p w:rsidR="00EF2394" w:rsidRPr="00722DF4" w:rsidRDefault="00EF2394" w:rsidP="00722DF4">
      <w:pPr>
        <w:spacing w:after="0"/>
        <w:jc w:val="both"/>
        <w:rPr>
          <w:rFonts w:ascii="Arial" w:hAnsi="Arial" w:cs="Arial"/>
          <w:sz w:val="24"/>
          <w:szCs w:val="24"/>
        </w:rPr>
      </w:pPr>
    </w:p>
    <w:p w:rsidR="00D12A41" w:rsidRDefault="00D12A41" w:rsidP="00722DF4">
      <w:pPr>
        <w:spacing w:after="0"/>
        <w:jc w:val="both"/>
        <w:rPr>
          <w:rFonts w:ascii="Arial" w:hAnsi="Arial" w:cs="Arial"/>
          <w:sz w:val="24"/>
          <w:szCs w:val="24"/>
        </w:rPr>
      </w:pPr>
      <w:r w:rsidRPr="00722DF4">
        <w:rPr>
          <w:rFonts w:ascii="Arial" w:hAnsi="Arial" w:cs="Arial"/>
          <w:sz w:val="24"/>
          <w:szCs w:val="24"/>
        </w:rPr>
        <w:t>Kao što je već pomenuto, razarajući zemljotresi su najčešće povezani sa velikim pomjeranjima stijena (klizišta, erozije stijena), poplavama, lavinama, regionalnim požarima i ostalim prirodnim opasnostima. Obim ljudskih i ekonomskih gubitaka, koji se dešava kao posljedica ovih prirodnih i ostalih vezanih opasnosti, je u značajnom porastu posljednjih godina i stoga je Crna Gora suočena sa imperativom za smanjenje ovakvih gubitaka. Iako zemljotrese nije moguće izbjeći, niti ih je moguće eliminisati, primjenom tehničkih mjera, praksi i iskustava moguće je suziti ekonomoski i socijalni obim ovakvih katastrofa. Postoje inicijative koje pruža EU za pripremu Crne Gore za potencijalne zemljotrese velikih razmjera.</w:t>
      </w:r>
    </w:p>
    <w:p w:rsidR="00EF2394" w:rsidRPr="00722DF4" w:rsidRDefault="00EF2394" w:rsidP="00722DF4">
      <w:pPr>
        <w:spacing w:after="0"/>
        <w:jc w:val="both"/>
        <w:rPr>
          <w:rFonts w:ascii="Arial" w:hAnsi="Arial" w:cs="Arial"/>
          <w:sz w:val="24"/>
          <w:szCs w:val="24"/>
        </w:rPr>
      </w:pPr>
    </w:p>
    <w:p w:rsidR="00D12A41" w:rsidRDefault="00D12A41" w:rsidP="00722DF4">
      <w:pPr>
        <w:spacing w:after="0"/>
        <w:jc w:val="both"/>
        <w:rPr>
          <w:rFonts w:ascii="Arial" w:hAnsi="Arial" w:cs="Arial"/>
          <w:sz w:val="24"/>
          <w:szCs w:val="24"/>
        </w:rPr>
      </w:pPr>
      <w:r w:rsidRPr="00722DF4">
        <w:rPr>
          <w:rFonts w:ascii="Arial" w:hAnsi="Arial" w:cs="Arial"/>
          <w:sz w:val="24"/>
          <w:szCs w:val="24"/>
        </w:rPr>
        <w:t xml:space="preserve">Na osnovu inovacije seizmičkih parametara Crnogorskog područja koji su u saglasnosti sa evropskim standardima (EVROCODE 8) izrađena je karta očekivanih maksimalnih magnituda zemljotresa za povratni period od 100 godina (slika </w:t>
      </w:r>
      <w:r w:rsidR="00EF2394">
        <w:rPr>
          <w:rFonts w:ascii="Arial" w:hAnsi="Arial" w:cs="Arial"/>
          <w:sz w:val="24"/>
          <w:szCs w:val="24"/>
        </w:rPr>
        <w:t>2.18</w:t>
      </w:r>
      <w:r w:rsidRPr="00722DF4">
        <w:rPr>
          <w:rFonts w:ascii="Arial" w:hAnsi="Arial" w:cs="Arial"/>
          <w:sz w:val="24"/>
          <w:szCs w:val="24"/>
        </w:rPr>
        <w:t xml:space="preserve">). </w:t>
      </w:r>
    </w:p>
    <w:p w:rsidR="00EF2394" w:rsidRPr="00722DF4" w:rsidRDefault="00EF2394" w:rsidP="00722DF4">
      <w:pPr>
        <w:spacing w:after="0"/>
        <w:jc w:val="both"/>
        <w:rPr>
          <w:rFonts w:ascii="Arial" w:hAnsi="Arial" w:cs="Arial"/>
          <w:sz w:val="24"/>
          <w:szCs w:val="24"/>
        </w:rPr>
      </w:pPr>
    </w:p>
    <w:p w:rsidR="00D12A41" w:rsidRPr="00722DF4" w:rsidRDefault="001210F4" w:rsidP="00722DF4">
      <w:pPr>
        <w:spacing w:after="0"/>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simplePos x="0" y="0"/>
            <wp:positionH relativeFrom="column">
              <wp:posOffset>1133475</wp:posOffset>
            </wp:positionH>
            <wp:positionV relativeFrom="paragraph">
              <wp:posOffset>13335</wp:posOffset>
            </wp:positionV>
            <wp:extent cx="3240405" cy="2973705"/>
            <wp:effectExtent l="19050" t="0" r="0" b="0"/>
            <wp:wrapSquare wrapText="bothSides"/>
            <wp:docPr id="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3240405" cy="2973705"/>
                    </a:xfrm>
                    <a:prstGeom prst="rect">
                      <a:avLst/>
                    </a:prstGeom>
                    <a:noFill/>
                    <a:ln w="9525">
                      <a:noFill/>
                      <a:miter lim="800000"/>
                      <a:headEnd/>
                      <a:tailEnd/>
                    </a:ln>
                  </pic:spPr>
                </pic:pic>
              </a:graphicData>
            </a:graphic>
          </wp:anchor>
        </w:drawing>
      </w: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9F61C5" w:rsidRPr="00722DF4" w:rsidRDefault="009F61C5"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EF2394" w:rsidRDefault="00EF2394" w:rsidP="00722DF4">
      <w:pPr>
        <w:spacing w:after="0"/>
        <w:jc w:val="both"/>
        <w:rPr>
          <w:rFonts w:ascii="Arial" w:hAnsi="Arial" w:cs="Arial"/>
          <w:b/>
          <w:sz w:val="24"/>
          <w:szCs w:val="24"/>
        </w:rPr>
      </w:pPr>
    </w:p>
    <w:p w:rsidR="00D12A41" w:rsidRPr="00B61137" w:rsidRDefault="00D12A41" w:rsidP="00722DF4">
      <w:pPr>
        <w:spacing w:after="0"/>
        <w:jc w:val="both"/>
        <w:rPr>
          <w:rFonts w:ascii="Arial" w:hAnsi="Arial" w:cs="Arial"/>
          <w:i/>
        </w:rPr>
      </w:pPr>
      <w:r w:rsidRPr="00B61137">
        <w:rPr>
          <w:rFonts w:ascii="Arial" w:hAnsi="Arial" w:cs="Arial"/>
          <w:b/>
        </w:rPr>
        <w:lastRenderedPageBreak/>
        <w:t xml:space="preserve">Slika </w:t>
      </w:r>
      <w:r w:rsidR="005A1861" w:rsidRPr="00B61137">
        <w:rPr>
          <w:rFonts w:ascii="Arial" w:hAnsi="Arial" w:cs="Arial"/>
          <w:b/>
        </w:rPr>
        <w:t>2.18</w:t>
      </w:r>
      <w:r w:rsidR="009F61C5" w:rsidRPr="00B61137">
        <w:rPr>
          <w:rFonts w:ascii="Arial" w:hAnsi="Arial" w:cs="Arial"/>
          <w:b/>
        </w:rPr>
        <w:t>.</w:t>
      </w:r>
      <w:r w:rsidRPr="00B61137">
        <w:rPr>
          <w:rFonts w:ascii="Arial" w:hAnsi="Arial" w:cs="Arial"/>
          <w:i/>
        </w:rPr>
        <w:t xml:space="preserve"> </w:t>
      </w:r>
      <w:r w:rsidRPr="00B61137">
        <w:rPr>
          <w:rFonts w:ascii="Arial" w:hAnsi="Arial" w:cs="Arial"/>
        </w:rPr>
        <w:t>Prikaz karte maksimalnih očekivanih magnituta zemljotresa u Crnoj Gori</w:t>
      </w:r>
    </w:p>
    <w:p w:rsidR="00EF2394" w:rsidRPr="00722DF4" w:rsidRDefault="00EF2394" w:rsidP="00722DF4">
      <w:pPr>
        <w:spacing w:after="0"/>
        <w:jc w:val="both"/>
        <w:rPr>
          <w:rFonts w:ascii="Arial" w:hAnsi="Arial" w:cs="Arial"/>
          <w:sz w:val="24"/>
          <w:szCs w:val="24"/>
        </w:rPr>
      </w:pPr>
    </w:p>
    <w:p w:rsidR="00983A30" w:rsidRDefault="00983A30" w:rsidP="00722DF4">
      <w:pPr>
        <w:pStyle w:val="Heading3"/>
        <w:numPr>
          <w:ilvl w:val="0"/>
          <w:numId w:val="0"/>
        </w:numPr>
        <w:spacing w:before="0"/>
        <w:jc w:val="both"/>
        <w:rPr>
          <w:rFonts w:cs="Arial"/>
          <w:szCs w:val="24"/>
          <w:lang w:val="sr-Latn-CS"/>
        </w:rPr>
      </w:pPr>
      <w:bookmarkStart w:id="26" w:name="_Toc6172817"/>
      <w:r w:rsidRPr="00722DF4">
        <w:rPr>
          <w:rFonts w:cs="Arial"/>
          <w:szCs w:val="24"/>
        </w:rPr>
        <w:t>2.3.</w:t>
      </w:r>
      <w:r w:rsidR="00642341" w:rsidRPr="00722DF4">
        <w:rPr>
          <w:rFonts w:cs="Arial"/>
          <w:szCs w:val="24"/>
        </w:rPr>
        <w:t>4</w:t>
      </w:r>
      <w:r w:rsidRPr="00722DF4">
        <w:rPr>
          <w:rFonts w:cs="Arial"/>
          <w:szCs w:val="24"/>
        </w:rPr>
        <w:t>. Hidrogeološke karakteristike</w:t>
      </w:r>
      <w:bookmarkEnd w:id="26"/>
    </w:p>
    <w:p w:rsidR="00EF2394" w:rsidRPr="00EF2394" w:rsidRDefault="00EF2394" w:rsidP="00EF2394">
      <w:pPr>
        <w:rPr>
          <w:lang w:val="sr-Latn-CS"/>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Crna Gora obiluje raznovrsnim hidrološkim i hidrogeološkim pojavama. To je posljedica složenosti geološkog sastava i građe zemljišta, reljefa i klimatskih prilika. Zonalan raspored glavnih geotektonskih struktura, dinarskog pravca – sjeverozapad-jugoistok, usmjerio je glavne tokove voda, a velike razlike u litološkoj građi pojedinih dijelove Crne Gore uslovile su razlike i u bogatstvu podzmenim i površinskim vodama.</w:t>
      </w:r>
    </w:p>
    <w:p w:rsidR="00EF2394" w:rsidRPr="00722DF4" w:rsidRDefault="00EF2394"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U hidrogeloškom smilsu stijene su podeljene u tri grupe:</w:t>
      </w:r>
    </w:p>
    <w:p w:rsidR="00983A30" w:rsidRPr="00722DF4" w:rsidRDefault="00983A30" w:rsidP="00663F7F">
      <w:pPr>
        <w:numPr>
          <w:ilvl w:val="0"/>
          <w:numId w:val="7"/>
        </w:numPr>
        <w:spacing w:after="0"/>
        <w:jc w:val="both"/>
        <w:rPr>
          <w:rFonts w:ascii="Arial" w:hAnsi="Arial" w:cs="Arial"/>
          <w:sz w:val="24"/>
          <w:szCs w:val="24"/>
        </w:rPr>
      </w:pPr>
      <w:r w:rsidRPr="00722DF4">
        <w:rPr>
          <w:rFonts w:ascii="Arial" w:hAnsi="Arial" w:cs="Arial"/>
          <w:i/>
          <w:sz w:val="24"/>
          <w:szCs w:val="24"/>
        </w:rPr>
        <w:t>Grupa propusnih stijena</w:t>
      </w:r>
      <w:r w:rsidRPr="00722DF4">
        <w:rPr>
          <w:rFonts w:ascii="Arial" w:hAnsi="Arial" w:cs="Arial"/>
          <w:sz w:val="24"/>
          <w:szCs w:val="24"/>
        </w:rPr>
        <w:t xml:space="preserve"> – propusne stijene imaju funkciju hidrogeoloških kolektora. U okviru ove grupe stijena mogu se izdvojiti dvije podgrupe:</w:t>
      </w:r>
    </w:p>
    <w:p w:rsidR="00983A30" w:rsidRPr="00722DF4" w:rsidRDefault="00983A30" w:rsidP="00663F7F">
      <w:pPr>
        <w:numPr>
          <w:ilvl w:val="0"/>
          <w:numId w:val="8"/>
        </w:numPr>
        <w:spacing w:after="0"/>
        <w:jc w:val="both"/>
        <w:rPr>
          <w:rFonts w:ascii="Arial" w:hAnsi="Arial" w:cs="Arial"/>
          <w:sz w:val="24"/>
          <w:szCs w:val="24"/>
        </w:rPr>
      </w:pPr>
      <w:r w:rsidRPr="00722DF4">
        <w:rPr>
          <w:rFonts w:ascii="Arial" w:hAnsi="Arial" w:cs="Arial"/>
          <w:sz w:val="24"/>
          <w:szCs w:val="24"/>
        </w:rPr>
        <w:t>propusne stijene – hidrogeološki kolektori, međuzrnaste poroznosti (aluvijalni, glacijalni, fluvioglacijalni, deluvijalni, limnoglacijalni sedimenti, kao i ostale geološke sredine predstavljene najčešće pijeskovima, šljunkovima i pijeskovitim šljunkovima)</w:t>
      </w:r>
    </w:p>
    <w:p w:rsidR="00983A30" w:rsidRDefault="00983A30" w:rsidP="00663F7F">
      <w:pPr>
        <w:numPr>
          <w:ilvl w:val="0"/>
          <w:numId w:val="8"/>
        </w:numPr>
        <w:spacing w:after="0"/>
        <w:jc w:val="both"/>
        <w:rPr>
          <w:rFonts w:ascii="Arial" w:hAnsi="Arial" w:cs="Arial"/>
          <w:sz w:val="24"/>
          <w:szCs w:val="24"/>
        </w:rPr>
      </w:pPr>
      <w:r w:rsidRPr="00722DF4">
        <w:rPr>
          <w:rFonts w:ascii="Arial" w:hAnsi="Arial" w:cs="Arial"/>
          <w:sz w:val="24"/>
          <w:szCs w:val="24"/>
        </w:rPr>
        <w:t>propusne stijene -  hidrogeološki kolektori, karstno-pukotinske poroznosti (karbonatne tvorevine različite starosti)</w:t>
      </w:r>
    </w:p>
    <w:p w:rsidR="00EF2394" w:rsidRPr="00722DF4" w:rsidRDefault="00EF2394" w:rsidP="00EF2394">
      <w:pPr>
        <w:spacing w:after="0"/>
        <w:ind w:left="1480"/>
        <w:jc w:val="both"/>
        <w:rPr>
          <w:rFonts w:ascii="Arial" w:hAnsi="Arial" w:cs="Arial"/>
          <w:sz w:val="24"/>
          <w:szCs w:val="24"/>
        </w:rPr>
      </w:pPr>
    </w:p>
    <w:p w:rsidR="00983A30" w:rsidRDefault="00983A30" w:rsidP="00663F7F">
      <w:pPr>
        <w:numPr>
          <w:ilvl w:val="0"/>
          <w:numId w:val="7"/>
        </w:numPr>
        <w:spacing w:after="0"/>
        <w:jc w:val="both"/>
        <w:rPr>
          <w:rFonts w:ascii="Arial" w:hAnsi="Arial" w:cs="Arial"/>
          <w:sz w:val="24"/>
          <w:szCs w:val="24"/>
        </w:rPr>
      </w:pPr>
      <w:r w:rsidRPr="00722DF4">
        <w:rPr>
          <w:rFonts w:ascii="Arial" w:hAnsi="Arial" w:cs="Arial"/>
          <w:i/>
          <w:sz w:val="24"/>
          <w:szCs w:val="24"/>
        </w:rPr>
        <w:t xml:space="preserve">Grupa nepropusnih stijena </w:t>
      </w:r>
      <w:r w:rsidRPr="00722DF4">
        <w:rPr>
          <w:rFonts w:ascii="Arial" w:hAnsi="Arial" w:cs="Arial"/>
          <w:sz w:val="24"/>
          <w:szCs w:val="24"/>
        </w:rPr>
        <w:t>– nepropusne stijene imaju funkciju hidrogeoloških barijera, odnosno izolatora. U ovu grupu spadaju uslovno bezvodni dijelovi terena, ili uslovno nepropusne stijene, koje su predstavljene paleozojskim klastični sedimentima,</w:t>
      </w:r>
      <w:r w:rsidR="007B099B" w:rsidRPr="00722DF4">
        <w:rPr>
          <w:rFonts w:ascii="Arial" w:hAnsi="Arial" w:cs="Arial"/>
          <w:sz w:val="24"/>
          <w:szCs w:val="24"/>
        </w:rPr>
        <w:t xml:space="preserve"> </w:t>
      </w:r>
      <w:r w:rsidRPr="00722DF4">
        <w:rPr>
          <w:rFonts w:ascii="Arial" w:hAnsi="Arial" w:cs="Arial"/>
          <w:sz w:val="24"/>
          <w:szCs w:val="24"/>
        </w:rPr>
        <w:t>magmatske stijenama i  visoko zaglinjene partije fliša.</w:t>
      </w:r>
    </w:p>
    <w:p w:rsidR="00EF2394" w:rsidRPr="00722DF4" w:rsidRDefault="00EF2394" w:rsidP="00EF2394">
      <w:pPr>
        <w:spacing w:after="0"/>
        <w:ind w:left="720"/>
        <w:jc w:val="both"/>
        <w:rPr>
          <w:rFonts w:ascii="Arial" w:hAnsi="Arial" w:cs="Arial"/>
          <w:sz w:val="24"/>
          <w:szCs w:val="24"/>
        </w:rPr>
      </w:pPr>
    </w:p>
    <w:p w:rsidR="00983A30" w:rsidRDefault="00983A30" w:rsidP="00663F7F">
      <w:pPr>
        <w:numPr>
          <w:ilvl w:val="0"/>
          <w:numId w:val="7"/>
        </w:numPr>
        <w:spacing w:after="0"/>
        <w:jc w:val="both"/>
        <w:rPr>
          <w:rFonts w:ascii="Arial" w:hAnsi="Arial" w:cs="Arial"/>
          <w:sz w:val="24"/>
          <w:szCs w:val="24"/>
        </w:rPr>
      </w:pPr>
      <w:r w:rsidRPr="00722DF4">
        <w:rPr>
          <w:rFonts w:ascii="Arial" w:hAnsi="Arial" w:cs="Arial"/>
          <w:i/>
          <w:sz w:val="24"/>
          <w:szCs w:val="24"/>
        </w:rPr>
        <w:t>Hidrogeološki kompleksi</w:t>
      </w:r>
      <w:r w:rsidRPr="00722DF4">
        <w:rPr>
          <w:rFonts w:ascii="Arial" w:hAnsi="Arial" w:cs="Arial"/>
          <w:sz w:val="24"/>
          <w:szCs w:val="24"/>
        </w:rPr>
        <w:t xml:space="preserve">  - koje formiraju grupe stijena kolektorskog i izolatorskog karaktera, odnosno kompleksi propusnih i nepropusnih stijena, kao što su flišne formacije, formacije karbonatnih i klastičnih stijena i sl. Propusne stijene hidrogeoloških kompleksa mogu biti različitog litološkog sastava i vrste poroznosti.</w:t>
      </w:r>
    </w:p>
    <w:p w:rsidR="00EF2394" w:rsidRPr="00722DF4" w:rsidRDefault="00EF2394" w:rsidP="00B61137">
      <w:pPr>
        <w:spacing w:after="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 xml:space="preserve">Geološko-litološke analize pokazuju da je 82 % teritorije Crne Gore izgrađeno od krečnjaka i dolomita. Ova tvrdnja može se potvriditi i skicom hidrogeološke karte na slici </w:t>
      </w:r>
      <w:r w:rsidR="00744115">
        <w:rPr>
          <w:rFonts w:ascii="Arial" w:hAnsi="Arial" w:cs="Arial"/>
          <w:iCs/>
          <w:sz w:val="24"/>
          <w:szCs w:val="24"/>
        </w:rPr>
        <w:t>br. 2.19</w:t>
      </w:r>
      <w:r w:rsidRPr="00722DF4">
        <w:rPr>
          <w:rFonts w:ascii="Arial" w:hAnsi="Arial" w:cs="Arial"/>
          <w:sz w:val="24"/>
          <w:szCs w:val="24"/>
        </w:rPr>
        <w:t xml:space="preserve">. Najveće prostranstvo na teritoriji Crne Gore zahvata karstni, odnosno karstno-pukotinski tip izdani, formiran u karbonatnim tvorevinama različite starosti. Karstna izdan, u okviru terena izdrađenih od karbonatnih stijenskih masa, prihranjuje se direktno od padavina, preko brojnih površinskih karstnih oblika, odnosno zavisno od lokaliteta i dijela hidrološkog ciklusa, povrmenim i stalnim vodotocima. Atmosferske padavine se infiltriraju u podzemlje, preko brojinih prslina, pukotina i kaverni, koje prožimaju unutrašnjost </w:t>
      </w:r>
      <w:r w:rsidRPr="00722DF4">
        <w:rPr>
          <w:rFonts w:ascii="Arial" w:hAnsi="Arial" w:cs="Arial"/>
          <w:sz w:val="24"/>
          <w:szCs w:val="24"/>
        </w:rPr>
        <w:lastRenderedPageBreak/>
        <w:t xml:space="preserve">krečnjačke mase, gdje se u dubljim dijelovima, na kontaktu sa nepropusnim stijenama formiraju razbijene karstne izdani. </w:t>
      </w:r>
    </w:p>
    <w:p w:rsidR="00EF2394" w:rsidRPr="00722DF4" w:rsidRDefault="00EF2394"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Prema hidrodinamičkim karakteristikama mogu se izdvojiti:</w:t>
      </w:r>
    </w:p>
    <w:p w:rsidR="00983A30" w:rsidRPr="00722DF4" w:rsidRDefault="00983A30" w:rsidP="00663F7F">
      <w:pPr>
        <w:numPr>
          <w:ilvl w:val="0"/>
          <w:numId w:val="6"/>
        </w:numPr>
        <w:spacing w:after="0"/>
        <w:jc w:val="both"/>
        <w:rPr>
          <w:rFonts w:ascii="Arial" w:hAnsi="Arial" w:cs="Arial"/>
          <w:sz w:val="24"/>
          <w:szCs w:val="24"/>
        </w:rPr>
      </w:pPr>
      <w:r w:rsidRPr="00722DF4">
        <w:rPr>
          <w:rFonts w:ascii="Arial" w:hAnsi="Arial" w:cs="Arial"/>
          <w:sz w:val="24"/>
          <w:szCs w:val="24"/>
        </w:rPr>
        <w:t>izdani sa slobodnim nivoom</w:t>
      </w:r>
    </w:p>
    <w:p w:rsidR="00983A30" w:rsidRPr="00722DF4" w:rsidRDefault="00983A30" w:rsidP="00663F7F">
      <w:pPr>
        <w:numPr>
          <w:ilvl w:val="0"/>
          <w:numId w:val="6"/>
        </w:numPr>
        <w:spacing w:after="0"/>
        <w:jc w:val="both"/>
        <w:rPr>
          <w:rFonts w:ascii="Arial" w:hAnsi="Arial" w:cs="Arial"/>
          <w:sz w:val="24"/>
          <w:szCs w:val="24"/>
        </w:rPr>
      </w:pPr>
      <w:r w:rsidRPr="00722DF4">
        <w:rPr>
          <w:rFonts w:ascii="Arial" w:hAnsi="Arial" w:cs="Arial"/>
          <w:sz w:val="24"/>
          <w:szCs w:val="24"/>
        </w:rPr>
        <w:t>izdani po</w:t>
      </w:r>
      <w:r w:rsidR="007B099B" w:rsidRPr="00722DF4">
        <w:rPr>
          <w:rFonts w:ascii="Arial" w:hAnsi="Arial" w:cs="Arial"/>
          <w:sz w:val="24"/>
          <w:szCs w:val="24"/>
        </w:rPr>
        <w:t>d</w:t>
      </w:r>
      <w:r w:rsidRPr="00722DF4">
        <w:rPr>
          <w:rFonts w:ascii="Arial" w:hAnsi="Arial" w:cs="Arial"/>
          <w:sz w:val="24"/>
          <w:szCs w:val="24"/>
        </w:rPr>
        <w:t xml:space="preserve"> pritiskom</w:t>
      </w:r>
    </w:p>
    <w:p w:rsidR="007B099B" w:rsidRPr="00722DF4" w:rsidRDefault="007B099B" w:rsidP="00722DF4">
      <w:pPr>
        <w:spacing w:after="0"/>
        <w:ind w:left="760"/>
        <w:jc w:val="both"/>
        <w:rPr>
          <w:rFonts w:ascii="Arial" w:hAnsi="Arial" w:cs="Arial"/>
          <w:sz w:val="24"/>
          <w:szCs w:val="24"/>
        </w:rPr>
      </w:pPr>
    </w:p>
    <w:p w:rsidR="00983A30" w:rsidRDefault="00983A30" w:rsidP="00722DF4">
      <w:pPr>
        <w:spacing w:after="0"/>
        <w:jc w:val="both"/>
        <w:rPr>
          <w:rFonts w:ascii="Arial" w:hAnsi="Arial" w:cs="Arial"/>
          <w:sz w:val="24"/>
          <w:szCs w:val="24"/>
        </w:rPr>
      </w:pPr>
      <w:r w:rsidRPr="00722DF4">
        <w:rPr>
          <w:rFonts w:ascii="Arial" w:hAnsi="Arial" w:cs="Arial"/>
          <w:sz w:val="24"/>
          <w:szCs w:val="24"/>
        </w:rPr>
        <w:t>U najvećem di</w:t>
      </w:r>
      <w:r w:rsidR="002C3A89" w:rsidRPr="00722DF4">
        <w:rPr>
          <w:rFonts w:ascii="Arial" w:hAnsi="Arial" w:cs="Arial"/>
          <w:sz w:val="24"/>
          <w:szCs w:val="24"/>
        </w:rPr>
        <w:t>jelu karstnih terena Crne Gore</w:t>
      </w:r>
      <w:r w:rsidR="007B099B" w:rsidRPr="00722DF4">
        <w:rPr>
          <w:rFonts w:ascii="Arial" w:hAnsi="Arial" w:cs="Arial"/>
          <w:sz w:val="24"/>
          <w:szCs w:val="24"/>
        </w:rPr>
        <w:t xml:space="preserve"> </w:t>
      </w:r>
      <w:r w:rsidRPr="00722DF4">
        <w:rPr>
          <w:rFonts w:ascii="Arial" w:hAnsi="Arial" w:cs="Arial"/>
          <w:sz w:val="24"/>
          <w:szCs w:val="24"/>
        </w:rPr>
        <w:t xml:space="preserve">zastupljene su karstne izdani sa slobodnim nivoom. To se posebno odnosi na veoma skrašćene terene karstnih zaravni, kod kojih je kontinuiran proces karstifikacije, u čistim krečnjacima, razvijen do velikih dubina. Donju granicu izdani najčešće čine klastične stene  ili kompaktne partije laporovitih i bituminoznih krečnjaka i dolomita. </w:t>
      </w:r>
    </w:p>
    <w:p w:rsidR="00EF2394" w:rsidRPr="00722DF4" w:rsidRDefault="00EF2394"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r w:rsidRPr="00722DF4">
        <w:rPr>
          <w:rFonts w:ascii="Arial" w:hAnsi="Arial" w:cs="Arial"/>
          <w:sz w:val="24"/>
          <w:szCs w:val="24"/>
        </w:rPr>
        <w:t xml:space="preserve">Izdani pod pritiskom su najčešće vezane za skrašćeni paleoreljef neogenih basena karstnih polja, na dijelu gde su ona prekrivena limnoglacijalnim sedimentima, odnosno sedimentima paleogenog fliša. </w:t>
      </w:r>
    </w:p>
    <w:p w:rsidR="00983A30" w:rsidRPr="00722DF4" w:rsidRDefault="00983A30" w:rsidP="00722DF4">
      <w:pPr>
        <w:spacing w:after="0"/>
        <w:jc w:val="both"/>
        <w:rPr>
          <w:rFonts w:ascii="Arial" w:hAnsi="Arial" w:cs="Arial"/>
          <w:sz w:val="24"/>
          <w:szCs w:val="24"/>
        </w:rPr>
      </w:pPr>
    </w:p>
    <w:p w:rsidR="00983A30" w:rsidRPr="00722DF4" w:rsidRDefault="00983A30" w:rsidP="00722DF4">
      <w:pPr>
        <w:spacing w:after="0"/>
        <w:jc w:val="both"/>
        <w:rPr>
          <w:rFonts w:ascii="Arial" w:hAnsi="Arial" w:cs="Arial"/>
          <w:sz w:val="24"/>
          <w:szCs w:val="24"/>
        </w:rPr>
      </w:pPr>
    </w:p>
    <w:p w:rsidR="00983A30"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5512435" cy="6823710"/>
            <wp:effectExtent l="19050" t="0" r="0" b="0"/>
            <wp:docPr id="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cstate="print"/>
                    <a:srcRect/>
                    <a:stretch>
                      <a:fillRect/>
                    </a:stretch>
                  </pic:blipFill>
                  <pic:spPr bwMode="auto">
                    <a:xfrm>
                      <a:off x="0" y="0"/>
                      <a:ext cx="5512435" cy="6823710"/>
                    </a:xfrm>
                    <a:prstGeom prst="rect">
                      <a:avLst/>
                    </a:prstGeom>
                    <a:noFill/>
                    <a:ln w="9525">
                      <a:noFill/>
                      <a:miter lim="800000"/>
                      <a:headEnd/>
                      <a:tailEnd/>
                    </a:ln>
                  </pic:spPr>
                </pic:pic>
              </a:graphicData>
            </a:graphic>
          </wp:inline>
        </w:drawing>
      </w:r>
    </w:p>
    <w:p w:rsidR="00983A30" w:rsidRDefault="00983A30" w:rsidP="00722DF4">
      <w:pPr>
        <w:spacing w:after="0"/>
        <w:jc w:val="both"/>
        <w:rPr>
          <w:rFonts w:ascii="Arial" w:hAnsi="Arial" w:cs="Arial"/>
          <w:i/>
        </w:rPr>
      </w:pPr>
      <w:r w:rsidRPr="00B61137">
        <w:rPr>
          <w:rFonts w:ascii="Arial" w:hAnsi="Arial" w:cs="Arial"/>
          <w:b/>
        </w:rPr>
        <w:t xml:space="preserve">Slika </w:t>
      </w:r>
      <w:r w:rsidR="005A1861" w:rsidRPr="00B61137">
        <w:rPr>
          <w:rFonts w:ascii="Arial" w:hAnsi="Arial" w:cs="Arial"/>
          <w:b/>
        </w:rPr>
        <w:t>2.19</w:t>
      </w:r>
      <w:r w:rsidR="009F61C5" w:rsidRPr="00B61137">
        <w:rPr>
          <w:rFonts w:ascii="Arial" w:hAnsi="Arial" w:cs="Arial"/>
          <w:b/>
        </w:rPr>
        <w:t>.</w:t>
      </w:r>
      <w:r w:rsidR="00744115">
        <w:rPr>
          <w:rFonts w:ascii="Arial" w:hAnsi="Arial" w:cs="Arial"/>
          <w:b/>
        </w:rPr>
        <w:t xml:space="preserve"> </w:t>
      </w:r>
      <w:r w:rsidRPr="00744115">
        <w:rPr>
          <w:rFonts w:ascii="Arial" w:hAnsi="Arial" w:cs="Arial"/>
        </w:rPr>
        <w:t>Prikaz hidrogeološke karte Crne Gore</w:t>
      </w:r>
      <w:r w:rsidR="009F61C5" w:rsidRPr="00B61137">
        <w:rPr>
          <w:rFonts w:ascii="Arial" w:hAnsi="Arial" w:cs="Arial"/>
        </w:rPr>
        <w:t xml:space="preserve"> </w:t>
      </w:r>
      <w:r w:rsidR="009F61C5" w:rsidRPr="00744115">
        <w:rPr>
          <w:rFonts w:ascii="Arial" w:hAnsi="Arial" w:cs="Arial"/>
          <w:i/>
        </w:rPr>
        <w:t>(</w:t>
      </w:r>
      <w:r w:rsidRPr="00744115">
        <w:rPr>
          <w:rFonts w:ascii="Arial" w:hAnsi="Arial" w:cs="Arial"/>
          <w:i/>
        </w:rPr>
        <w:t>Legenda: zelena boja – karstni i karstno-pukotinski tip izdani; svijetlo plava boja – zbijeni tip izdani; svijetlo braon boja – pukotinski tip izdani; tamno braon boja – uslovno bezvodni dijelovi terena</w:t>
      </w:r>
      <w:r w:rsidR="00AA6A43" w:rsidRPr="00744115">
        <w:rPr>
          <w:rFonts w:ascii="Arial" w:hAnsi="Arial" w:cs="Arial"/>
          <w:i/>
        </w:rPr>
        <w:t>; Izvor: Atlas voda Crne Gore, CANU, 2010.</w:t>
      </w:r>
      <w:r w:rsidRPr="00744115">
        <w:rPr>
          <w:rFonts w:ascii="Arial" w:hAnsi="Arial" w:cs="Arial"/>
          <w:i/>
        </w:rPr>
        <w:t>)</w:t>
      </w:r>
    </w:p>
    <w:p w:rsidR="00744115" w:rsidRPr="00744115" w:rsidRDefault="00744115" w:rsidP="00722DF4">
      <w:pPr>
        <w:spacing w:after="0"/>
        <w:jc w:val="both"/>
        <w:rPr>
          <w:rFonts w:ascii="Arial" w:hAnsi="Arial" w:cs="Arial"/>
          <w:i/>
        </w:rPr>
      </w:pPr>
    </w:p>
    <w:p w:rsidR="009361EE" w:rsidRPr="00722DF4" w:rsidRDefault="009C6995" w:rsidP="00722DF4">
      <w:pPr>
        <w:pStyle w:val="Heading2"/>
        <w:numPr>
          <w:ilvl w:val="0"/>
          <w:numId w:val="0"/>
        </w:numPr>
        <w:spacing w:before="0"/>
        <w:jc w:val="both"/>
        <w:rPr>
          <w:rFonts w:cs="Arial"/>
          <w:szCs w:val="24"/>
        </w:rPr>
      </w:pPr>
      <w:bookmarkStart w:id="27" w:name="_Toc6172818"/>
      <w:r w:rsidRPr="00722DF4">
        <w:rPr>
          <w:rFonts w:cs="Arial"/>
          <w:szCs w:val="24"/>
        </w:rPr>
        <w:lastRenderedPageBreak/>
        <w:t>2.4. Zemljište</w:t>
      </w:r>
      <w:bookmarkEnd w:id="27"/>
    </w:p>
    <w:p w:rsidR="00E75D52" w:rsidRPr="00722DF4" w:rsidRDefault="00E75D52" w:rsidP="00722DF4">
      <w:pPr>
        <w:autoSpaceDE w:val="0"/>
        <w:autoSpaceDN w:val="0"/>
        <w:adjustRightInd w:val="0"/>
        <w:spacing w:after="0"/>
        <w:jc w:val="both"/>
        <w:rPr>
          <w:rFonts w:ascii="Arial" w:hAnsi="Arial" w:cs="Arial"/>
          <w:sz w:val="24"/>
          <w:szCs w:val="24"/>
        </w:rPr>
      </w:pPr>
    </w:p>
    <w:p w:rsidR="009B5FDB" w:rsidRDefault="009B5FDB"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Crnoj Gori dejstvom prirodnih faktora klime, geološke podloge, reljefa, vegetacije i čovjeka, obrazovala su se raznovrsna zemljišta. Izdvajaju se sljedeći tipovi zemljišta: </w:t>
      </w:r>
    </w:p>
    <w:p w:rsidR="00EF2394" w:rsidRPr="00722DF4" w:rsidRDefault="00EF2394" w:rsidP="00722DF4">
      <w:pPr>
        <w:autoSpaceDE w:val="0"/>
        <w:autoSpaceDN w:val="0"/>
        <w:adjustRightInd w:val="0"/>
        <w:spacing w:after="0"/>
        <w:jc w:val="both"/>
        <w:rPr>
          <w:rFonts w:ascii="Arial" w:hAnsi="Arial" w:cs="Arial"/>
          <w:sz w:val="24"/>
          <w:szCs w:val="24"/>
        </w:rPr>
      </w:pPr>
    </w:p>
    <w:p w:rsidR="009B5FDB" w:rsidRPr="00722DF4" w:rsidRDefault="009B5FDB" w:rsidP="00722DF4">
      <w:pPr>
        <w:autoSpaceDE w:val="0"/>
        <w:autoSpaceDN w:val="0"/>
        <w:adjustRightInd w:val="0"/>
        <w:spacing w:after="0"/>
        <w:jc w:val="both"/>
        <w:rPr>
          <w:rFonts w:ascii="Arial" w:hAnsi="Arial" w:cs="Arial"/>
          <w:sz w:val="24"/>
          <w:szCs w:val="24"/>
        </w:rPr>
      </w:pPr>
      <w:r w:rsidRPr="00744115">
        <w:rPr>
          <w:rFonts w:ascii="Arial" w:hAnsi="Arial" w:cs="Arial"/>
          <w:sz w:val="24"/>
          <w:szCs w:val="24"/>
        </w:rPr>
        <w:t>- Kamenjar (Litosol) i sirozem (Regosol),</w:t>
      </w:r>
      <w:r w:rsidRPr="00722DF4">
        <w:rPr>
          <w:rFonts w:ascii="Arial" w:hAnsi="Arial" w:cs="Arial"/>
          <w:sz w:val="24"/>
          <w:szCs w:val="24"/>
        </w:rPr>
        <w:t xml:space="preserve"> površine 38.470 ha, su inicijalna zemljišta na kompaktnim stijenama i rastrošenom regolitu; </w:t>
      </w:r>
    </w:p>
    <w:p w:rsidR="00873563" w:rsidRPr="00744115" w:rsidRDefault="009B5FDB" w:rsidP="00722DF4">
      <w:pPr>
        <w:autoSpaceDE w:val="0"/>
        <w:autoSpaceDN w:val="0"/>
        <w:adjustRightInd w:val="0"/>
        <w:spacing w:after="0"/>
        <w:jc w:val="both"/>
        <w:rPr>
          <w:rFonts w:ascii="Arial" w:hAnsi="Arial" w:cs="Arial"/>
          <w:sz w:val="24"/>
          <w:szCs w:val="24"/>
        </w:rPr>
      </w:pPr>
      <w:r w:rsidRPr="00744115">
        <w:rPr>
          <w:rFonts w:ascii="Arial" w:hAnsi="Arial" w:cs="Arial"/>
          <w:sz w:val="24"/>
          <w:szCs w:val="24"/>
        </w:rPr>
        <w:t xml:space="preserve">-Krečnjačko-dolomitna crnica (Kalkomelansol), površine 660.000 ha, je najrasprostranjenije zemljište u Crnoj Gori; </w:t>
      </w:r>
    </w:p>
    <w:p w:rsidR="00873563" w:rsidRPr="00744115" w:rsidRDefault="009B5FDB" w:rsidP="00722DF4">
      <w:pPr>
        <w:autoSpaceDE w:val="0"/>
        <w:autoSpaceDN w:val="0"/>
        <w:adjustRightInd w:val="0"/>
        <w:spacing w:after="0"/>
        <w:jc w:val="both"/>
        <w:rPr>
          <w:rFonts w:ascii="Arial" w:hAnsi="Arial" w:cs="Arial"/>
          <w:sz w:val="24"/>
          <w:szCs w:val="24"/>
        </w:rPr>
      </w:pPr>
      <w:r w:rsidRPr="00744115">
        <w:rPr>
          <w:rFonts w:ascii="Arial" w:hAnsi="Arial" w:cs="Arial"/>
          <w:sz w:val="24"/>
          <w:szCs w:val="24"/>
        </w:rPr>
        <w:t xml:space="preserve">- Rendzina, površine 31.205 ha, slična krečnjačkoj crnici, građom profila i osobinama, ali se obrazuje na rastresitom karbonatnom supstratu. Sadrži više skeleta nego crnica, a obradive površine su dublji varijeteti vrtača, kraških polja i manjih zaravni; </w:t>
      </w:r>
    </w:p>
    <w:p w:rsidR="00873563" w:rsidRPr="00744115" w:rsidRDefault="009B5FDB" w:rsidP="00722DF4">
      <w:pPr>
        <w:autoSpaceDE w:val="0"/>
        <w:autoSpaceDN w:val="0"/>
        <w:adjustRightInd w:val="0"/>
        <w:spacing w:after="0"/>
        <w:jc w:val="both"/>
        <w:rPr>
          <w:rFonts w:ascii="Arial" w:hAnsi="Arial" w:cs="Arial"/>
          <w:sz w:val="24"/>
          <w:szCs w:val="24"/>
        </w:rPr>
      </w:pPr>
      <w:r w:rsidRPr="00744115">
        <w:rPr>
          <w:rFonts w:ascii="Arial" w:hAnsi="Arial" w:cs="Arial"/>
          <w:sz w:val="24"/>
          <w:szCs w:val="24"/>
        </w:rPr>
        <w:t xml:space="preserve">- Humusno silikatno zemljište (Ranker), neznatne površine (6825 ha), jer se obrazuje na silikatnim podlogama iznad 1500 mnm. Odlikuje se jako kiselom reakcijom i visokim sadržajem humusa; </w:t>
      </w:r>
    </w:p>
    <w:p w:rsidR="00873563" w:rsidRPr="00744115" w:rsidRDefault="009B5FDB" w:rsidP="00722DF4">
      <w:pPr>
        <w:autoSpaceDE w:val="0"/>
        <w:autoSpaceDN w:val="0"/>
        <w:adjustRightInd w:val="0"/>
        <w:spacing w:after="0"/>
        <w:jc w:val="both"/>
        <w:rPr>
          <w:rFonts w:ascii="Arial" w:hAnsi="Arial" w:cs="Arial"/>
          <w:sz w:val="24"/>
          <w:szCs w:val="24"/>
        </w:rPr>
      </w:pPr>
      <w:r w:rsidRPr="00744115">
        <w:rPr>
          <w:rFonts w:ascii="Arial" w:hAnsi="Arial" w:cs="Arial"/>
          <w:sz w:val="24"/>
          <w:szCs w:val="24"/>
        </w:rPr>
        <w:t>- Smeđe kiselo zemljište (Distrični kambisol), površinom od 394.825 ha dolazi na drugo mjesto, najviše rasprostranjeno u sjeveroistočnoj Crnoj Gori;</w:t>
      </w:r>
    </w:p>
    <w:p w:rsidR="00873563" w:rsidRPr="00722DF4" w:rsidRDefault="007D4AE8" w:rsidP="00722DF4">
      <w:pPr>
        <w:autoSpaceDE w:val="0"/>
        <w:autoSpaceDN w:val="0"/>
        <w:adjustRightInd w:val="0"/>
        <w:spacing w:after="0"/>
        <w:jc w:val="both"/>
        <w:rPr>
          <w:rFonts w:ascii="Arial" w:hAnsi="Arial" w:cs="Arial"/>
          <w:sz w:val="24"/>
          <w:szCs w:val="24"/>
        </w:rPr>
      </w:pPr>
      <w:r w:rsidRPr="00744115">
        <w:rPr>
          <w:rFonts w:ascii="Arial" w:hAnsi="Arial" w:cs="Arial"/>
          <w:sz w:val="24"/>
          <w:szCs w:val="24"/>
        </w:rPr>
        <w:t xml:space="preserve"> - </w:t>
      </w:r>
      <w:r w:rsidR="009B5FDB" w:rsidRPr="00744115">
        <w:rPr>
          <w:rFonts w:ascii="Arial" w:hAnsi="Arial" w:cs="Arial"/>
          <w:sz w:val="24"/>
          <w:szCs w:val="24"/>
        </w:rPr>
        <w:t>Smeđe eutrično zemljište (Eutrični kambisol), površine 118.275 ha, zauzima najniže djelove rječnih dolina (stare rječne te</w:t>
      </w:r>
      <w:r w:rsidR="009C6995" w:rsidRPr="00744115">
        <w:rPr>
          <w:rFonts w:ascii="Arial" w:hAnsi="Arial" w:cs="Arial"/>
          <w:sz w:val="24"/>
          <w:szCs w:val="24"/>
        </w:rPr>
        <w:t>rase), kotlina i kraških polja.</w:t>
      </w:r>
    </w:p>
    <w:p w:rsidR="007D4AE8" w:rsidRPr="00722DF4" w:rsidRDefault="007D4AE8" w:rsidP="00722DF4">
      <w:pPr>
        <w:autoSpaceDE w:val="0"/>
        <w:autoSpaceDN w:val="0"/>
        <w:adjustRightInd w:val="0"/>
        <w:spacing w:after="0"/>
        <w:jc w:val="both"/>
        <w:rPr>
          <w:rFonts w:ascii="Arial" w:hAnsi="Arial" w:cs="Arial"/>
          <w:sz w:val="24"/>
          <w:szCs w:val="24"/>
        </w:rPr>
      </w:pPr>
    </w:p>
    <w:p w:rsidR="002A5B62" w:rsidRPr="00722DF4" w:rsidRDefault="002A5B6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Sadašnje stanje zemljišta u odnosu na sadržaj opasnih i štetnih materija, može se okarakterisati kao dobro. Međutim uticaj saobraćaja, odnosno emisije izduvnih gasova kroz povećan sadržaj i organskih i neorganskih polutanata, tj. policikličnih aromatičnih ugljovodonika (PAH), olova (Pb) i kadmijuma (Cd), biće </w:t>
      </w:r>
      <w:r w:rsidR="006A7280" w:rsidRPr="00722DF4">
        <w:rPr>
          <w:rFonts w:ascii="Arial" w:hAnsi="Arial" w:cs="Arial"/>
          <w:sz w:val="24"/>
          <w:szCs w:val="24"/>
        </w:rPr>
        <w:t>povećan</w:t>
      </w:r>
      <w:r w:rsidRPr="00722DF4">
        <w:rPr>
          <w:rFonts w:ascii="Arial" w:hAnsi="Arial" w:cs="Arial"/>
          <w:sz w:val="24"/>
          <w:szCs w:val="24"/>
        </w:rPr>
        <w:t xml:space="preserve"> izgradnjom </w:t>
      </w:r>
      <w:r w:rsidR="004D6504" w:rsidRPr="00722DF4">
        <w:rPr>
          <w:rFonts w:ascii="Arial" w:hAnsi="Arial" w:cs="Arial"/>
          <w:sz w:val="24"/>
          <w:szCs w:val="24"/>
        </w:rPr>
        <w:t>planiranih putnih pravaca</w:t>
      </w:r>
      <w:r w:rsidRPr="00722DF4">
        <w:rPr>
          <w:rFonts w:ascii="Arial" w:hAnsi="Arial" w:cs="Arial"/>
          <w:sz w:val="24"/>
          <w:szCs w:val="24"/>
        </w:rPr>
        <w:t>, odnosno njegovom sve većom funkcionalnošću. Maksimalno dozvoljene količine opasnih i štetnih materija u zemljištu, koje mogu d</w:t>
      </w:r>
      <w:r w:rsidR="006A7280" w:rsidRPr="00722DF4">
        <w:rPr>
          <w:rFonts w:ascii="Arial" w:hAnsi="Arial" w:cs="Arial"/>
          <w:sz w:val="24"/>
          <w:szCs w:val="24"/>
        </w:rPr>
        <w:t>a dovedu do njegovog zagađenja</w:t>
      </w:r>
      <w:r w:rsidRPr="00722DF4">
        <w:rPr>
          <w:rFonts w:ascii="Arial" w:hAnsi="Arial" w:cs="Arial"/>
          <w:sz w:val="24"/>
          <w:szCs w:val="24"/>
        </w:rPr>
        <w:t xml:space="preserve">, </w:t>
      </w:r>
      <w:r w:rsidR="006A7280" w:rsidRPr="00722DF4">
        <w:rPr>
          <w:rFonts w:ascii="Arial" w:hAnsi="Arial" w:cs="Arial"/>
          <w:sz w:val="24"/>
          <w:szCs w:val="24"/>
        </w:rPr>
        <w:t>a</w:t>
      </w:r>
      <w:r w:rsidRPr="00722DF4">
        <w:rPr>
          <w:rFonts w:ascii="Arial" w:hAnsi="Arial" w:cs="Arial"/>
          <w:sz w:val="24"/>
          <w:szCs w:val="24"/>
        </w:rPr>
        <w:t xml:space="preserve"> određene </w:t>
      </w:r>
      <w:r w:rsidR="00D12290" w:rsidRPr="00722DF4">
        <w:rPr>
          <w:rFonts w:ascii="Arial" w:hAnsi="Arial" w:cs="Arial"/>
          <w:sz w:val="24"/>
          <w:szCs w:val="24"/>
        </w:rPr>
        <w:t>su</w:t>
      </w:r>
      <w:r w:rsidRPr="00722DF4">
        <w:rPr>
          <w:rFonts w:ascii="Arial" w:hAnsi="Arial" w:cs="Arial"/>
          <w:sz w:val="24"/>
          <w:szCs w:val="24"/>
        </w:rPr>
        <w:t xml:space="preserve"> Pravilnik</w:t>
      </w:r>
      <w:r w:rsidR="00D12290" w:rsidRPr="00722DF4">
        <w:rPr>
          <w:rFonts w:ascii="Arial" w:hAnsi="Arial" w:cs="Arial"/>
          <w:sz w:val="24"/>
          <w:szCs w:val="24"/>
        </w:rPr>
        <w:t>om</w:t>
      </w:r>
      <w:r w:rsidRPr="00722DF4">
        <w:rPr>
          <w:rFonts w:ascii="Arial" w:hAnsi="Arial" w:cs="Arial"/>
          <w:sz w:val="24"/>
          <w:szCs w:val="24"/>
        </w:rPr>
        <w:t xml:space="preserve"> o dozvoljenim količinama opasnih i štetnih materija u zemljištu i metodama za njihovo ispitivanje (Sl. </w:t>
      </w:r>
      <w:r w:rsidR="004D6504" w:rsidRPr="00722DF4">
        <w:rPr>
          <w:rFonts w:ascii="Arial" w:hAnsi="Arial" w:cs="Arial"/>
          <w:sz w:val="24"/>
          <w:szCs w:val="24"/>
        </w:rPr>
        <w:t>l</w:t>
      </w:r>
      <w:r w:rsidRPr="00722DF4">
        <w:rPr>
          <w:rFonts w:ascii="Arial" w:hAnsi="Arial" w:cs="Arial"/>
          <w:sz w:val="24"/>
          <w:szCs w:val="24"/>
        </w:rPr>
        <w:t xml:space="preserve">ist RCG, br. 18/97). </w:t>
      </w:r>
    </w:p>
    <w:p w:rsidR="002A5B62" w:rsidRPr="00722DF4" w:rsidRDefault="002A5B62" w:rsidP="00722DF4">
      <w:pPr>
        <w:autoSpaceDE w:val="0"/>
        <w:autoSpaceDN w:val="0"/>
        <w:adjustRightInd w:val="0"/>
        <w:spacing w:after="0"/>
        <w:jc w:val="both"/>
        <w:rPr>
          <w:rFonts w:ascii="Arial" w:hAnsi="Arial" w:cs="Arial"/>
          <w:sz w:val="24"/>
          <w:szCs w:val="24"/>
        </w:rPr>
      </w:pPr>
    </w:p>
    <w:p w:rsidR="009361EE" w:rsidRPr="00722DF4" w:rsidRDefault="009361EE"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Podaci iz programa praćenja zagađenja zemljišta na ciljano odabranim lokacijama pokazuju da je povećana koncentracija zagađujućih materija uglavnom rezultat neadekvatnog odlaganja komunalnog i industrijskog otpada, ili emisije izduvnih gasova i deponovanja štetnih materija iz izduvnih gasova u blizini većih saobraćajnica.</w:t>
      </w:r>
    </w:p>
    <w:p w:rsidR="009361EE" w:rsidRPr="00722DF4" w:rsidRDefault="009361EE" w:rsidP="00722DF4">
      <w:pPr>
        <w:spacing w:after="0"/>
        <w:jc w:val="both"/>
        <w:rPr>
          <w:rFonts w:ascii="Arial" w:hAnsi="Arial" w:cs="Arial"/>
          <w:sz w:val="24"/>
          <w:szCs w:val="24"/>
        </w:rPr>
      </w:pPr>
    </w:p>
    <w:p w:rsidR="009361EE" w:rsidRPr="00722DF4" w:rsidRDefault="009361EE"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Najznačajniji izvor polihlorovanih bifenila (PCBs) u Crnoj Gori jeste pomorski saobraćaj. U ukupnim emisijama ovih supstanci, zabilježenim u 2012. godini, udio pomorskog saobraćaja iznosi oko 80%.</w:t>
      </w:r>
    </w:p>
    <w:p w:rsidR="00AC135A" w:rsidRPr="00722DF4" w:rsidRDefault="00AC135A" w:rsidP="00722DF4">
      <w:pPr>
        <w:spacing w:after="0"/>
        <w:jc w:val="both"/>
        <w:rPr>
          <w:rFonts w:ascii="Arial" w:hAnsi="Arial" w:cs="Arial"/>
          <w:sz w:val="24"/>
          <w:szCs w:val="24"/>
        </w:rPr>
      </w:pPr>
    </w:p>
    <w:p w:rsidR="00A10A3F" w:rsidRPr="00722DF4" w:rsidRDefault="001210F4" w:rsidP="00722DF4">
      <w:pPr>
        <w:spacing w:after="0"/>
        <w:jc w:val="both"/>
        <w:rPr>
          <w:rFonts w:ascii="Arial" w:hAnsi="Arial" w:cs="Arial"/>
          <w:b/>
          <w:sz w:val="24"/>
          <w:szCs w:val="24"/>
        </w:rPr>
      </w:pPr>
      <w:r>
        <w:rPr>
          <w:rFonts w:ascii="Arial" w:hAnsi="Arial" w:cs="Arial"/>
          <w:noProof/>
          <w:sz w:val="24"/>
          <w:szCs w:val="24"/>
        </w:rPr>
        <w:lastRenderedPageBreak/>
        <w:drawing>
          <wp:inline distT="0" distB="0" distL="0" distR="0">
            <wp:extent cx="5339715" cy="7142480"/>
            <wp:effectExtent l="1905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srcRect l="4750" t="5923" r="5151" b="4034"/>
                    <a:stretch>
                      <a:fillRect/>
                    </a:stretch>
                  </pic:blipFill>
                  <pic:spPr bwMode="auto">
                    <a:xfrm>
                      <a:off x="0" y="0"/>
                      <a:ext cx="5339715" cy="7142480"/>
                    </a:xfrm>
                    <a:prstGeom prst="rect">
                      <a:avLst/>
                    </a:prstGeom>
                    <a:noFill/>
                    <a:ln w="9525">
                      <a:noFill/>
                      <a:miter lim="800000"/>
                      <a:headEnd/>
                      <a:tailEnd/>
                    </a:ln>
                  </pic:spPr>
                </pic:pic>
              </a:graphicData>
            </a:graphic>
          </wp:inline>
        </w:drawing>
      </w:r>
    </w:p>
    <w:p w:rsidR="00D12290" w:rsidRPr="00B61137" w:rsidRDefault="00D12290" w:rsidP="00722DF4">
      <w:pPr>
        <w:spacing w:after="0"/>
        <w:jc w:val="both"/>
        <w:rPr>
          <w:rFonts w:ascii="Arial" w:hAnsi="Arial" w:cs="Arial"/>
        </w:rPr>
      </w:pPr>
      <w:r w:rsidRPr="00B61137">
        <w:rPr>
          <w:rFonts w:ascii="Arial" w:hAnsi="Arial" w:cs="Arial"/>
          <w:b/>
        </w:rPr>
        <w:t>Slika 2.</w:t>
      </w:r>
      <w:r w:rsidR="00EF2394" w:rsidRPr="00B61137">
        <w:rPr>
          <w:rFonts w:ascii="Arial" w:hAnsi="Arial" w:cs="Arial"/>
          <w:b/>
        </w:rPr>
        <w:t>20</w:t>
      </w:r>
      <w:r w:rsidRPr="00B61137">
        <w:rPr>
          <w:rFonts w:ascii="Arial" w:hAnsi="Arial" w:cs="Arial"/>
          <w:b/>
        </w:rPr>
        <w:t xml:space="preserve">. </w:t>
      </w:r>
      <w:r w:rsidRPr="00B61137">
        <w:rPr>
          <w:rFonts w:ascii="Arial" w:hAnsi="Arial" w:cs="Arial"/>
        </w:rPr>
        <w:t>Prikaz pedološke karte Crne Gore</w:t>
      </w:r>
    </w:p>
    <w:p w:rsidR="00EF2394" w:rsidRPr="00722DF4" w:rsidRDefault="00EF2394" w:rsidP="00722DF4">
      <w:pPr>
        <w:spacing w:after="0"/>
        <w:jc w:val="both"/>
        <w:rPr>
          <w:rFonts w:ascii="Arial" w:hAnsi="Arial" w:cs="Arial"/>
          <w:b/>
          <w:sz w:val="24"/>
          <w:szCs w:val="24"/>
        </w:rPr>
      </w:pPr>
    </w:p>
    <w:p w:rsidR="009C6995" w:rsidRPr="00722DF4" w:rsidRDefault="3B4348E7" w:rsidP="00722DF4">
      <w:pPr>
        <w:pStyle w:val="Heading2"/>
        <w:numPr>
          <w:ilvl w:val="0"/>
          <w:numId w:val="0"/>
        </w:numPr>
        <w:spacing w:before="0"/>
        <w:jc w:val="both"/>
        <w:rPr>
          <w:rFonts w:cs="Arial"/>
          <w:szCs w:val="24"/>
        </w:rPr>
      </w:pPr>
      <w:bookmarkStart w:id="28" w:name="_Toc6172819"/>
      <w:r w:rsidRPr="00722DF4">
        <w:rPr>
          <w:rFonts w:cs="Arial"/>
          <w:szCs w:val="24"/>
        </w:rPr>
        <w:lastRenderedPageBreak/>
        <w:t>2.5. Vode</w:t>
      </w:r>
      <w:bookmarkEnd w:id="28"/>
      <w:r w:rsidRPr="00722DF4">
        <w:rPr>
          <w:rFonts w:cs="Arial"/>
          <w:szCs w:val="24"/>
        </w:rPr>
        <w:t xml:space="preserve"> </w:t>
      </w:r>
    </w:p>
    <w:p w:rsidR="009C6995" w:rsidRDefault="009C6995" w:rsidP="00722DF4">
      <w:pPr>
        <w:pStyle w:val="Heading3"/>
        <w:numPr>
          <w:ilvl w:val="0"/>
          <w:numId w:val="0"/>
        </w:numPr>
        <w:spacing w:before="0"/>
        <w:jc w:val="both"/>
        <w:rPr>
          <w:rFonts w:cs="Arial"/>
          <w:szCs w:val="24"/>
          <w:lang w:val="sr-Latn-CS"/>
        </w:rPr>
      </w:pPr>
      <w:bookmarkStart w:id="29" w:name="_Toc6172820"/>
      <w:r w:rsidRPr="00722DF4">
        <w:rPr>
          <w:rFonts w:cs="Arial"/>
          <w:szCs w:val="24"/>
        </w:rPr>
        <w:t>2.5.1 Hidrologija</w:t>
      </w:r>
      <w:bookmarkEnd w:id="29"/>
    </w:p>
    <w:p w:rsidR="00EF2394" w:rsidRPr="00EF2394" w:rsidRDefault="00EF2394" w:rsidP="00EF2394">
      <w:pPr>
        <w:rPr>
          <w:lang w:val="sr-Latn-CS"/>
        </w:rPr>
      </w:pPr>
    </w:p>
    <w:p w:rsidR="00AB2E0A" w:rsidRPr="00722DF4" w:rsidRDefault="00AB2E0A" w:rsidP="00722DF4">
      <w:pPr>
        <w:spacing w:after="0"/>
        <w:jc w:val="both"/>
        <w:rPr>
          <w:rFonts w:ascii="Arial" w:hAnsi="Arial" w:cs="Arial"/>
          <w:sz w:val="24"/>
          <w:szCs w:val="24"/>
        </w:rPr>
      </w:pPr>
      <w:r w:rsidRPr="00722DF4">
        <w:rPr>
          <w:rFonts w:ascii="Arial" w:hAnsi="Arial" w:cs="Arial"/>
          <w:sz w:val="24"/>
          <w:szCs w:val="24"/>
        </w:rPr>
        <w:t>Osnovna odlika hidrografije Crne Gore je postojanje dva približno jednaka slivna područja: crnomorskog i jadranskog. Jadranskom slivu pripada oko 47,5% površine Republike, a Crnomorskom oko 52,5%.</w:t>
      </w:r>
    </w:p>
    <w:p w:rsidR="00AB2E0A"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788025" cy="3209290"/>
            <wp:effectExtent l="19050" t="0" r="3175" b="0"/>
            <wp:docPr id="2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34" cstate="print"/>
                    <a:srcRect/>
                    <a:stretch>
                      <a:fillRect/>
                    </a:stretch>
                  </pic:blipFill>
                  <pic:spPr bwMode="auto">
                    <a:xfrm>
                      <a:off x="0" y="0"/>
                      <a:ext cx="5788025" cy="3209290"/>
                    </a:xfrm>
                    <a:prstGeom prst="rect">
                      <a:avLst/>
                    </a:prstGeom>
                    <a:noFill/>
                    <a:ln w="9525">
                      <a:noFill/>
                      <a:miter lim="800000"/>
                      <a:headEnd/>
                      <a:tailEnd/>
                    </a:ln>
                  </pic:spPr>
                </pic:pic>
              </a:graphicData>
            </a:graphic>
          </wp:inline>
        </w:drawing>
      </w:r>
    </w:p>
    <w:p w:rsidR="00AB2E0A" w:rsidRPr="00B61137" w:rsidRDefault="00EF2394" w:rsidP="00722DF4">
      <w:pPr>
        <w:spacing w:after="0"/>
        <w:jc w:val="both"/>
        <w:rPr>
          <w:rFonts w:ascii="Arial" w:hAnsi="Arial" w:cs="Arial"/>
          <w:i/>
        </w:rPr>
      </w:pPr>
      <w:r w:rsidRPr="00B61137">
        <w:rPr>
          <w:rFonts w:ascii="Arial" w:hAnsi="Arial" w:cs="Arial"/>
          <w:b/>
        </w:rPr>
        <w:t>Slika 2.21</w:t>
      </w:r>
      <w:r w:rsidR="00AB2E0A" w:rsidRPr="00B61137">
        <w:rPr>
          <w:rFonts w:ascii="Arial" w:hAnsi="Arial" w:cs="Arial"/>
          <w:b/>
        </w:rPr>
        <w:t>.</w:t>
      </w:r>
      <w:r w:rsidR="00AB2E0A" w:rsidRPr="00B61137">
        <w:rPr>
          <w:rFonts w:ascii="Arial" w:hAnsi="Arial" w:cs="Arial"/>
          <w:i/>
        </w:rPr>
        <w:t xml:space="preserve">  </w:t>
      </w:r>
      <w:r w:rsidR="00AB2E0A" w:rsidRPr="00B61137">
        <w:rPr>
          <w:rFonts w:ascii="Arial" w:hAnsi="Arial" w:cs="Arial"/>
        </w:rPr>
        <w:t>Slivna područja Crne Gore</w:t>
      </w:r>
      <w:r w:rsidR="00AB2E0A" w:rsidRPr="00B61137">
        <w:rPr>
          <w:rFonts w:ascii="Arial" w:hAnsi="Arial" w:cs="Arial"/>
          <w:i/>
        </w:rPr>
        <w:t xml:space="preserve"> (Izvor: Diktas, Montenergro country report, 2012)</w:t>
      </w:r>
    </w:p>
    <w:p w:rsidR="00EF2394" w:rsidRPr="00722DF4" w:rsidRDefault="00EF2394" w:rsidP="00722DF4">
      <w:pPr>
        <w:spacing w:after="0"/>
        <w:jc w:val="both"/>
        <w:rPr>
          <w:rFonts w:ascii="Arial" w:hAnsi="Arial" w:cs="Arial"/>
          <w:sz w:val="24"/>
          <w:szCs w:val="24"/>
        </w:rPr>
      </w:pPr>
    </w:p>
    <w:p w:rsidR="00AB2E0A" w:rsidRPr="00722DF4" w:rsidRDefault="00AB2E0A" w:rsidP="00722DF4">
      <w:pPr>
        <w:spacing w:after="0"/>
        <w:jc w:val="both"/>
        <w:rPr>
          <w:rFonts w:ascii="Arial" w:hAnsi="Arial" w:cs="Arial"/>
          <w:sz w:val="24"/>
          <w:szCs w:val="24"/>
        </w:rPr>
      </w:pPr>
      <w:r w:rsidRPr="00722DF4">
        <w:rPr>
          <w:rFonts w:ascii="Arial" w:hAnsi="Arial" w:cs="Arial"/>
          <w:sz w:val="24"/>
          <w:szCs w:val="24"/>
        </w:rPr>
        <w:t>Specifičnost je i u tome što se najviši planinski vrhovi i vijenci nalaze u crnomorskom slivu, dok je vododjelnica između crnomorskog i jadranskog sliva južno od njih. Generalno, oba slivna područja bogata su vodom, čak i prema svjetskim mjerilima. Međutim, znatan dio površine Crne Gore pripada području kontinentalnog krasa, koji je bez stalnih tokova, sa brojnim ponorima u koje se vode slivaju i dalje podzemno otiču prema vodotocima ili moru. Značajne rijeke (glavni površinski vodotoci) crnomorskog sliva su: Piva, Tara, Ćehotina, Lim, kao vodotoci iz sliva Drine, i Ibar kao vodotok iz sliva Zapadne Morave. Značajne rijeke (glavni površinski vodotoci) jadranskog sliva su: Morača, Zeta, Rijeka Crnojevića i Cijevna, koje sve gravitiraju Skadarskom jezeru, iz koga se prelivaju u rijeku Bojanu i dalje otiču u Jadransko more. Na niže navedenom grafičkom prikazu vidljiva je hidrografska mreža Crne Gore.</w:t>
      </w:r>
    </w:p>
    <w:p w:rsidR="00AB2E0A"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4632325" cy="4959985"/>
            <wp:effectExtent l="19050" t="0" r="0" b="0"/>
            <wp:docPr id="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35" cstate="print"/>
                    <a:srcRect/>
                    <a:stretch>
                      <a:fillRect/>
                    </a:stretch>
                  </pic:blipFill>
                  <pic:spPr bwMode="auto">
                    <a:xfrm>
                      <a:off x="0" y="0"/>
                      <a:ext cx="4632325" cy="4959985"/>
                    </a:xfrm>
                    <a:prstGeom prst="rect">
                      <a:avLst/>
                    </a:prstGeom>
                    <a:noFill/>
                    <a:ln w="9525">
                      <a:noFill/>
                      <a:miter lim="800000"/>
                      <a:headEnd/>
                      <a:tailEnd/>
                    </a:ln>
                  </pic:spPr>
                </pic:pic>
              </a:graphicData>
            </a:graphic>
          </wp:inline>
        </w:drawing>
      </w:r>
    </w:p>
    <w:p w:rsidR="00AB2E0A" w:rsidRPr="00B61137" w:rsidRDefault="00EF2394" w:rsidP="00722DF4">
      <w:pPr>
        <w:spacing w:after="0"/>
        <w:jc w:val="both"/>
        <w:rPr>
          <w:rFonts w:ascii="Arial" w:hAnsi="Arial" w:cs="Arial"/>
        </w:rPr>
      </w:pPr>
      <w:r w:rsidRPr="00B61137">
        <w:rPr>
          <w:rFonts w:ascii="Arial" w:hAnsi="Arial" w:cs="Arial"/>
          <w:b/>
        </w:rPr>
        <w:t>Slika 2.22</w:t>
      </w:r>
      <w:r w:rsidR="00AB2E0A" w:rsidRPr="00B61137">
        <w:rPr>
          <w:rFonts w:ascii="Arial" w:hAnsi="Arial" w:cs="Arial"/>
          <w:b/>
        </w:rPr>
        <w:t>.</w:t>
      </w:r>
      <w:r w:rsidR="00AB2E0A" w:rsidRPr="00B61137">
        <w:rPr>
          <w:rFonts w:ascii="Arial" w:hAnsi="Arial" w:cs="Arial"/>
          <w:i/>
        </w:rPr>
        <w:t xml:space="preserve"> </w:t>
      </w:r>
      <w:r w:rsidR="00AB2E0A" w:rsidRPr="00B61137">
        <w:rPr>
          <w:rFonts w:ascii="Arial" w:hAnsi="Arial" w:cs="Arial"/>
        </w:rPr>
        <w:t>Hidrografska mreža Crne Gore</w:t>
      </w:r>
    </w:p>
    <w:p w:rsidR="00EF2394" w:rsidRPr="00722DF4" w:rsidRDefault="00EF2394" w:rsidP="00722DF4">
      <w:pPr>
        <w:spacing w:after="0"/>
        <w:jc w:val="both"/>
        <w:rPr>
          <w:rFonts w:ascii="Arial" w:hAnsi="Arial" w:cs="Arial"/>
          <w:sz w:val="24"/>
          <w:szCs w:val="24"/>
        </w:rPr>
      </w:pPr>
    </w:p>
    <w:p w:rsidR="00AB2E0A" w:rsidRDefault="00AB2E0A" w:rsidP="00722DF4">
      <w:pPr>
        <w:spacing w:after="0"/>
        <w:jc w:val="both"/>
        <w:rPr>
          <w:rFonts w:ascii="Arial" w:hAnsi="Arial" w:cs="Arial"/>
          <w:sz w:val="24"/>
          <w:szCs w:val="24"/>
        </w:rPr>
      </w:pPr>
      <w:r w:rsidRPr="00722DF4">
        <w:rPr>
          <w:rFonts w:ascii="Arial" w:hAnsi="Arial" w:cs="Arial"/>
          <w:sz w:val="24"/>
          <w:szCs w:val="24"/>
        </w:rPr>
        <w:t xml:space="preserve">Tokovi kontinentalnog krasa slivaju se preko ponora u podzemlje i izviru u slivovima jadranskih i crnomorskih rijeka ili ispod morske površine. Dio ovih voda otiče podzemnim putem na susjedne teritorije (Trebišnjica, Konavle). </w:t>
      </w:r>
    </w:p>
    <w:p w:rsidR="00EF2394" w:rsidRPr="00722DF4" w:rsidRDefault="00EF2394" w:rsidP="00722DF4">
      <w:pPr>
        <w:spacing w:after="0"/>
        <w:jc w:val="both"/>
        <w:rPr>
          <w:rFonts w:ascii="Arial" w:hAnsi="Arial" w:cs="Arial"/>
          <w:sz w:val="24"/>
          <w:szCs w:val="24"/>
        </w:rPr>
      </w:pPr>
    </w:p>
    <w:p w:rsidR="00AB2E0A" w:rsidRDefault="00AB2E0A" w:rsidP="00722DF4">
      <w:pPr>
        <w:spacing w:after="0"/>
        <w:jc w:val="both"/>
        <w:rPr>
          <w:rFonts w:ascii="Arial" w:hAnsi="Arial" w:cs="Arial"/>
          <w:sz w:val="24"/>
          <w:szCs w:val="24"/>
        </w:rPr>
      </w:pPr>
      <w:r w:rsidRPr="00722DF4">
        <w:rPr>
          <w:rFonts w:ascii="Arial" w:hAnsi="Arial" w:cs="Arial"/>
          <w:sz w:val="24"/>
          <w:szCs w:val="24"/>
        </w:rPr>
        <w:t>Najveći broj površinskih tokova u Crnoj Gori bujičnog je karaktera. Oni su grupisani u bujične sisteme prema karakterističnim geografskim odrednicama: primorski, skadarski, bokokotorski, nikšićki, cetinjski, podgorički, pivljanski, limljanski i drugi.</w:t>
      </w:r>
    </w:p>
    <w:p w:rsidR="00EF2394" w:rsidRPr="00722DF4" w:rsidRDefault="00EF2394" w:rsidP="00722DF4">
      <w:pPr>
        <w:spacing w:after="0"/>
        <w:jc w:val="both"/>
        <w:rPr>
          <w:rFonts w:ascii="Arial" w:hAnsi="Arial" w:cs="Arial"/>
          <w:sz w:val="24"/>
          <w:szCs w:val="24"/>
        </w:rPr>
      </w:pPr>
    </w:p>
    <w:p w:rsidR="00AB2E0A" w:rsidRDefault="00AB2E0A" w:rsidP="00722DF4">
      <w:pPr>
        <w:spacing w:after="0"/>
        <w:jc w:val="both"/>
        <w:rPr>
          <w:rFonts w:ascii="Arial" w:hAnsi="Arial" w:cs="Arial"/>
          <w:sz w:val="24"/>
          <w:szCs w:val="24"/>
        </w:rPr>
      </w:pPr>
      <w:r w:rsidRPr="00722DF4">
        <w:rPr>
          <w:rFonts w:ascii="Arial" w:hAnsi="Arial" w:cs="Arial"/>
          <w:sz w:val="24"/>
          <w:szCs w:val="24"/>
        </w:rPr>
        <w:t xml:space="preserve">Od primorskih bujičnih sistema značajniji su bujični podsistemi Bokokotorskog zaliva, budvanske bujice, barske bujice, sutomorske i ulcinjske bujice. Od bokokotorskih bujica treba pomenuti potok Zverinjak, od budvanskih Kučac, od barskih bujica Željeznicu i </w:t>
      </w:r>
      <w:r w:rsidRPr="00722DF4">
        <w:rPr>
          <w:rFonts w:ascii="Arial" w:hAnsi="Arial" w:cs="Arial"/>
          <w:sz w:val="24"/>
          <w:szCs w:val="24"/>
        </w:rPr>
        <w:lastRenderedPageBreak/>
        <w:t xml:space="preserve">Rikavac, </w:t>
      </w:r>
      <w:r w:rsidR="00744115">
        <w:rPr>
          <w:rFonts w:ascii="Arial" w:hAnsi="Arial" w:cs="Arial"/>
          <w:sz w:val="24"/>
          <w:szCs w:val="24"/>
        </w:rPr>
        <w:t xml:space="preserve">koje se slivaju prema moru. </w:t>
      </w:r>
      <w:r w:rsidRPr="00722DF4">
        <w:rPr>
          <w:rFonts w:ascii="Arial" w:hAnsi="Arial" w:cs="Arial"/>
          <w:sz w:val="24"/>
          <w:szCs w:val="24"/>
        </w:rPr>
        <w:t>Od ulcinjskih bujica karakteristične su: Međurječka, Vladimirska i Rastiška rijeka, koje se slivaju prema Šaskom jezeru i rijeci Bojani.</w:t>
      </w:r>
    </w:p>
    <w:p w:rsidR="00EF2394" w:rsidRPr="00722DF4" w:rsidRDefault="00EF2394" w:rsidP="00722DF4">
      <w:pPr>
        <w:spacing w:after="0"/>
        <w:jc w:val="both"/>
        <w:rPr>
          <w:rFonts w:ascii="Arial" w:hAnsi="Arial" w:cs="Arial"/>
          <w:sz w:val="24"/>
          <w:szCs w:val="24"/>
        </w:rPr>
      </w:pPr>
    </w:p>
    <w:p w:rsidR="00AB2E0A" w:rsidRPr="00722DF4" w:rsidRDefault="00AB2E0A" w:rsidP="00722DF4">
      <w:pPr>
        <w:spacing w:after="0"/>
        <w:jc w:val="both"/>
        <w:rPr>
          <w:rFonts w:ascii="Arial" w:hAnsi="Arial" w:cs="Arial"/>
          <w:sz w:val="24"/>
          <w:szCs w:val="24"/>
        </w:rPr>
      </w:pPr>
      <w:r w:rsidRPr="00722DF4">
        <w:rPr>
          <w:rFonts w:ascii="Arial" w:hAnsi="Arial" w:cs="Arial"/>
          <w:sz w:val="24"/>
          <w:szCs w:val="24"/>
        </w:rPr>
        <w:t>Kod skadarskih bujica karakteristični su podsistemi: crmnički, orahovski i skadarski, od kojih su značajne bujice crmničkog polja Bistrica i Sutorman.</w:t>
      </w:r>
    </w:p>
    <w:p w:rsidR="00AB2E0A" w:rsidRDefault="00AB2E0A" w:rsidP="00722DF4">
      <w:pPr>
        <w:spacing w:after="0"/>
        <w:jc w:val="both"/>
        <w:rPr>
          <w:rFonts w:ascii="Arial" w:hAnsi="Arial" w:cs="Arial"/>
          <w:sz w:val="24"/>
          <w:szCs w:val="24"/>
        </w:rPr>
      </w:pPr>
      <w:r w:rsidRPr="00722DF4">
        <w:rPr>
          <w:rFonts w:ascii="Arial" w:hAnsi="Arial" w:cs="Arial"/>
          <w:sz w:val="24"/>
          <w:szCs w:val="24"/>
        </w:rPr>
        <w:t xml:space="preserve">Za hidrografiju Crne Gore od velikog značaja su i vještačka jezera na: Pivi, Ćehotini, Zeti (Nikšićkom polju) i Grahovskoj rijeci (Grahovo). Dio teritorije Republike potopljen je izgradnjom vještačkog jezera Hidroelektrane "Trebišnjica". </w:t>
      </w:r>
    </w:p>
    <w:p w:rsidR="00EF2394" w:rsidRPr="00722DF4" w:rsidRDefault="00EF2394" w:rsidP="00722DF4">
      <w:pPr>
        <w:spacing w:after="0"/>
        <w:jc w:val="both"/>
        <w:rPr>
          <w:rFonts w:ascii="Arial" w:hAnsi="Arial" w:cs="Arial"/>
          <w:sz w:val="24"/>
          <w:szCs w:val="24"/>
        </w:rPr>
      </w:pPr>
    </w:p>
    <w:p w:rsidR="00AB2E0A" w:rsidRDefault="00AB2E0A" w:rsidP="00722DF4">
      <w:pPr>
        <w:spacing w:after="0"/>
        <w:jc w:val="both"/>
        <w:rPr>
          <w:rFonts w:ascii="Arial" w:hAnsi="Arial" w:cs="Arial"/>
          <w:sz w:val="24"/>
          <w:szCs w:val="24"/>
        </w:rPr>
      </w:pPr>
      <w:r w:rsidRPr="00722DF4">
        <w:rPr>
          <w:rFonts w:ascii="Arial" w:hAnsi="Arial" w:cs="Arial"/>
          <w:sz w:val="24"/>
          <w:szCs w:val="24"/>
        </w:rPr>
        <w:t>Prirodna jezera u Crnoj Gori relativno su brojna, pri čemu se najveća nalaze na nizijskim prostorima južnog dijela teritorije. Skadarsko jezero, formirano u prostranoj depresiji, istovremeno je i najveće jezero na Balkanu. Tri petine površine Skadarskog jezera pripada Crnoj Gori. Ovo jezero pri najvišem vodostaju od oko 10,44 mnm ima površinu od oko 525 km². Šasko jezero drugo je po veličini u Crnoj Gori i nalazi se između Skadarskog jezera, rijeke Bojane i Jadranskog mora.</w:t>
      </w:r>
    </w:p>
    <w:p w:rsidR="00EF2394" w:rsidRPr="00722DF4" w:rsidRDefault="00EF2394" w:rsidP="00722DF4">
      <w:pPr>
        <w:spacing w:after="0"/>
        <w:jc w:val="both"/>
        <w:rPr>
          <w:rFonts w:ascii="Arial" w:hAnsi="Arial" w:cs="Arial"/>
          <w:sz w:val="24"/>
          <w:szCs w:val="24"/>
        </w:rPr>
      </w:pPr>
    </w:p>
    <w:p w:rsidR="00AB2E0A" w:rsidRDefault="00AB2E0A" w:rsidP="00722DF4">
      <w:pPr>
        <w:spacing w:after="0"/>
        <w:jc w:val="both"/>
        <w:rPr>
          <w:rFonts w:ascii="Arial" w:hAnsi="Arial" w:cs="Arial"/>
          <w:sz w:val="24"/>
          <w:szCs w:val="24"/>
        </w:rPr>
      </w:pPr>
      <w:r w:rsidRPr="00722DF4">
        <w:rPr>
          <w:rFonts w:ascii="Arial" w:hAnsi="Arial" w:cs="Arial"/>
          <w:sz w:val="24"/>
          <w:szCs w:val="24"/>
        </w:rPr>
        <w:t xml:space="preserve"> Crno, Plavsko i Biogradsko jezero takođe su prirodni rezervati, kao tipični primjeri ledničkih jezera. Sva ova jezera, izuzev Plavskog, nalaze se u nacionalnim parkovima. Pored navedenih, postoje i mnoga manja jezera, koja su ledničkog porijekla.  </w:t>
      </w:r>
    </w:p>
    <w:p w:rsidR="00EF2394" w:rsidRPr="00722DF4" w:rsidRDefault="00EF2394" w:rsidP="00722DF4">
      <w:pPr>
        <w:spacing w:after="0"/>
        <w:jc w:val="both"/>
        <w:rPr>
          <w:rFonts w:ascii="Arial" w:hAnsi="Arial" w:cs="Arial"/>
          <w:sz w:val="24"/>
          <w:szCs w:val="24"/>
        </w:rPr>
      </w:pPr>
    </w:p>
    <w:p w:rsidR="009C6995" w:rsidRDefault="009C6995" w:rsidP="00722DF4">
      <w:pPr>
        <w:pStyle w:val="Heading3"/>
        <w:numPr>
          <w:ilvl w:val="0"/>
          <w:numId w:val="0"/>
        </w:numPr>
        <w:spacing w:before="0"/>
        <w:jc w:val="both"/>
        <w:rPr>
          <w:rFonts w:cs="Arial"/>
          <w:szCs w:val="24"/>
          <w:lang w:val="sr-Latn-CS"/>
        </w:rPr>
      </w:pPr>
      <w:bookmarkStart w:id="30" w:name="_Toc6172821"/>
      <w:r w:rsidRPr="00722DF4">
        <w:rPr>
          <w:rFonts w:cs="Arial"/>
          <w:szCs w:val="24"/>
        </w:rPr>
        <w:t>2.5.2</w:t>
      </w:r>
      <w:r w:rsidR="00AB2E0A" w:rsidRPr="00722DF4">
        <w:rPr>
          <w:rFonts w:cs="Arial"/>
          <w:szCs w:val="24"/>
        </w:rPr>
        <w:t>. Kvalitet</w:t>
      </w:r>
      <w:r w:rsidRPr="00722DF4">
        <w:rPr>
          <w:rFonts w:cs="Arial"/>
          <w:szCs w:val="24"/>
        </w:rPr>
        <w:t xml:space="preserve"> voda</w:t>
      </w:r>
      <w:bookmarkEnd w:id="30"/>
    </w:p>
    <w:p w:rsidR="00744115" w:rsidRDefault="00744115" w:rsidP="00722DF4">
      <w:pPr>
        <w:spacing w:after="0"/>
        <w:jc w:val="both"/>
        <w:rPr>
          <w:rFonts w:ascii="Arial" w:hAnsi="Arial" w:cs="Arial"/>
          <w:sz w:val="24"/>
          <w:szCs w:val="24"/>
        </w:rPr>
      </w:pPr>
    </w:p>
    <w:p w:rsidR="00AB2E0A" w:rsidRDefault="00AB2E0A" w:rsidP="00722DF4">
      <w:pPr>
        <w:spacing w:after="0"/>
        <w:jc w:val="both"/>
        <w:rPr>
          <w:rFonts w:ascii="Arial" w:hAnsi="Arial" w:cs="Arial"/>
          <w:sz w:val="24"/>
          <w:szCs w:val="24"/>
        </w:rPr>
      </w:pPr>
      <w:r w:rsidRPr="00722DF4">
        <w:rPr>
          <w:rFonts w:ascii="Arial" w:hAnsi="Arial" w:cs="Arial"/>
          <w:sz w:val="24"/>
          <w:szCs w:val="24"/>
        </w:rPr>
        <w:t xml:space="preserve">Sistematsko ispitivanje kvantitativnih i kvalitativnih karakteristika površinskih i podzemnih voda u Crnoj Gori vrši Zavod za hidrometeorologiju i seizmologiju Crne Gore u okviru svoje osnovne djelatnosti i nadležnosti koja je odre]ena Zakonom o vodama ("Sl. list RCG", 27/2007 i "Sl. list CG", 32/2011, 47/2011, 48/2015, 52/2016, 2/2017, 55/2016 i 80/2017). Cilj ovih ispitivanja je sistematsko praćenje ekološkog statusa voda, s obzirom na njihov ekološki značaj i upotrebnu vrijednost sa zdravstvenog, energetsko-industrijskog, poljoprivrednog i turističkog aspekta. </w:t>
      </w:r>
    </w:p>
    <w:p w:rsidR="00EF2394" w:rsidRPr="00722DF4" w:rsidRDefault="00EF2394" w:rsidP="00722DF4">
      <w:pPr>
        <w:spacing w:after="0"/>
        <w:jc w:val="both"/>
        <w:rPr>
          <w:rFonts w:ascii="Arial" w:hAnsi="Arial" w:cs="Arial"/>
          <w:sz w:val="24"/>
          <w:szCs w:val="24"/>
        </w:rPr>
      </w:pPr>
    </w:p>
    <w:p w:rsidR="00AB2E0A" w:rsidRDefault="00AB2E0A" w:rsidP="00722DF4">
      <w:pPr>
        <w:spacing w:after="0"/>
        <w:jc w:val="both"/>
        <w:rPr>
          <w:rFonts w:ascii="Arial" w:hAnsi="Arial" w:cs="Arial"/>
          <w:sz w:val="24"/>
          <w:szCs w:val="24"/>
        </w:rPr>
      </w:pPr>
      <w:r w:rsidRPr="00722DF4">
        <w:rPr>
          <w:rFonts w:ascii="Arial" w:hAnsi="Arial" w:cs="Arial"/>
          <w:sz w:val="24"/>
          <w:szCs w:val="24"/>
        </w:rPr>
        <w:t>Izvještaj o kvalitetu voda koristi se za izradu Izvještaja o stanju životne sredine u Crnoj Gori, koji donosi Ministarstvo održivog razvoja i turizma, odnosno Vlada Crne Gore, zatim u pripremi izvještaja za Evropsku agenciju za zaštitu sredine, EIONET - (Evropska mreža za informisanje i posmatranje), koji je u nadležnosti Agencije za zaštitu životne sredine.</w:t>
      </w:r>
    </w:p>
    <w:p w:rsidR="00EF2394" w:rsidRPr="00722DF4" w:rsidRDefault="00EF2394" w:rsidP="00722DF4">
      <w:pPr>
        <w:spacing w:after="0"/>
        <w:jc w:val="both"/>
        <w:rPr>
          <w:rFonts w:ascii="Arial" w:hAnsi="Arial" w:cs="Arial"/>
          <w:sz w:val="24"/>
          <w:szCs w:val="24"/>
        </w:rPr>
      </w:pPr>
    </w:p>
    <w:p w:rsidR="00AB2E0A" w:rsidRDefault="00AB2E0A" w:rsidP="00722DF4">
      <w:pPr>
        <w:spacing w:after="0"/>
        <w:jc w:val="both"/>
        <w:rPr>
          <w:rFonts w:ascii="Arial" w:hAnsi="Arial" w:cs="Arial"/>
          <w:sz w:val="24"/>
          <w:szCs w:val="24"/>
        </w:rPr>
      </w:pPr>
      <w:r w:rsidRPr="00722DF4">
        <w:rPr>
          <w:rFonts w:ascii="Arial" w:hAnsi="Arial" w:cs="Arial"/>
          <w:sz w:val="24"/>
          <w:szCs w:val="24"/>
        </w:rPr>
        <w:t xml:space="preserve">Sistematsko ispitivanje kvaliteta voda, koje realizuje Odsjek za kvalitet voda Zavoda za hidrometeorologiju i seizmologiju, zasniva se na Programu ispitivanja kvantitativnih i kvalitativnih karakteristika voda u Crnoj Gori, koji donosi nadležno Ministarstvo. Podaci dati u nastavku su dobijeni realizacijom programa kojim su obuhvaćeni svi značajni </w:t>
      </w:r>
      <w:r w:rsidRPr="00722DF4">
        <w:rPr>
          <w:rFonts w:ascii="Arial" w:hAnsi="Arial" w:cs="Arial"/>
          <w:sz w:val="24"/>
          <w:szCs w:val="24"/>
        </w:rPr>
        <w:lastRenderedPageBreak/>
        <w:t>vodotoci, prirodna jezera i obalno more Crne Gore, kao i podzemne vode i (prve) izdani Zetske ravnice. Neka od obuhvaćenih vodnih tijela pripadaju području nacionalnih parkova.</w:t>
      </w:r>
    </w:p>
    <w:p w:rsidR="00EF2394" w:rsidRPr="00722DF4" w:rsidRDefault="00EF2394" w:rsidP="00722DF4">
      <w:pPr>
        <w:spacing w:after="0"/>
        <w:jc w:val="both"/>
        <w:rPr>
          <w:rFonts w:ascii="Arial" w:hAnsi="Arial" w:cs="Arial"/>
          <w:sz w:val="24"/>
          <w:szCs w:val="24"/>
        </w:rPr>
      </w:pPr>
    </w:p>
    <w:p w:rsidR="003E2DD1" w:rsidRDefault="003E2DD1" w:rsidP="00722DF4">
      <w:pPr>
        <w:spacing w:after="0"/>
        <w:jc w:val="both"/>
        <w:rPr>
          <w:rFonts w:ascii="Arial" w:hAnsi="Arial" w:cs="Arial"/>
          <w:sz w:val="24"/>
          <w:szCs w:val="24"/>
        </w:rPr>
      </w:pPr>
      <w:r w:rsidRPr="00722DF4">
        <w:rPr>
          <w:rFonts w:ascii="Arial" w:hAnsi="Arial" w:cs="Arial"/>
          <w:sz w:val="24"/>
          <w:szCs w:val="24"/>
        </w:rPr>
        <w:t xml:space="preserve">Ispitivanja kvalitativnih osobina voda imaju za cilj utvrđivanje klase boniteta površinskih voda, njihovu kategorizaciju i ocjenu kvaliteta u odnosu na propisani nivo kvaliteta, koji je određen Uredbom o kategorizaciji voda u Crnoj Gori (Sl.l.RCG br.2/07). Ocjena kvaliteta vode utvrđuje se na osnovu klase kvaliteta vode. Klasa kvaliteta određuje se na osnovu mjerodavnih fizičko-hemijskih, mikrobioloških i saprobioloških parametara, određenih u skladu sa metodologijom propisanom navedenom Uredbom, kao i neophodnih hidrodinamičkih i meteoroloških parametara, obezbijeđenih u drugim stručnim službama Zavoda. Podaci o mjerenjima se u obliku Godišnjeg izvještaja dostavljaju primarnim korisnicima: nadležnom Ministarstvu poljoprivrede i ruralnog razvoja, Upravi za vode i Agenciji za zaštitu životne sredine. </w:t>
      </w:r>
    </w:p>
    <w:p w:rsidR="00EF2394" w:rsidRPr="00722DF4" w:rsidRDefault="00EF2394" w:rsidP="00722DF4">
      <w:pPr>
        <w:spacing w:after="0"/>
        <w:jc w:val="both"/>
        <w:rPr>
          <w:rFonts w:ascii="Arial" w:hAnsi="Arial" w:cs="Arial"/>
          <w:sz w:val="24"/>
          <w:szCs w:val="24"/>
        </w:rPr>
      </w:pPr>
    </w:p>
    <w:p w:rsidR="00AC678B" w:rsidRDefault="003E2DD1" w:rsidP="00722DF4">
      <w:pPr>
        <w:spacing w:after="0"/>
        <w:jc w:val="both"/>
        <w:rPr>
          <w:rFonts w:ascii="Arial" w:hAnsi="Arial" w:cs="Arial"/>
          <w:sz w:val="24"/>
          <w:szCs w:val="24"/>
        </w:rPr>
      </w:pPr>
      <w:r w:rsidRPr="00722DF4">
        <w:rPr>
          <w:rFonts w:ascii="Arial" w:hAnsi="Arial" w:cs="Arial"/>
          <w:sz w:val="24"/>
          <w:szCs w:val="24"/>
        </w:rPr>
        <w:t>Mreža stanica za ispitivanje kvaliteta površinskih voda u 2017.g. obuhvatila je 13 vodotoka sa 36 mjernih mjesta, 3 prirodna jezera sa 11 mjernih mjesta i o</w:t>
      </w:r>
      <w:r w:rsidR="009C6995" w:rsidRPr="00722DF4">
        <w:rPr>
          <w:rFonts w:ascii="Arial" w:hAnsi="Arial" w:cs="Arial"/>
          <w:sz w:val="24"/>
          <w:szCs w:val="24"/>
        </w:rPr>
        <w:t xml:space="preserve">balno more sa 16 mjernih mjesta. </w:t>
      </w:r>
      <w:r w:rsidRPr="00722DF4">
        <w:rPr>
          <w:rFonts w:ascii="Arial" w:hAnsi="Arial" w:cs="Arial"/>
          <w:sz w:val="24"/>
          <w:szCs w:val="24"/>
        </w:rPr>
        <w:t xml:space="preserve">Na Skadarskom jezeru je funkcionisala automatska stanica Vranjina (AS Vranjina), na Tankom rtu, kod mosta na Vranjini. </w:t>
      </w:r>
    </w:p>
    <w:p w:rsidR="00EF2394" w:rsidRPr="00722DF4" w:rsidRDefault="00EF2394" w:rsidP="00722DF4">
      <w:pPr>
        <w:spacing w:after="0"/>
        <w:jc w:val="both"/>
        <w:rPr>
          <w:rFonts w:ascii="Arial" w:hAnsi="Arial" w:cs="Arial"/>
          <w:sz w:val="24"/>
          <w:szCs w:val="24"/>
        </w:rPr>
      </w:pPr>
    </w:p>
    <w:p w:rsidR="003E2DD1" w:rsidRPr="00722DF4" w:rsidRDefault="003E2DD1" w:rsidP="00722DF4">
      <w:pPr>
        <w:spacing w:after="0"/>
        <w:jc w:val="both"/>
        <w:rPr>
          <w:rFonts w:ascii="Arial" w:hAnsi="Arial" w:cs="Arial"/>
          <w:sz w:val="24"/>
          <w:szCs w:val="24"/>
        </w:rPr>
      </w:pPr>
      <w:r w:rsidRPr="00722DF4">
        <w:rPr>
          <w:rFonts w:ascii="Arial" w:hAnsi="Arial" w:cs="Arial"/>
          <w:sz w:val="24"/>
          <w:szCs w:val="24"/>
        </w:rPr>
        <w:t xml:space="preserve">Mrežom stanica </w:t>
      </w:r>
      <w:r w:rsidR="00AC678B" w:rsidRPr="00722DF4">
        <w:rPr>
          <w:rFonts w:ascii="Arial" w:hAnsi="Arial" w:cs="Arial"/>
          <w:sz w:val="24"/>
          <w:szCs w:val="24"/>
        </w:rPr>
        <w:t xml:space="preserve">za ispitivanje kvaliteta podzemnih vodabile su obuhvaćene </w:t>
      </w:r>
      <w:r w:rsidRPr="00722DF4">
        <w:rPr>
          <w:rFonts w:ascii="Arial" w:hAnsi="Arial" w:cs="Arial"/>
          <w:sz w:val="24"/>
          <w:szCs w:val="24"/>
        </w:rPr>
        <w:t>izdani Zetske ravnice. Mrežu čini 9 mjernih profila, koji pokrivaju prostor Zetske ravnice. Uzorkovanje se vrši na privatnim bunarima koji nijesu pijezometarske bušotine.</w:t>
      </w:r>
    </w:p>
    <w:p w:rsidR="00982C4E" w:rsidRPr="00722DF4" w:rsidRDefault="00982C4E" w:rsidP="00722DF4">
      <w:pPr>
        <w:pStyle w:val="Heading3"/>
        <w:numPr>
          <w:ilvl w:val="0"/>
          <w:numId w:val="0"/>
        </w:numPr>
        <w:spacing w:before="0"/>
        <w:jc w:val="both"/>
        <w:rPr>
          <w:rFonts w:cs="Arial"/>
          <w:szCs w:val="24"/>
        </w:rPr>
      </w:pPr>
    </w:p>
    <w:p w:rsidR="00982C4E" w:rsidRPr="00722DF4" w:rsidRDefault="001210F4" w:rsidP="00722DF4">
      <w:pPr>
        <w:pStyle w:val="Heading3"/>
        <w:numPr>
          <w:ilvl w:val="0"/>
          <w:numId w:val="0"/>
        </w:numPr>
        <w:spacing w:before="0"/>
        <w:jc w:val="both"/>
        <w:rPr>
          <w:rFonts w:cs="Arial"/>
          <w:szCs w:val="24"/>
        </w:rPr>
      </w:pPr>
      <w:r>
        <w:rPr>
          <w:rFonts w:cs="Arial"/>
          <w:noProof/>
          <w:szCs w:val="24"/>
        </w:rPr>
        <w:drawing>
          <wp:inline distT="0" distB="0" distL="0" distR="0">
            <wp:extent cx="5943600" cy="6107430"/>
            <wp:effectExtent l="1905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5943600" cy="6107430"/>
                    </a:xfrm>
                    <a:prstGeom prst="rect">
                      <a:avLst/>
                    </a:prstGeom>
                    <a:noFill/>
                    <a:ln w="9525">
                      <a:noFill/>
                      <a:miter lim="800000"/>
                      <a:headEnd/>
                      <a:tailEnd/>
                    </a:ln>
                  </pic:spPr>
                </pic:pic>
              </a:graphicData>
            </a:graphic>
          </wp:inline>
        </w:drawing>
      </w:r>
    </w:p>
    <w:p w:rsidR="00982C4E" w:rsidRPr="00B61137" w:rsidRDefault="00714710" w:rsidP="00B6390F">
      <w:pPr>
        <w:pStyle w:val="Normal1"/>
        <w:rPr>
          <w:sz w:val="22"/>
          <w:szCs w:val="22"/>
        </w:rPr>
      </w:pPr>
      <w:r w:rsidRPr="00B61137">
        <w:rPr>
          <w:b/>
          <w:sz w:val="22"/>
          <w:szCs w:val="22"/>
        </w:rPr>
        <w:t>Slika 2.23</w:t>
      </w:r>
      <w:r w:rsidR="00982C4E" w:rsidRPr="00B61137">
        <w:rPr>
          <w:b/>
          <w:sz w:val="22"/>
          <w:szCs w:val="22"/>
        </w:rPr>
        <w:t>.</w:t>
      </w:r>
      <w:r w:rsidR="00982C4E" w:rsidRPr="00B61137">
        <w:rPr>
          <w:sz w:val="22"/>
          <w:szCs w:val="22"/>
        </w:rPr>
        <w:t xml:space="preserve"> Mreža stanica za kvalitet površinskih i podzemnih voda u Crnoj Gori</w:t>
      </w:r>
    </w:p>
    <w:p w:rsidR="00982C4E" w:rsidRPr="00B6390F" w:rsidRDefault="00982C4E" w:rsidP="00B6390F">
      <w:pPr>
        <w:pStyle w:val="Normal1"/>
        <w:rPr>
          <w:szCs w:val="24"/>
        </w:rPr>
      </w:pPr>
    </w:p>
    <w:p w:rsidR="00982C4E" w:rsidRPr="00722DF4" w:rsidRDefault="00982C4E" w:rsidP="00722DF4">
      <w:pPr>
        <w:pStyle w:val="Heading3"/>
        <w:numPr>
          <w:ilvl w:val="0"/>
          <w:numId w:val="0"/>
        </w:numPr>
        <w:spacing w:before="0"/>
        <w:jc w:val="both"/>
        <w:rPr>
          <w:rFonts w:cs="Arial"/>
          <w:szCs w:val="24"/>
        </w:rPr>
      </w:pPr>
    </w:p>
    <w:p w:rsidR="00472AF7" w:rsidRDefault="00D04002" w:rsidP="00B6390F">
      <w:pPr>
        <w:pStyle w:val="Normal1"/>
        <w:rPr>
          <w:rFonts w:eastAsia="Calibri"/>
        </w:rPr>
      </w:pPr>
      <w:r w:rsidRPr="00722DF4">
        <w:rPr>
          <w:rFonts w:eastAsia="Calibri"/>
        </w:rPr>
        <w:t>Klasifikacija voda izvršena je po važećoj Uredbi o kategorizaciji voda. Utvrđene klas</w:t>
      </w:r>
      <w:r w:rsidR="00C60F3E" w:rsidRPr="00722DF4">
        <w:rPr>
          <w:rFonts w:eastAsia="Calibri"/>
        </w:rPr>
        <w:t xml:space="preserve">e kvaliteta vode su prikazane na Slikama </w:t>
      </w:r>
      <w:r w:rsidR="007E2257" w:rsidRPr="00722DF4">
        <w:rPr>
          <w:rFonts w:eastAsia="Calibri"/>
        </w:rPr>
        <w:t>2.26</w:t>
      </w:r>
      <w:r w:rsidR="00E43DD1" w:rsidRPr="00722DF4">
        <w:rPr>
          <w:rFonts w:eastAsia="Calibri"/>
        </w:rPr>
        <w:t>. do 2.2</w:t>
      </w:r>
      <w:r w:rsidR="007E2257" w:rsidRPr="00722DF4">
        <w:rPr>
          <w:rFonts w:eastAsia="Calibri"/>
        </w:rPr>
        <w:t>8</w:t>
      </w:r>
      <w:r w:rsidR="00C60F3E" w:rsidRPr="00722DF4">
        <w:rPr>
          <w:rFonts w:eastAsia="Calibri"/>
        </w:rPr>
        <w:t xml:space="preserve">. </w:t>
      </w:r>
      <w:r w:rsidRPr="00722DF4">
        <w:rPr>
          <w:rFonts w:eastAsia="Calibri"/>
        </w:rPr>
        <w:t>Kvalitet voda Skadarskog jezera, na AS Vranjina, preko min, max, srednjih vrijednosti parametara i klas</w:t>
      </w:r>
      <w:r w:rsidR="007E2257" w:rsidRPr="00722DF4">
        <w:rPr>
          <w:rFonts w:eastAsia="Calibri"/>
        </w:rPr>
        <w:t>a 95 - percentila prikazan je na Slikama 2.29 - 2.31.</w:t>
      </w:r>
    </w:p>
    <w:p w:rsidR="00744115" w:rsidRPr="00722DF4" w:rsidRDefault="00744115" w:rsidP="00B6390F">
      <w:pPr>
        <w:pStyle w:val="Normal1"/>
        <w:rPr>
          <w:rFonts w:eastAsia="Calibri"/>
        </w:rPr>
      </w:pPr>
    </w:p>
    <w:p w:rsidR="00D04002" w:rsidRDefault="00D04002" w:rsidP="00B6390F">
      <w:pPr>
        <w:pStyle w:val="Normal1"/>
        <w:spacing w:line="276" w:lineRule="auto"/>
        <w:rPr>
          <w:rFonts w:eastAsia="Calibri"/>
          <w:lang w:val="sr-Latn-CS"/>
        </w:rPr>
      </w:pPr>
      <w:r w:rsidRPr="00722DF4">
        <w:rPr>
          <w:rFonts w:eastAsia="Calibri"/>
        </w:rPr>
        <w:lastRenderedPageBreak/>
        <w:t xml:space="preserve">Analiza stanja vode pojedinačnih vodnih tijela, prema mjerodavnim vrijednostima pojedinih parametara, slijedi u nstavku. Najveći izvori zagađenja površinskih i podzemnih voda su komunalne otpadne vode, koje se uglavnom u neprečišćenom ili djelimično prečišćenom obliku ispuštaju u vode, na koncentrovan ili difuzan način. Postoji i uticaj, poljoprivrednih aktivnosti, industrije, prehrambene prije svega, kao i malih i srednjih preduzeća, kao i uticaj saobraćaja i građevnskih radova (izgrada puteva...) Na sezonski, ali i duži period (vremenski trend) na promjenu prirodnog sastava voda vodotoka ukazuju poremećaji prirodnog jonskog odnosa Ca/Mg, koji je bio na dosta mjernih mjestima van propisanih klasa. Kod ove grupe vodnih tijela bile su povećane vrijednosti sadržaja: nitrita, TOC-a, fosfata i amonijum jona. Često su bile pomjerene vrijednosti deterdženata, fekalnih bakterija, temperature i fenola. Najbolje održavanje ravnoteže, odnosno ne izlaženje iz svoje klase ili neznatni poremećaj, imali su parametri: elekrična provodljivost, nitrati, hloridi, zatim pH vrijednost, mutnoća, sulfati, saturacija kiseonikom i koliformne bakterije. </w:t>
      </w:r>
    </w:p>
    <w:p w:rsidR="00B6390F" w:rsidRDefault="00B6390F" w:rsidP="00B6390F">
      <w:pPr>
        <w:pStyle w:val="Normal1"/>
        <w:spacing w:line="276" w:lineRule="auto"/>
        <w:rPr>
          <w:rFonts w:eastAsia="Calibri"/>
          <w:lang w:val="sr-Latn-CS"/>
        </w:rPr>
      </w:pPr>
    </w:p>
    <w:p w:rsidR="00EF2394" w:rsidRDefault="00D04002" w:rsidP="00B6390F">
      <w:pPr>
        <w:pStyle w:val="Normal1"/>
        <w:spacing w:line="276" w:lineRule="auto"/>
        <w:rPr>
          <w:rFonts w:eastAsia="Calibri"/>
          <w:lang w:val="sr-Latn-CS"/>
        </w:rPr>
      </w:pPr>
      <w:r w:rsidRPr="00722DF4">
        <w:rPr>
          <w:rFonts w:eastAsia="Calibri"/>
        </w:rPr>
        <w:t xml:space="preserve">Kod jezera, pomjereni su van propisane klase najviše sadržaji TOC-a, gotovo na svim mjernim mjestima, a povećane vrijednosti sadržaja imali su parametri: amonijum jon, jonski odnosi Ca/Mg, nitriti i fenoli. Temperature vode su bile znatno visoke, što je uslovljavalo veliku pojavu biljnog svijeta i saturaciju kiseonikom posebno u plićim djelovima. Mikrobiološki pokazatelji pokazali su zadovoljavajuće stanje i sa ovog aspekta vode jezera su bile u dobrom stanje. </w:t>
      </w:r>
    </w:p>
    <w:p w:rsidR="00B6390F" w:rsidRPr="00B6390F" w:rsidRDefault="00B6390F" w:rsidP="00B6390F">
      <w:pPr>
        <w:pStyle w:val="Normal1"/>
        <w:spacing w:line="276" w:lineRule="auto"/>
        <w:rPr>
          <w:rFonts w:eastAsia="Calibri"/>
          <w:lang w:val="sr-Latn-CS"/>
        </w:rPr>
      </w:pPr>
    </w:p>
    <w:p w:rsidR="00EF2394" w:rsidRDefault="00D04002" w:rsidP="00B6390F">
      <w:pPr>
        <w:pStyle w:val="Normal1"/>
        <w:spacing w:line="276" w:lineRule="auto"/>
        <w:rPr>
          <w:rFonts w:eastAsia="Calibri"/>
          <w:lang w:val="sr-Latn-CS"/>
        </w:rPr>
      </w:pPr>
      <w:r w:rsidRPr="00722DF4">
        <w:rPr>
          <w:rFonts w:eastAsia="Calibri"/>
        </w:rPr>
        <w:t xml:space="preserve">U priobalnom dijelu morske vode isticao se povećan sadržaj suspendovanih materija, uslovljen salinitetom, povišene temperature, više na otvorenom djelu moru, povećan sadržaj fosfata i deterdženata, a mikrobiološka opterećanja su postojala, po sadržaju fekalnih bakterija više takođe na otvorenom dijelu mora. </w:t>
      </w:r>
    </w:p>
    <w:p w:rsidR="00B6390F" w:rsidRPr="00B6390F" w:rsidRDefault="00B6390F" w:rsidP="00B6390F">
      <w:pPr>
        <w:pStyle w:val="Normal1"/>
        <w:spacing w:line="276" w:lineRule="auto"/>
        <w:rPr>
          <w:rFonts w:eastAsia="Calibri"/>
          <w:lang w:val="sr-Latn-CS"/>
        </w:rPr>
      </w:pPr>
    </w:p>
    <w:p w:rsidR="00982C4E" w:rsidRPr="00722DF4" w:rsidRDefault="00D04002" w:rsidP="00B6390F">
      <w:pPr>
        <w:pStyle w:val="Normal1"/>
        <w:spacing w:line="276" w:lineRule="auto"/>
        <w:rPr>
          <w:rFonts w:eastAsia="Calibri"/>
        </w:rPr>
      </w:pPr>
      <w:r w:rsidRPr="00722DF4">
        <w:rPr>
          <w:rFonts w:eastAsia="Calibri"/>
        </w:rPr>
        <w:t>Podzemni bunari, posebno u donjem dijelu Zetske ravnice i sa desne strane Morače, imaju zagađenja od poljoprivrednih aktivnosti, što se pokazalo kroz sadržaj fosfata, nitrata i kalijuma, a i od blizine septičkih jama, pokazano kroz sadržaj nitrita, amonijaka, TOC-a, deterdženata i fekalnih bakterija. Vode jezera pokazale su najbolji kvalitet (73,6% klasa u zahtijevanom bonitetu A1SK1 ili A2CK2), zatim vode mora (61,9% A1SK1 ili A2CK2)), pa vode rijeka (60,3% A1SK1 ili A2CK2), i kao najosjetljivije i najzahtijevanije - vode podzemnih bunara pokazale su najlošiji kvalitet (35,0% klasa u zahtijevanau A klasu boniteta).</w:t>
      </w:r>
    </w:p>
    <w:p w:rsidR="00D710A2" w:rsidRDefault="00D710A2" w:rsidP="00B6390F">
      <w:pPr>
        <w:pStyle w:val="Normal1"/>
      </w:pPr>
    </w:p>
    <w:p w:rsidR="00744115" w:rsidRDefault="00744115" w:rsidP="00B6390F">
      <w:pPr>
        <w:pStyle w:val="Normal1"/>
      </w:pPr>
    </w:p>
    <w:p w:rsidR="00744115" w:rsidRDefault="00744115" w:rsidP="00B6390F">
      <w:pPr>
        <w:pStyle w:val="Normal1"/>
      </w:pPr>
    </w:p>
    <w:p w:rsidR="00744115" w:rsidRPr="00722DF4" w:rsidRDefault="00744115" w:rsidP="00B6390F">
      <w:pPr>
        <w:pStyle w:val="Normal1"/>
      </w:pPr>
    </w:p>
    <w:p w:rsidR="3B4348E7" w:rsidRPr="00722DF4" w:rsidRDefault="00F33D64" w:rsidP="00722DF4">
      <w:pPr>
        <w:pStyle w:val="Heading4"/>
        <w:numPr>
          <w:ilvl w:val="0"/>
          <w:numId w:val="0"/>
        </w:numPr>
        <w:spacing w:before="0"/>
        <w:jc w:val="both"/>
        <w:rPr>
          <w:rFonts w:ascii="Arial" w:hAnsi="Arial" w:cs="Arial"/>
          <w:szCs w:val="24"/>
        </w:rPr>
      </w:pPr>
      <w:r w:rsidRPr="00722DF4">
        <w:rPr>
          <w:rFonts w:ascii="Arial" w:hAnsi="Arial" w:cs="Arial"/>
          <w:szCs w:val="24"/>
        </w:rPr>
        <w:lastRenderedPageBreak/>
        <w:t>2.5.2</w:t>
      </w:r>
      <w:r w:rsidR="00D710A2" w:rsidRPr="00722DF4">
        <w:rPr>
          <w:rFonts w:ascii="Arial" w:hAnsi="Arial" w:cs="Arial"/>
          <w:szCs w:val="24"/>
        </w:rPr>
        <w:t>.1</w:t>
      </w:r>
      <w:r w:rsidR="3B4348E7" w:rsidRPr="00722DF4">
        <w:rPr>
          <w:rFonts w:ascii="Arial" w:hAnsi="Arial" w:cs="Arial"/>
          <w:szCs w:val="24"/>
        </w:rPr>
        <w:t xml:space="preserve"> </w:t>
      </w:r>
      <w:r w:rsidR="00F374E6" w:rsidRPr="00722DF4">
        <w:rPr>
          <w:rFonts w:ascii="Arial" w:hAnsi="Arial" w:cs="Arial"/>
          <w:szCs w:val="24"/>
        </w:rPr>
        <w:t>Kvalitet povšinskih voda</w:t>
      </w:r>
    </w:p>
    <w:p w:rsidR="00472AF7" w:rsidRPr="00722DF4" w:rsidRDefault="00472AF7" w:rsidP="00722DF4">
      <w:pPr>
        <w:spacing w:after="0"/>
        <w:jc w:val="both"/>
        <w:rPr>
          <w:rFonts w:ascii="Arial" w:hAnsi="Arial" w:cs="Arial"/>
          <w:sz w:val="24"/>
          <w:szCs w:val="24"/>
        </w:rPr>
      </w:pPr>
    </w:p>
    <w:p w:rsidR="008F6F86" w:rsidRDefault="008F6F86" w:rsidP="00722DF4">
      <w:pPr>
        <w:spacing w:after="0"/>
        <w:jc w:val="both"/>
        <w:rPr>
          <w:rFonts w:ascii="Arial" w:hAnsi="Arial" w:cs="Arial"/>
          <w:sz w:val="24"/>
          <w:szCs w:val="24"/>
        </w:rPr>
      </w:pPr>
      <w:r w:rsidRPr="00722DF4">
        <w:rPr>
          <w:rFonts w:ascii="Arial" w:hAnsi="Arial" w:cs="Arial"/>
          <w:sz w:val="24"/>
          <w:szCs w:val="24"/>
        </w:rPr>
        <w:t>Sa aspekta ispitivanja fizičko-hemijiskih i mikr</w:t>
      </w:r>
      <w:r w:rsidR="00AB2E0A" w:rsidRPr="00722DF4">
        <w:rPr>
          <w:rFonts w:ascii="Arial" w:hAnsi="Arial" w:cs="Arial"/>
          <w:sz w:val="24"/>
          <w:szCs w:val="24"/>
        </w:rPr>
        <w:t>obioloških karakteristika vodoto</w:t>
      </w:r>
      <w:r w:rsidRPr="00722DF4">
        <w:rPr>
          <w:rFonts w:ascii="Arial" w:hAnsi="Arial" w:cs="Arial"/>
          <w:sz w:val="24"/>
          <w:szCs w:val="24"/>
        </w:rPr>
        <w:t xml:space="preserve">ka tokom 2017 god., najzagađeniji vodotoci, ustvari djelovi njihovih tokova su bili , bili su kao i predhodnih godina, Vezišnica, Ibar u dijelu ispod Rožaja, Ćehotina na dijelu ispod Pljevalja do Graca i Morača ispod uliva voda gradskog kolektora pa nizvodno. Nešto manju zagađenost imale su vode srednjeg (Skakavac) i donjeg tok Lima (Bijelo Polje - Dobrakovo), vode Rijeke Crnojevića, Grnčar na području Gusinja, Zeta na Duklovom mostu, bolji kvalitet, ali ne i veoma dobar imali su Kutska rijeka (Zlorečica), Cijevna na Trgaju i Tara na potezu Mateševo - ispod Mojkovca, dobar Bojana i Zeta u donjem toku, Morača u gornjem dijelu, a najbolji kvalitet vode imala je rijeka Piva. Od mjesta na vodotocima najveće udare zagađenja pokazali su mjerne tačke: na Ćehotini - ispod ušća Vezišnice, ispod grada Pljevalja i Gradac; na Morači - ispod uliva voda gradskog kolektora, Vukovci i Grbavci, na Ibru - Bać; na Vezišnici - mjerno mjesto iznad ušća u Ćehotinu, na Limu - Skakavac i Dobrakovo i na Zeti Duklov most. Sva ova mjerna mjesta imala su iznad 15% određenih klasa stanje van svih klasa (VK). </w:t>
      </w:r>
    </w:p>
    <w:p w:rsidR="00EF2394" w:rsidRPr="00722DF4" w:rsidRDefault="00EF2394" w:rsidP="00722DF4">
      <w:pPr>
        <w:spacing w:after="0"/>
        <w:jc w:val="both"/>
        <w:rPr>
          <w:rFonts w:ascii="Arial" w:hAnsi="Arial" w:cs="Arial"/>
          <w:sz w:val="24"/>
          <w:szCs w:val="24"/>
        </w:rPr>
      </w:pPr>
    </w:p>
    <w:p w:rsidR="008F6F86" w:rsidRDefault="008F6F86" w:rsidP="00722DF4">
      <w:pPr>
        <w:spacing w:after="0"/>
        <w:jc w:val="both"/>
        <w:rPr>
          <w:rFonts w:ascii="Arial" w:hAnsi="Arial" w:cs="Arial"/>
          <w:sz w:val="24"/>
          <w:szCs w:val="24"/>
        </w:rPr>
      </w:pPr>
      <w:r w:rsidRPr="00722DF4">
        <w:rPr>
          <w:rFonts w:ascii="Arial" w:hAnsi="Arial" w:cs="Arial"/>
          <w:sz w:val="24"/>
          <w:szCs w:val="24"/>
        </w:rPr>
        <w:t xml:space="preserve">Rezultati mjerenja pokazuju veliku osjetljivost ovih vodenih sistema, prije svega u režimu malovodnosti, a i posle velikih kiša. Stanje kvaliteta voda za sve vodotoke, u 2017. godini bilo je lošije i znatno loše u odnosu na 2016. godinu, što se može pripisati količini ulivnih otpadnih voda i meteorološkim uslovima - prema raspodjeli percentila temperatura vazduha se kreće u kategoriji vrlo toplo i ekstremno toplo; količina padavina se prema raspodjeli percentila kreće u kategorijama vrlo sušno, sušno i normalno. </w:t>
      </w:r>
    </w:p>
    <w:p w:rsidR="00EF2394" w:rsidRPr="00722DF4" w:rsidRDefault="00EF2394" w:rsidP="00722DF4">
      <w:pPr>
        <w:spacing w:after="0"/>
        <w:jc w:val="both"/>
        <w:rPr>
          <w:rFonts w:ascii="Arial" w:hAnsi="Arial" w:cs="Arial"/>
          <w:sz w:val="24"/>
          <w:szCs w:val="24"/>
        </w:rPr>
      </w:pPr>
    </w:p>
    <w:p w:rsidR="00476467" w:rsidRDefault="008F6F86" w:rsidP="00722DF4">
      <w:pPr>
        <w:spacing w:after="0"/>
        <w:jc w:val="both"/>
        <w:rPr>
          <w:rFonts w:ascii="Arial" w:hAnsi="Arial" w:cs="Arial"/>
          <w:sz w:val="24"/>
          <w:szCs w:val="24"/>
        </w:rPr>
      </w:pPr>
      <w:r w:rsidRPr="00722DF4">
        <w:rPr>
          <w:rFonts w:ascii="Arial" w:hAnsi="Arial" w:cs="Arial"/>
          <w:b/>
          <w:sz w:val="24"/>
          <w:szCs w:val="24"/>
          <w:u w:val="single"/>
        </w:rPr>
        <w:t>Morača</w:t>
      </w:r>
      <w:r w:rsidR="00F33D64" w:rsidRPr="00722DF4">
        <w:rPr>
          <w:rFonts w:ascii="Arial" w:hAnsi="Arial" w:cs="Arial"/>
          <w:b/>
          <w:sz w:val="24"/>
          <w:szCs w:val="24"/>
          <w:u w:val="single"/>
        </w:rPr>
        <w:t xml:space="preserve"> </w:t>
      </w:r>
      <w:r w:rsidRPr="00722DF4">
        <w:rPr>
          <w:rFonts w:ascii="Arial" w:hAnsi="Arial" w:cs="Arial"/>
          <w:sz w:val="24"/>
          <w:szCs w:val="24"/>
        </w:rPr>
        <w:t xml:space="preserve">se uzorkuje na 6 mjesta i prema klasifikaciji njene vode treba da pripadaju A1SK1 klasi uzvodno od Duklje - gornji tok (Pernica i Zlatica) i A2CK2 klasi nizvodno od Duklje do ušća u Skadarsko jezero (gradska plaža Momišići, ispod uliva voda Gradskog kolektora - srednji tok i Grbavci i Vukovci - donji tok). U gornjem toku rijeke Morače kvalitet vode izlazi iz zahtijevanog boniteta po nekim pokazateljima: van svoje klase, odnosno u A2 ili A3 klasu, na oba mjerna mjesta, od fizičko hemijskih parametara bili su: temperatura (A2-A2), amonijum jon (A3C-A3C), fosfati (A2-A3), nitriti (A3C-C),TOC (A2-A3) i deterdženti (A3-A3); a samo na mjernom mjestu Pernica izašao je jonski odnos Ca/Mg u A3 klasu, a na Zlatici je izišao mikrobiološki kvalitet - odnosno broj fekalnih bakterija u A2 klasu, a jonski odnos Ca/Mg je bio van svih klasa (VK). Od određenih klasa, propisanoj A1 klasi je pripadalo 71,9% na Pernici, a 68,8% na Zlatici i 3,1% klasa bilo je van svih klasa - VK. Mikrobiološki kvalitet je bio na Pernici u zahtijevanoj A1 klasi, a na Zlatici imao je pomjeranje u A2 klasu. Na prostoru grada, vode gradske plaže Momišići pokazale su bolji kvalitet od svih mjernih mjesta na Morači, što je uticaj dotočnih voda Zete, koje imaju bolji kvalitet voda i veći vodostaj u odnosu na samu Moraču. Od određenih klasa ovog </w:t>
      </w:r>
      <w:r w:rsidRPr="00722DF4">
        <w:rPr>
          <w:rFonts w:ascii="Arial" w:hAnsi="Arial" w:cs="Arial"/>
          <w:sz w:val="24"/>
          <w:szCs w:val="24"/>
        </w:rPr>
        <w:lastRenderedPageBreak/>
        <w:t>mjernog mjesta 78,1% bilo je u svojoj klasi, a nijedan slučaj nije bio VK. Ispod Gradskog kolektora, što je i očekivano, najlošije je stanje kvaliteta vode Morače. U svojoj klasi je bilo 50,0% klasa, dok VK bilo 40,6% klasa i to sadržaji: jonski odnos Ca/Mg, BPK5, amonijum jon, fosfati, nitriti, TOC i mikrobiološki pokazatelji - broj kolifornih i fekalnih bakterija (klasa voda za kupanje i život riba), dok ostalo 6,2% klasa je bilo u A3 klasu kvaliteta - deterdženti i broj koli i fekalnih bakterija (klasa vode za piće). Nizvodno od udara ovog najvećeg zagađenja, stanje se mijenja, zahvaljujući karakteristikama Morače - hladna voda, brz tok, pješčano dno i količina voda, kao i uticaj meteoroloških uslova. U zahtijevanoj klasi na Grbavcima je bilo 53,1% klasa, a 31,3%VK. Na Vukovcima stanje je bilo znatno bolje u odnosu na Grbavce, 62,4% klasa bilo je u zahtijevanu klasu i 18,8% VK. Smanjenje zagađenja reflektovano je kroz smanjenje sadržaja: fosfata, BPK5, TOC i koiformnih bakterija.</w:t>
      </w:r>
    </w:p>
    <w:p w:rsidR="00EF2394" w:rsidRPr="00722DF4" w:rsidRDefault="00EF2394" w:rsidP="00722DF4">
      <w:pPr>
        <w:spacing w:after="0"/>
        <w:jc w:val="both"/>
        <w:rPr>
          <w:rFonts w:ascii="Arial" w:hAnsi="Arial" w:cs="Arial"/>
          <w:sz w:val="24"/>
          <w:szCs w:val="24"/>
        </w:rPr>
      </w:pPr>
    </w:p>
    <w:p w:rsidR="00476467" w:rsidRDefault="008F6F86" w:rsidP="00722DF4">
      <w:pPr>
        <w:spacing w:after="0"/>
        <w:jc w:val="both"/>
        <w:rPr>
          <w:rFonts w:ascii="Arial" w:hAnsi="Arial" w:cs="Arial"/>
          <w:sz w:val="24"/>
          <w:szCs w:val="24"/>
        </w:rPr>
      </w:pPr>
      <w:r w:rsidRPr="00722DF4">
        <w:rPr>
          <w:rFonts w:ascii="Arial" w:hAnsi="Arial" w:cs="Arial"/>
          <w:b/>
          <w:sz w:val="24"/>
          <w:szCs w:val="24"/>
          <w:u w:val="single"/>
        </w:rPr>
        <w:t xml:space="preserve">Zeta </w:t>
      </w:r>
      <w:r w:rsidRPr="00722DF4">
        <w:rPr>
          <w:rFonts w:ascii="Arial" w:hAnsi="Arial" w:cs="Arial"/>
          <w:sz w:val="24"/>
          <w:szCs w:val="24"/>
        </w:rPr>
        <w:t>se uzorkuje na 4 mjerna mjesta i prema klasifikaciji njene vode treba da pripadaju A1SK1 klasi uzvodno od Brezovika (Vidrovan), a nizvodno od Brezovika do ušća u Moraču A2CK2 klasi (Duklov most, Danilovgrad i Vranjske njive). Vode mjernog profila Vidrovan treba da pripadaju visokom zahtijevanom nivo, a kako ovaj dio Zete prolazi kroz naselje i izložen je antropogenom uticaju, dolazi do narušavanja ovog stanja, posebno pri malom vodostaju. Ove godine bilo je 68,8% klasa u svom zahtijevanom bonitetu, a 3,1% klasa bilo je VK (jonski odnos Ca/Mg). Sadržaji amonijaka, deterdženata i frosfata pripadali su A3 klasi, dok temperatura i sadržaji TOC-a i koli bakterija u A2 klasu. Idući dalje kvalitet vode Zete se mijenja, na mjernom mjestu kod Duklovog mostu 62,4% klasa bilo je u svojoj klasi, a 18,8% VK, po odnosu Ca/Mg i po sadržaju nitrita, TOC-a i broju koli i fekalnih bakterija (klasa Š). Ovo je najzagađeniji profil na rijeci Zeti. U donjem toku Zete, posle njenog poniranja i primanja voda hidrocentrala i drugih pritoka, kvalitet vode se poboljšava, na profilu Danilovgrad 71,9% bilo je u svojoj klasi, a 12,5% van svoje klase, a na profilu Vranjske njive 81,3% u svojoj klasi, 6,2% bilo je van svoje klase. Značajno je napomenuti da na potezu Duklov most - Vranjske njive sadržaji koli i fekalnih bakterija u odnosu na klase vode za piće i klase za kupanje bili su u propisanoj klasi A2K2.</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t>Cijevna</w:t>
      </w:r>
      <w:r w:rsidRPr="00722DF4">
        <w:rPr>
          <w:rFonts w:ascii="Arial" w:hAnsi="Arial" w:cs="Arial"/>
          <w:sz w:val="24"/>
          <w:szCs w:val="24"/>
        </w:rPr>
        <w:t xml:space="preserve"> se uzorkuje na 2 mjesta i kao pritoka Morače, odnosno indirektna pritoka Skadarskog jezera, razvrstava se u A1SK1 klasu. Kvalitet vode na profilu Trgaj imao je pomjeranje kvaliteta, 34,4% van propisane klase, odnosno 65,6% klasa bilo je u svojoj klasi. Parametri: jonski odnos Ca/Mg, sadržaji amonijaka i deterdženta bili su u A3 klasu. Mjerno mjesto iznad ušća uzorkovano je samo 1 put, jer je u julu, septembru i novembru rijeka je bila presušila u donjem dijelu. U uzorkovanju koje je izvršeno u maju kvalitet se pokazao dobar, sa 75,0% klasa u zahtijevanom bonitetu. Mikrobiološki pokazatelji - broj fekalnih bakterija, bili su u A2K2 klasu.</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lastRenderedPageBreak/>
        <w:t>Rijeka Crnojevića</w:t>
      </w:r>
      <w:r w:rsidRPr="00722DF4">
        <w:rPr>
          <w:rFonts w:ascii="Arial" w:hAnsi="Arial" w:cs="Arial"/>
          <w:sz w:val="24"/>
          <w:szCs w:val="24"/>
        </w:rPr>
        <w:t xml:space="preserve"> se uzorkuje na 1 mjestu (Brodska njiva) i njene vode trebalo bi da pripadaju visokoj zahtijevanoj A1SK1 klasi. Na stanje kvaliteta voda ovog vodotoka utiču otpadne vode Cetinja, zbog hidrološke situacije njene vode su u 2017. godini pokazale nešto gori kvalitet nego u predhodnoj godini i 59,4% klasa bile u svojoj klasi. Po sadržaju fosfata, kao i uvijek vode su izašle VK, ostali parametri imali su pomjeranje i to u A3 klasu: jonski odnos Ca/Mg, amonijak i nitriti, odnosno sadržaji: TOC-a, fenola i deterdženata i veličine temperature u A2 klasu. Postajala je i mikrobiološka opterećenost sa fekalnim bakterijama-A2.</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t>Bojana</w:t>
      </w:r>
      <w:r w:rsidRPr="00722DF4">
        <w:rPr>
          <w:rFonts w:ascii="Arial" w:hAnsi="Arial" w:cs="Arial"/>
          <w:sz w:val="24"/>
          <w:szCs w:val="24"/>
        </w:rPr>
        <w:t xml:space="preserve"> se uzorkuje na 1 mjestu (Fraskanjel) i njene vode treba da pripadaju A2CK2. Njena voda je pokazala dobar kvalitet i 78,1% određenih klasa pripadalo je zahtijevanoj klasi. Sadžaji nitrita i TOC-a bio je VK, odnosno doveo je da su njene vode sa 9,4% u ovom </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t>Lim</w:t>
      </w:r>
      <w:r w:rsidRPr="00722DF4">
        <w:rPr>
          <w:rFonts w:ascii="Arial" w:hAnsi="Arial" w:cs="Arial"/>
          <w:b/>
          <w:sz w:val="24"/>
          <w:szCs w:val="24"/>
        </w:rPr>
        <w:t xml:space="preserve"> </w:t>
      </w:r>
      <w:r w:rsidRPr="00722DF4">
        <w:rPr>
          <w:rFonts w:ascii="Arial" w:hAnsi="Arial" w:cs="Arial"/>
          <w:sz w:val="24"/>
          <w:szCs w:val="24"/>
        </w:rPr>
        <w:t>se uzorkuje na 6 mjesta i njegove vode uzvodno od Berana treba da pripadaju A1SK1 klasi (Plav i Andrijevica) i nizvodno od Berana A2CK2 klasi (Skakavac, Zaton, Bijelo Polje i Dobrakovo). Vode Lima u ovoj godini pokazale su nešto lošiji kvaliet u odnosu na prošlu i 60,9% određenih klasa pripalo zahtijevanom bonitetu, gledajući čitav tok. Kako gornji dio Lima pripada vrlo zavtijevanoj klasi A1 pomjeranje ravnoteže je veće i mnogi parametri prelaze čak i u A3 klasu, dok srednji dio toka, kao i donji pripadaju A2 i većina parametara se nalaze u njoj, ali ova dionica vodotoka imala je opterećenje sa nutrijentima i na mjernim mjestima Skakavac i Dobrakovo 15,6% određenih klasa bilo je VK. Uticaj zagađenja od gradova Plav, Andijevica, Berana i Bijelog Polja evidentiran je na svim mjernim mjetima, kvalitet vode se popravi, ali prolaskom kroz naselja ponovo dolazi do pogoršanja.</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t>Grnčar</w:t>
      </w:r>
      <w:r w:rsidRPr="00722DF4">
        <w:rPr>
          <w:rFonts w:ascii="Arial" w:hAnsi="Arial" w:cs="Arial"/>
          <w:sz w:val="24"/>
          <w:szCs w:val="24"/>
        </w:rPr>
        <w:t xml:space="preserve"> se uzorkuje na 1 mjestu u samom gradu Gusinju, iznad mosta i vode treba da pripadaju A1SK1. Dobar prirodni kvalitet narušava se u malovodnom režimu ljeti i 53,1% određenih klasa pripalo zahtijevanom bonitetu, parametari kvaliteta bili su u A2 i A3 klasi u 46,9% slučajeva, dok nijedna vrijednost nije bila VK. Stanje je bilo lošije nego u predhodnoj goduni, kao što je i slučaj sa vodama Lima.</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t>Kutska Rijeka (Zlorečica)</w:t>
      </w:r>
      <w:r w:rsidRPr="00722DF4">
        <w:rPr>
          <w:rFonts w:ascii="Arial" w:hAnsi="Arial" w:cs="Arial"/>
          <w:sz w:val="24"/>
          <w:szCs w:val="24"/>
        </w:rPr>
        <w:t xml:space="preserve"> se uzorkuje na 1 mjestu ispod mosta u Andrijevici, odnosno iznad ušćau u Lim, i vode treba da joj pripadaju A1SK1. Ovo je vrlo hladna rijeka, brzog toka i uglavnom se pokazuje kao čista, ali kalitet njene vode u 2017. godinu bio je malo narušen, što je možda doprinio sušni period i doveo do pomjera klasa u A2 i u A3 klasu u 37,6% slučajeva, odnosno u 62,4% određenih klasa pripalo zahtijevanom bonitetu.</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lastRenderedPageBreak/>
        <w:t>Ibar</w:t>
      </w:r>
      <w:r w:rsidRPr="00722DF4">
        <w:rPr>
          <w:rFonts w:ascii="Arial" w:hAnsi="Arial" w:cs="Arial"/>
          <w:sz w:val="24"/>
          <w:szCs w:val="24"/>
        </w:rPr>
        <w:t xml:space="preserve"> se uzorkuje na 2 mjesta, i vode iznad Rožaja treba da pripadaju A1SK1, dok ispod grada A2CK2 klasi (Bać). Ovaj vodotok ugrožavaju otpadne vode Rožaja. Često je mutan sa dosta otpada i znatan dio parametara je van svoje klase. U 40,6% slučaja iznad grada, odnosno u 43,7% na Baću određenih klasa pripalo zahtijevanom bonitetu, ali zato na Baću 31,3% bilo je VK, što ga svstava u jedno od najzagađenijih mjernih mjesta na svim vodotocima.</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t>Tara</w:t>
      </w:r>
      <w:r w:rsidRPr="00722DF4">
        <w:rPr>
          <w:rFonts w:ascii="Arial" w:hAnsi="Arial" w:cs="Arial"/>
          <w:sz w:val="24"/>
          <w:szCs w:val="24"/>
        </w:rPr>
        <w:t xml:space="preserve"> se uzorkuje na 6 mjesta i na čitavom toku vode treba da pripadaju A1SK1 klasi. Međutim, realno, odlični status se teško može održati. Uzimajući ukupni vodotok 38,0% odeđenih klasa pomjereno je iz zahtijevanog boniteta. Pomjeranje kvaliteta i lošije stanje bilo je u gornjem dijelu toka Tare, što je uticala mutnoća i aktivnosti izgradnje auto puta, što pokazuje da je kvalitet na najuzvodnijoj mjernoj tački u svojoj klasi imao 59,4% klasa. Što se tiče sadržaja mikrobioloških parametara, fekalne bakterije bile su A2 klasu na svim mjernim mjestima.</w:t>
      </w:r>
    </w:p>
    <w:p w:rsidR="00EF2394" w:rsidRPr="00722DF4" w:rsidRDefault="00EF2394" w:rsidP="00722DF4">
      <w:pPr>
        <w:spacing w:after="0"/>
        <w:jc w:val="both"/>
        <w:rPr>
          <w:rFonts w:ascii="Arial" w:hAnsi="Arial" w:cs="Arial"/>
          <w:sz w:val="24"/>
          <w:szCs w:val="24"/>
        </w:rPr>
      </w:pPr>
    </w:p>
    <w:p w:rsidR="00373F27" w:rsidRDefault="00373F27" w:rsidP="00722DF4">
      <w:pPr>
        <w:spacing w:after="0"/>
        <w:jc w:val="both"/>
        <w:rPr>
          <w:rFonts w:ascii="Arial" w:hAnsi="Arial" w:cs="Arial"/>
          <w:sz w:val="24"/>
          <w:szCs w:val="24"/>
        </w:rPr>
      </w:pPr>
      <w:r w:rsidRPr="00722DF4">
        <w:rPr>
          <w:rFonts w:ascii="Arial" w:hAnsi="Arial" w:cs="Arial"/>
          <w:b/>
          <w:sz w:val="24"/>
          <w:szCs w:val="24"/>
          <w:u w:val="single"/>
        </w:rPr>
        <w:t>Piva</w:t>
      </w:r>
      <w:r w:rsidRPr="00722DF4">
        <w:rPr>
          <w:rFonts w:ascii="Arial" w:hAnsi="Arial" w:cs="Arial"/>
          <w:sz w:val="24"/>
          <w:szCs w:val="24"/>
        </w:rPr>
        <w:t xml:space="preserve"> se uzorkuje na 1 mjestu (Šćepan polje) i njene vode, kao prelivne vode Pivskog jezera, treba da pripadaju A2CK2. Vode Pive su, može se reći, odličnog kvaliteta, jer pripadaju u 81,3% određenih klasa propisanoj, a čak je u dosta slučajeva A i A1 klasi. Voda u svim mjerenjima nije prelazila 100C i tumači se i dalje kao rijeka sa najboljim kvalitetom vode u odnosu na vodotoke koji se prate.</w:t>
      </w:r>
    </w:p>
    <w:p w:rsidR="00EF2394" w:rsidRPr="00722DF4" w:rsidRDefault="00EF2394" w:rsidP="00722DF4">
      <w:pPr>
        <w:spacing w:after="0"/>
        <w:jc w:val="both"/>
        <w:rPr>
          <w:rFonts w:ascii="Arial" w:hAnsi="Arial" w:cs="Arial"/>
          <w:sz w:val="24"/>
          <w:szCs w:val="24"/>
        </w:rPr>
      </w:pPr>
    </w:p>
    <w:p w:rsidR="00AA4680" w:rsidRDefault="00AA4680" w:rsidP="00722DF4">
      <w:pPr>
        <w:spacing w:after="0"/>
        <w:jc w:val="both"/>
        <w:rPr>
          <w:rFonts w:ascii="Arial" w:hAnsi="Arial" w:cs="Arial"/>
          <w:sz w:val="24"/>
          <w:szCs w:val="24"/>
        </w:rPr>
      </w:pPr>
      <w:r w:rsidRPr="00722DF4">
        <w:rPr>
          <w:rFonts w:ascii="Arial" w:hAnsi="Arial" w:cs="Arial"/>
          <w:b/>
          <w:sz w:val="24"/>
          <w:szCs w:val="24"/>
          <w:u w:val="single"/>
        </w:rPr>
        <w:t>Ćehotina</w:t>
      </w:r>
      <w:r w:rsidRPr="00722DF4">
        <w:rPr>
          <w:rFonts w:ascii="Arial" w:hAnsi="Arial" w:cs="Arial"/>
          <w:sz w:val="24"/>
          <w:szCs w:val="24"/>
        </w:rPr>
        <w:t xml:space="preserve"> se uzorkuje na 4 mjesta i njene vode treba da pripadaju A1SK1 klasi uzvodno od Pljevalja (Rabitlja) i A2CK2 nizvodno od Pljevalja (ispod grada, ispod ušća Vezišnice i Gradac). Ovaj vodotok u djelu ispod Pljevalja spada, već niz godina, u zagađene, i podaci iz 2017. godine to su potvrdili. Čak, i uzvodni dio toka iznad Pljevalja ima zagađenja, i od određenih klasa, propisanoj klasi pripalo je 62,4%, odnosno 28,2% bilo je van zavtijevane klase i 9,4% van svih klasa - VK. Na stanje kvaliteta utiču poljoprivrene aktivnosti, usporeni tok rijeke i uzvodna akumulacija. Najgore stanje bilo je na mjestima ispod grada i ispod ušća Vezišnice, gdje je 42,7% odnosno 46,8% određenih klasa bilo VK: jonski odnos Ca/Mg, % zasićenja kiseonikom, BPK5, HPK, fosfati i nitriti, TOC, fenoli i znatno opterećenje sa koli i fekalnim bakterijama (klase za kupanje i život riba). Ovi podaci govore da je Ćehotina ugrožena kanalizacionim vodama grada i vodama Vezišnice. Nizvodno kvalitet vode se malo mijenja i dalje je loše stanje i na Gradcu VK bilo je 37,5% klasa. Prosječno njene vode u svojoj klasi su 45,3% slučajeva. Voda Ćehotine kao i predhodnih godina na dionici ispod Pljevalja - Gadac imaju loš izgled, osjeća se neprijatan miris i primjećuje se velika količina smeća u koritu i po obalama.</w:t>
      </w:r>
    </w:p>
    <w:p w:rsidR="00EF2394" w:rsidRPr="00722DF4" w:rsidRDefault="00EF2394" w:rsidP="00722DF4">
      <w:pPr>
        <w:spacing w:after="0"/>
        <w:jc w:val="both"/>
        <w:rPr>
          <w:rFonts w:ascii="Arial" w:hAnsi="Arial" w:cs="Arial"/>
          <w:sz w:val="24"/>
          <w:szCs w:val="24"/>
        </w:rPr>
      </w:pPr>
    </w:p>
    <w:p w:rsidR="00AA4680" w:rsidRDefault="00AA4680" w:rsidP="00722DF4">
      <w:pPr>
        <w:spacing w:after="0"/>
        <w:jc w:val="both"/>
        <w:rPr>
          <w:rFonts w:ascii="Arial" w:hAnsi="Arial" w:cs="Arial"/>
          <w:sz w:val="24"/>
          <w:szCs w:val="24"/>
        </w:rPr>
      </w:pPr>
      <w:r w:rsidRPr="00722DF4">
        <w:rPr>
          <w:rFonts w:ascii="Arial" w:hAnsi="Arial" w:cs="Arial"/>
          <w:b/>
          <w:sz w:val="24"/>
          <w:szCs w:val="24"/>
          <w:u w:val="single"/>
        </w:rPr>
        <w:t>Vezišnica</w:t>
      </w:r>
      <w:r w:rsidRPr="00722DF4">
        <w:rPr>
          <w:rFonts w:ascii="Arial" w:hAnsi="Arial" w:cs="Arial"/>
          <w:sz w:val="24"/>
          <w:szCs w:val="24"/>
        </w:rPr>
        <w:t xml:space="preserve"> se uzorkuje na 1 mjestu, iznad ušća u Ćehotinu i vode treba da joj pripadaju A1SK1. Stanje kvaliteta je daleko od željenog i samo 25,0% određenih klasa je u </w:t>
      </w:r>
      <w:r w:rsidRPr="00722DF4">
        <w:rPr>
          <w:rFonts w:ascii="Arial" w:hAnsi="Arial" w:cs="Arial"/>
          <w:sz w:val="24"/>
          <w:szCs w:val="24"/>
        </w:rPr>
        <w:lastRenderedPageBreak/>
        <w:t>propisanoj klasi i tako da je ovaj vodotok i dalje procijenjen kao najzagađeniji. Na ovaj vodotok najviše utiču otpadne vode TE Pljevlja, ljudske aktivnosti duž njenog toka i mali vodostaj.</w:t>
      </w:r>
    </w:p>
    <w:p w:rsidR="00EF2394" w:rsidRPr="00722DF4" w:rsidRDefault="00EF2394" w:rsidP="00722DF4">
      <w:pPr>
        <w:spacing w:after="0"/>
        <w:jc w:val="both"/>
        <w:rPr>
          <w:rFonts w:ascii="Arial" w:hAnsi="Arial" w:cs="Arial"/>
          <w:sz w:val="24"/>
          <w:szCs w:val="24"/>
        </w:rPr>
      </w:pPr>
    </w:p>
    <w:p w:rsidR="00371CB9" w:rsidRPr="00722DF4" w:rsidRDefault="00C60F3E" w:rsidP="00722DF4">
      <w:pPr>
        <w:spacing w:after="0"/>
        <w:jc w:val="both"/>
        <w:rPr>
          <w:rFonts w:ascii="Arial" w:hAnsi="Arial" w:cs="Arial"/>
          <w:sz w:val="24"/>
          <w:szCs w:val="24"/>
        </w:rPr>
      </w:pPr>
      <w:r w:rsidRPr="00722DF4">
        <w:rPr>
          <w:rFonts w:ascii="Arial" w:hAnsi="Arial" w:cs="Arial"/>
          <w:sz w:val="24"/>
          <w:szCs w:val="24"/>
        </w:rPr>
        <w:t xml:space="preserve">Na sledećim Slikama </w:t>
      </w:r>
      <w:r w:rsidR="00EF2394">
        <w:rPr>
          <w:rFonts w:ascii="Arial" w:hAnsi="Arial" w:cs="Arial"/>
          <w:sz w:val="24"/>
          <w:szCs w:val="24"/>
        </w:rPr>
        <w:t>2.24</w:t>
      </w:r>
      <w:r w:rsidR="00371CB9" w:rsidRPr="00722DF4">
        <w:rPr>
          <w:rFonts w:ascii="Arial" w:hAnsi="Arial" w:cs="Arial"/>
          <w:sz w:val="24"/>
          <w:szCs w:val="24"/>
        </w:rPr>
        <w:t>. do 2</w:t>
      </w:r>
      <w:r w:rsidR="00EF2394">
        <w:rPr>
          <w:rFonts w:ascii="Arial" w:hAnsi="Arial" w:cs="Arial"/>
          <w:sz w:val="24"/>
          <w:szCs w:val="24"/>
        </w:rPr>
        <w:t>.26</w:t>
      </w:r>
      <w:r w:rsidR="00371CB9" w:rsidRPr="00722DF4">
        <w:rPr>
          <w:rFonts w:ascii="Arial" w:hAnsi="Arial" w:cs="Arial"/>
          <w:sz w:val="24"/>
          <w:szCs w:val="24"/>
        </w:rPr>
        <w:t>. dat je tabelarni prikaz rezultata ispiotivanja fizičko-hemijiskih i mikrobioloških karakter</w:t>
      </w:r>
      <w:r w:rsidR="007806FD">
        <w:rPr>
          <w:rFonts w:ascii="Arial" w:hAnsi="Arial" w:cs="Arial"/>
          <w:sz w:val="24"/>
          <w:szCs w:val="24"/>
        </w:rPr>
        <w:t>istika vodotaka tokom 2017 god.</w:t>
      </w:r>
    </w:p>
    <w:p w:rsidR="00AA4680"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934710" cy="6263005"/>
            <wp:effectExtent l="19050" t="0" r="889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5934710" cy="6263005"/>
                    </a:xfrm>
                    <a:prstGeom prst="rect">
                      <a:avLst/>
                    </a:prstGeom>
                    <a:noFill/>
                    <a:ln w="9525">
                      <a:noFill/>
                      <a:miter lim="800000"/>
                      <a:headEnd/>
                      <a:tailEnd/>
                    </a:ln>
                  </pic:spPr>
                </pic:pic>
              </a:graphicData>
            </a:graphic>
          </wp:inline>
        </w:drawing>
      </w:r>
    </w:p>
    <w:p w:rsidR="00C156E6" w:rsidRPr="00B61137" w:rsidRDefault="00EF2394" w:rsidP="00722DF4">
      <w:pPr>
        <w:spacing w:after="0"/>
        <w:jc w:val="both"/>
        <w:rPr>
          <w:rFonts w:ascii="Arial" w:hAnsi="Arial" w:cs="Arial"/>
        </w:rPr>
      </w:pPr>
      <w:r w:rsidRPr="00B61137">
        <w:rPr>
          <w:rFonts w:ascii="Arial" w:hAnsi="Arial" w:cs="Arial"/>
          <w:b/>
        </w:rPr>
        <w:t>Slika 2.24</w:t>
      </w:r>
      <w:r w:rsidR="00C156E6" w:rsidRPr="00B61137">
        <w:rPr>
          <w:rFonts w:ascii="Arial" w:hAnsi="Arial" w:cs="Arial"/>
          <w:b/>
        </w:rPr>
        <w:t>.</w:t>
      </w:r>
      <w:r w:rsidRPr="00B61137">
        <w:rPr>
          <w:rFonts w:ascii="Arial" w:hAnsi="Arial" w:cs="Arial"/>
          <w:b/>
        </w:rPr>
        <w:t xml:space="preserve"> </w:t>
      </w:r>
      <w:r w:rsidR="00AB2E0A" w:rsidRPr="00B61137">
        <w:rPr>
          <w:rFonts w:ascii="Arial" w:hAnsi="Arial" w:cs="Arial"/>
        </w:rPr>
        <w:t>Klase kvaliteta vodotoka</w:t>
      </w:r>
      <w:r w:rsidR="00C156E6" w:rsidRPr="00B61137">
        <w:rPr>
          <w:rFonts w:ascii="Arial" w:hAnsi="Arial" w:cs="Arial"/>
        </w:rPr>
        <w:t xml:space="preserve"> u 2017.g. </w:t>
      </w:r>
    </w:p>
    <w:p w:rsidR="00E01FF9" w:rsidRPr="00722DF4" w:rsidRDefault="001210F4" w:rsidP="00B6390F">
      <w:r>
        <w:rPr>
          <w:noProof/>
        </w:rPr>
        <w:lastRenderedPageBreak/>
        <w:drawing>
          <wp:inline distT="0" distB="0" distL="0" distR="0">
            <wp:extent cx="26035" cy="8890"/>
            <wp:effectExtent l="0" t="0" r="0" b="0"/>
            <wp:docPr id="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srcRect/>
                    <a:stretch>
                      <a:fillRect/>
                    </a:stretch>
                  </pic:blipFill>
                  <pic:spPr bwMode="auto">
                    <a:xfrm>
                      <a:off x="0" y="0"/>
                      <a:ext cx="26035" cy="8890"/>
                    </a:xfrm>
                    <a:prstGeom prst="rect">
                      <a:avLst/>
                    </a:prstGeom>
                    <a:noFill/>
                    <a:ln w="9525">
                      <a:noFill/>
                      <a:miter lim="800000"/>
                      <a:headEnd/>
                      <a:tailEnd/>
                    </a:ln>
                  </pic:spPr>
                </pic:pic>
              </a:graphicData>
            </a:graphic>
          </wp:inline>
        </w:drawing>
      </w:r>
      <w:r>
        <w:rPr>
          <w:noProof/>
        </w:rPr>
        <w:drawing>
          <wp:inline distT="0" distB="0" distL="0" distR="0">
            <wp:extent cx="5986780" cy="6176645"/>
            <wp:effectExtent l="1905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srcRect/>
                    <a:stretch>
                      <a:fillRect/>
                    </a:stretch>
                  </pic:blipFill>
                  <pic:spPr bwMode="auto">
                    <a:xfrm>
                      <a:off x="0" y="0"/>
                      <a:ext cx="5986780" cy="6176645"/>
                    </a:xfrm>
                    <a:prstGeom prst="rect">
                      <a:avLst/>
                    </a:prstGeom>
                    <a:noFill/>
                    <a:ln w="9525">
                      <a:noFill/>
                      <a:miter lim="800000"/>
                      <a:headEnd/>
                      <a:tailEnd/>
                    </a:ln>
                  </pic:spPr>
                </pic:pic>
              </a:graphicData>
            </a:graphic>
          </wp:inline>
        </w:drawing>
      </w:r>
    </w:p>
    <w:p w:rsidR="00C156E6" w:rsidRPr="00B61137" w:rsidRDefault="00EF2394" w:rsidP="00722DF4">
      <w:pPr>
        <w:spacing w:after="0"/>
        <w:jc w:val="both"/>
        <w:rPr>
          <w:rFonts w:ascii="Arial" w:hAnsi="Arial" w:cs="Arial"/>
        </w:rPr>
      </w:pPr>
      <w:r w:rsidRPr="00B61137">
        <w:rPr>
          <w:rFonts w:ascii="Arial" w:hAnsi="Arial" w:cs="Arial"/>
          <w:b/>
        </w:rPr>
        <w:t>Slika 2.25</w:t>
      </w:r>
      <w:r w:rsidR="00C156E6" w:rsidRPr="00B61137">
        <w:rPr>
          <w:rFonts w:ascii="Arial" w:hAnsi="Arial" w:cs="Arial"/>
          <w:b/>
        </w:rPr>
        <w:t>.</w:t>
      </w:r>
      <w:r w:rsidRPr="00B61137">
        <w:rPr>
          <w:rFonts w:ascii="Arial" w:hAnsi="Arial" w:cs="Arial"/>
          <w:b/>
        </w:rPr>
        <w:t xml:space="preserve"> </w:t>
      </w:r>
      <w:r w:rsidR="00AB2E0A" w:rsidRPr="00B61137">
        <w:rPr>
          <w:rFonts w:ascii="Arial" w:hAnsi="Arial" w:cs="Arial"/>
        </w:rPr>
        <w:t>Klase kvaliteta vodotoka</w:t>
      </w:r>
      <w:r w:rsidR="00C156E6" w:rsidRPr="00B61137">
        <w:rPr>
          <w:rFonts w:ascii="Arial" w:hAnsi="Arial" w:cs="Arial"/>
        </w:rPr>
        <w:t xml:space="preserve"> u 2017.g. </w:t>
      </w:r>
    </w:p>
    <w:p w:rsidR="00C156E6" w:rsidRPr="00722DF4" w:rsidRDefault="00C156E6" w:rsidP="00722DF4">
      <w:pPr>
        <w:pStyle w:val="ColorfulList-Accent11"/>
        <w:spacing w:after="0"/>
        <w:jc w:val="both"/>
        <w:rPr>
          <w:rFonts w:ascii="Arial" w:hAnsi="Arial" w:cs="Arial"/>
          <w:sz w:val="24"/>
          <w:szCs w:val="24"/>
        </w:rPr>
      </w:pPr>
    </w:p>
    <w:p w:rsidR="00C156E6" w:rsidRPr="00B61137" w:rsidRDefault="001210F4" w:rsidP="00722DF4">
      <w:pPr>
        <w:spacing w:after="0"/>
        <w:jc w:val="both"/>
        <w:rPr>
          <w:rFonts w:ascii="Arial" w:hAnsi="Arial" w:cs="Arial"/>
        </w:rPr>
      </w:pPr>
      <w:r>
        <w:rPr>
          <w:rFonts w:ascii="Arial" w:hAnsi="Arial" w:cs="Arial"/>
          <w:noProof/>
          <w:sz w:val="24"/>
          <w:szCs w:val="24"/>
        </w:rPr>
        <w:lastRenderedPageBreak/>
        <w:drawing>
          <wp:inline distT="0" distB="0" distL="0" distR="0">
            <wp:extent cx="5934710" cy="7004685"/>
            <wp:effectExtent l="19050" t="0" r="8890" b="0"/>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srcRect/>
                    <a:stretch>
                      <a:fillRect/>
                    </a:stretch>
                  </pic:blipFill>
                  <pic:spPr bwMode="auto">
                    <a:xfrm>
                      <a:off x="0" y="0"/>
                      <a:ext cx="5934710" cy="7004685"/>
                    </a:xfrm>
                    <a:prstGeom prst="rect">
                      <a:avLst/>
                    </a:prstGeom>
                    <a:noFill/>
                    <a:ln w="9525">
                      <a:noFill/>
                      <a:miter lim="800000"/>
                      <a:headEnd/>
                      <a:tailEnd/>
                    </a:ln>
                  </pic:spPr>
                </pic:pic>
              </a:graphicData>
            </a:graphic>
          </wp:inline>
        </w:drawing>
      </w:r>
      <w:r w:rsidR="00EF2394" w:rsidRPr="00B61137">
        <w:rPr>
          <w:rFonts w:ascii="Arial" w:hAnsi="Arial" w:cs="Arial"/>
          <w:b/>
        </w:rPr>
        <w:t>Slika 2.26</w:t>
      </w:r>
      <w:r w:rsidR="00C156E6" w:rsidRPr="00B61137">
        <w:rPr>
          <w:rFonts w:ascii="Arial" w:hAnsi="Arial" w:cs="Arial"/>
          <w:b/>
        </w:rPr>
        <w:t>.</w:t>
      </w:r>
      <w:r w:rsidR="00C156E6" w:rsidRPr="00B61137">
        <w:rPr>
          <w:rFonts w:ascii="Arial" w:hAnsi="Arial" w:cs="Arial"/>
        </w:rPr>
        <w:t xml:space="preserve"> Klase kvaliteta vod</w:t>
      </w:r>
      <w:r w:rsidR="00AB2E0A" w:rsidRPr="00B61137">
        <w:rPr>
          <w:rFonts w:ascii="Arial" w:hAnsi="Arial" w:cs="Arial"/>
        </w:rPr>
        <w:t>otoka</w:t>
      </w:r>
      <w:r w:rsidR="00C156E6" w:rsidRPr="00B61137">
        <w:rPr>
          <w:rFonts w:ascii="Arial" w:hAnsi="Arial" w:cs="Arial"/>
        </w:rPr>
        <w:t xml:space="preserve"> u 2017.g. </w:t>
      </w:r>
    </w:p>
    <w:p w:rsidR="00EF2394" w:rsidRPr="00722DF4" w:rsidRDefault="00EF2394" w:rsidP="00722DF4">
      <w:pPr>
        <w:spacing w:after="0"/>
        <w:jc w:val="both"/>
        <w:rPr>
          <w:rFonts w:ascii="Arial" w:hAnsi="Arial" w:cs="Arial"/>
          <w:sz w:val="24"/>
          <w:szCs w:val="24"/>
        </w:rPr>
      </w:pPr>
    </w:p>
    <w:p w:rsidR="00F33D64" w:rsidRDefault="00AC24E6" w:rsidP="00722DF4">
      <w:pPr>
        <w:spacing w:after="0"/>
        <w:jc w:val="both"/>
        <w:rPr>
          <w:rFonts w:ascii="Arial" w:hAnsi="Arial" w:cs="Arial"/>
          <w:sz w:val="24"/>
          <w:szCs w:val="24"/>
        </w:rPr>
      </w:pPr>
      <w:r w:rsidRPr="00722DF4">
        <w:rPr>
          <w:rFonts w:ascii="Arial" w:hAnsi="Arial" w:cs="Arial"/>
          <w:sz w:val="24"/>
          <w:szCs w:val="24"/>
        </w:rPr>
        <w:t>Hidrobiološko uzorkovanje voda rijeka,</w:t>
      </w:r>
      <w:r w:rsidR="00AB6285" w:rsidRPr="00722DF4">
        <w:rPr>
          <w:rFonts w:ascii="Arial" w:hAnsi="Arial" w:cs="Arial"/>
          <w:sz w:val="24"/>
          <w:szCs w:val="24"/>
        </w:rPr>
        <w:t xml:space="preserve"> sa aspekta ispitivanja saprobioloških karakteristika,</w:t>
      </w:r>
      <w:r w:rsidRPr="00722DF4">
        <w:rPr>
          <w:rFonts w:ascii="Arial" w:hAnsi="Arial" w:cs="Arial"/>
          <w:sz w:val="24"/>
          <w:szCs w:val="24"/>
        </w:rPr>
        <w:t xml:space="preserve"> u toku 2017. godine, rađeno je na 11 vodotoka i uzorkovanje je vršeno na </w:t>
      </w:r>
      <w:r w:rsidRPr="00722DF4">
        <w:rPr>
          <w:rFonts w:ascii="Arial" w:hAnsi="Arial" w:cs="Arial"/>
          <w:sz w:val="24"/>
          <w:szCs w:val="24"/>
        </w:rPr>
        <w:lastRenderedPageBreak/>
        <w:t xml:space="preserve">28 mjesta (Morača - 4, Zeta - 4, Cijevna - 1, Bojana - 1, Crnojevića Rijeka - 1, Lim - 6, Zlorečica - 1, Grnčar - 1, Ibar - 2, Tara - 4, Čehotina - 3). Uzimanje uzoraka je vršeno u 2 serije (56 uzoraka): I serija u periodu 08.06 - 22.06. i II serija u periodu 24.08 - 18.09. Tokom prvog uzorkovanja, jun mjesec, vodostaj rijeka bio je uglavnom srednji,time brzine toka vode veće, obale više potopljene, odnosno korita šira ili dublja, mjesta uzorkovanja - obale (dna), od profila do profila bila su: kamenita - šljunkovita - pjeskovita - muljevita, ponegdje obrasla makrofitama. Temperature vode su niže, za </w:t>
      </w:r>
      <w:r w:rsidR="00C01018">
        <w:rPr>
          <w:rFonts w:ascii="Arial" w:hAnsi="Arial" w:cs="Arial"/>
          <w:sz w:val="24"/>
          <w:szCs w:val="24"/>
        </w:rPr>
        <w:t>većI</w:t>
      </w:r>
      <w:r w:rsidR="00F33D64" w:rsidRPr="00722DF4">
        <w:rPr>
          <w:rFonts w:ascii="Arial" w:hAnsi="Arial" w:cs="Arial"/>
          <w:sz w:val="24"/>
          <w:szCs w:val="24"/>
        </w:rPr>
        <w:t>nu rijeka bile su od 10-16 °</w:t>
      </w:r>
      <w:r w:rsidRPr="00722DF4">
        <w:rPr>
          <w:rFonts w:ascii="Arial" w:hAnsi="Arial" w:cs="Arial"/>
          <w:sz w:val="24"/>
          <w:szCs w:val="24"/>
        </w:rPr>
        <w:t xml:space="preserve">C, Zeta na Vidrovanu i Zlorečica kod Andrijevice imale su veoma hladnu vodu, 7-8 </w:t>
      </w:r>
      <w:r w:rsidR="00F33D64" w:rsidRPr="00722DF4">
        <w:rPr>
          <w:rFonts w:ascii="Arial" w:hAnsi="Arial" w:cs="Arial"/>
          <w:sz w:val="24"/>
          <w:szCs w:val="24"/>
        </w:rPr>
        <w:t>°</w:t>
      </w:r>
      <w:r w:rsidRPr="00722DF4">
        <w:rPr>
          <w:rFonts w:ascii="Arial" w:hAnsi="Arial" w:cs="Arial"/>
          <w:sz w:val="24"/>
          <w:szCs w:val="24"/>
        </w:rPr>
        <w:t xml:space="preserve">C, dok voda Bojane </w:t>
      </w:r>
      <w:r w:rsidR="00F33D64" w:rsidRPr="00722DF4">
        <w:rPr>
          <w:rFonts w:ascii="Arial" w:hAnsi="Arial" w:cs="Arial"/>
          <w:sz w:val="24"/>
          <w:szCs w:val="24"/>
        </w:rPr>
        <w:t>bila je nešto veća-toplija, 20 °</w:t>
      </w:r>
      <w:r w:rsidRPr="00722DF4">
        <w:rPr>
          <w:rFonts w:ascii="Arial" w:hAnsi="Arial" w:cs="Arial"/>
          <w:sz w:val="24"/>
          <w:szCs w:val="24"/>
        </w:rPr>
        <w:t xml:space="preserve">C, vode su imale dobru providnost - bile su bistre, sa primjetnom prirodnom bojom u nijansama od zelene do plave, izuzev Ćehotine - nizvodno od grada do Graca imale su izvjesnu mutnoću, sivo-maslinastu-braon primjetu boju (uticaj otpadnih voda grada i rijeke Vezišnice), Lima od Bijelog Polja do Dobrakova i Ibra od ispod Rožaja do Baća (uticaj otpadnih voda gradova). </w:t>
      </w:r>
    </w:p>
    <w:p w:rsidR="00EF2394" w:rsidRPr="00722DF4" w:rsidRDefault="00EF2394" w:rsidP="00722DF4">
      <w:pPr>
        <w:spacing w:after="0"/>
        <w:jc w:val="both"/>
        <w:rPr>
          <w:rFonts w:ascii="Arial" w:hAnsi="Arial" w:cs="Arial"/>
          <w:sz w:val="24"/>
          <w:szCs w:val="24"/>
        </w:rPr>
      </w:pPr>
    </w:p>
    <w:p w:rsidR="00F33D64" w:rsidRDefault="00AC24E6" w:rsidP="00722DF4">
      <w:pPr>
        <w:spacing w:after="0"/>
        <w:jc w:val="both"/>
        <w:rPr>
          <w:rFonts w:ascii="Arial" w:hAnsi="Arial" w:cs="Arial"/>
          <w:sz w:val="24"/>
          <w:szCs w:val="24"/>
        </w:rPr>
      </w:pPr>
      <w:r w:rsidRPr="00722DF4">
        <w:rPr>
          <w:rFonts w:ascii="Arial" w:hAnsi="Arial" w:cs="Arial"/>
          <w:sz w:val="24"/>
          <w:szCs w:val="24"/>
        </w:rPr>
        <w:t>Tokom drugog uzorkovanja, avgust-septembar mjesec, pod uticajem meteoroloških uslova - duži period bez padavina, doveli su do veoma niskih vodostoja, a na nekim mjestima pojedini vodotoci bili su ujezereni (Zeta na Duklovom mostu, Morača kod Botuna). Temperature vazduha su bile visoke, a time i temperature vode veće (1</w:t>
      </w:r>
      <w:r w:rsidR="00F33D64" w:rsidRPr="00722DF4">
        <w:rPr>
          <w:rFonts w:ascii="Arial" w:hAnsi="Arial" w:cs="Arial"/>
          <w:sz w:val="24"/>
          <w:szCs w:val="24"/>
        </w:rPr>
        <w:t>4-22 °</w:t>
      </w:r>
      <w:r w:rsidRPr="00722DF4">
        <w:rPr>
          <w:rFonts w:ascii="Arial" w:hAnsi="Arial" w:cs="Arial"/>
          <w:sz w:val="24"/>
          <w:szCs w:val="24"/>
        </w:rPr>
        <w:t>C), a dna korita pokrivena algama i drugim makrofitnim i makrozoobentosnim formama (Gradska plaža na Morači, Grnčar u Gusinju, Ibar na Baću, Ćehotina na Gradcu). Na većinu mjesta po obalama i u samim tokovima nalazilo se razno smeće - plastika, drvo,</w:t>
      </w:r>
      <w:r w:rsidR="00F33D64" w:rsidRPr="00722DF4">
        <w:rPr>
          <w:rFonts w:ascii="Arial" w:hAnsi="Arial" w:cs="Arial"/>
          <w:sz w:val="24"/>
          <w:szCs w:val="24"/>
        </w:rPr>
        <w:t xml:space="preserve"> metal, platno, itd.</w:t>
      </w:r>
      <w:r w:rsidRPr="00722DF4">
        <w:rPr>
          <w:rFonts w:ascii="Arial" w:hAnsi="Arial" w:cs="Arial"/>
          <w:sz w:val="24"/>
          <w:szCs w:val="24"/>
        </w:rPr>
        <w:t xml:space="preserve"> </w:t>
      </w:r>
    </w:p>
    <w:p w:rsidR="00EF2394" w:rsidRPr="00722DF4" w:rsidRDefault="00EF2394" w:rsidP="00722DF4">
      <w:pPr>
        <w:spacing w:after="0"/>
        <w:jc w:val="both"/>
        <w:rPr>
          <w:rFonts w:ascii="Arial" w:hAnsi="Arial" w:cs="Arial"/>
          <w:sz w:val="24"/>
          <w:szCs w:val="24"/>
        </w:rPr>
      </w:pPr>
    </w:p>
    <w:p w:rsidR="00F33D64" w:rsidRPr="00722DF4" w:rsidRDefault="00AC24E6" w:rsidP="00722DF4">
      <w:pPr>
        <w:spacing w:after="0"/>
        <w:jc w:val="both"/>
        <w:rPr>
          <w:rFonts w:ascii="Arial" w:hAnsi="Arial" w:cs="Arial"/>
          <w:sz w:val="24"/>
          <w:szCs w:val="24"/>
        </w:rPr>
      </w:pPr>
      <w:r w:rsidRPr="00722DF4">
        <w:rPr>
          <w:rFonts w:ascii="Arial" w:hAnsi="Arial" w:cs="Arial"/>
          <w:sz w:val="24"/>
          <w:szCs w:val="24"/>
        </w:rPr>
        <w:t xml:space="preserve">Što se tiče rezultata analiza uzoraka bioloških materijala vodotoci, odnosno njihove pojedine dionice su pripali: </w:t>
      </w:r>
    </w:p>
    <w:p w:rsidR="00F33D64" w:rsidRPr="00722DF4" w:rsidRDefault="00AC24E6" w:rsidP="00722DF4">
      <w:pPr>
        <w:spacing w:after="0"/>
        <w:jc w:val="both"/>
        <w:rPr>
          <w:rFonts w:ascii="Arial" w:hAnsi="Arial" w:cs="Arial"/>
          <w:sz w:val="24"/>
          <w:szCs w:val="24"/>
        </w:rPr>
      </w:pPr>
      <w:r w:rsidRPr="00722DF4">
        <w:rPr>
          <w:rFonts w:ascii="Arial" w:hAnsi="Arial" w:cs="Arial"/>
          <w:sz w:val="24"/>
          <w:szCs w:val="24"/>
        </w:rPr>
        <w:sym w:font="Symbol" w:char="F0B7"/>
      </w:r>
      <w:r w:rsidRPr="00722DF4">
        <w:rPr>
          <w:rFonts w:ascii="Arial" w:hAnsi="Arial" w:cs="Arial"/>
          <w:sz w:val="24"/>
          <w:szCs w:val="24"/>
        </w:rPr>
        <w:t xml:space="preserve"> oligosaprobnoj zoni, prvoj klasi - I, 3 mjerna mjesta: Morača - na Zlatici, Zlorečica - ispod mosta u Andrijevici i Tara na Đurđevića Tari; </w:t>
      </w:r>
    </w:p>
    <w:p w:rsidR="00F33D64" w:rsidRPr="00722DF4" w:rsidRDefault="00AC24E6" w:rsidP="00722DF4">
      <w:pPr>
        <w:spacing w:after="0"/>
        <w:jc w:val="both"/>
        <w:rPr>
          <w:rFonts w:ascii="Arial" w:hAnsi="Arial" w:cs="Arial"/>
          <w:sz w:val="24"/>
          <w:szCs w:val="24"/>
        </w:rPr>
      </w:pPr>
      <w:r w:rsidRPr="00722DF4">
        <w:rPr>
          <w:rFonts w:ascii="Arial" w:hAnsi="Arial" w:cs="Arial"/>
          <w:sz w:val="24"/>
          <w:szCs w:val="24"/>
        </w:rPr>
        <w:sym w:font="Symbol" w:char="F0B7"/>
      </w:r>
      <w:r w:rsidRPr="00722DF4">
        <w:rPr>
          <w:rFonts w:ascii="Arial" w:hAnsi="Arial" w:cs="Arial"/>
          <w:sz w:val="24"/>
          <w:szCs w:val="24"/>
        </w:rPr>
        <w:t xml:space="preserve"> oligo β(beta)mezosaprobnoj zoni, prelaznoj prvoj - drugoj klasi - I/II, 8 mjernih mjesta: Zeta na Vidrovanu, Cijevna na Trgaju, Lim - na mjernom mjestu ispod Andrijevice, Grnčar u Gusinju, Ibar - iznad Rožaja i Tara na 3 mjerna mjesta, odnosno na dio vodotoka od Kolašina - Trebaljeva - do ispod Mojkovca; </w:t>
      </w:r>
    </w:p>
    <w:p w:rsidR="00F33D64" w:rsidRDefault="00AC24E6" w:rsidP="00722DF4">
      <w:pPr>
        <w:spacing w:after="0"/>
        <w:jc w:val="both"/>
        <w:rPr>
          <w:rFonts w:ascii="Arial" w:hAnsi="Arial" w:cs="Arial"/>
          <w:sz w:val="24"/>
          <w:szCs w:val="24"/>
        </w:rPr>
      </w:pPr>
      <w:r w:rsidRPr="00722DF4">
        <w:rPr>
          <w:rFonts w:ascii="Arial" w:hAnsi="Arial" w:cs="Arial"/>
          <w:sz w:val="24"/>
          <w:szCs w:val="24"/>
        </w:rPr>
        <w:sym w:font="Symbol" w:char="F0B7"/>
      </w:r>
      <w:r w:rsidRPr="00722DF4">
        <w:rPr>
          <w:rFonts w:ascii="Arial" w:hAnsi="Arial" w:cs="Arial"/>
          <w:sz w:val="24"/>
          <w:szCs w:val="24"/>
        </w:rPr>
        <w:t xml:space="preserve"> β(beta)mezosaprobnoj zoni, drugoj klasi - II, ostalih 17 mjernih mjesta, odnosno djelovi vodotoka: Morača na 3 mjerna mjesta, odnosno dio vodotoka od Gradske plaže - Momišići - ispod kolektora i Botuna, Zeta na 3 mjerna mjesta, odnosno dio vodotoka u gornjem dijelu kod Duklovog most i donji dio od Danilovgrada - pa nizvodno do Vranjskih njiva, Rijeka Crnojevića - na Brodskoj njivi, Bojana na Fraskanjelu, Lim - na izvoru kod Plava i ostala mjerna mjesta od Skakavca - Zatona - ispod Bijelog Polja i Dobrakova, Ibar kod Baća, Ćehotina na cijelom toku od iznad Pljevalja i od Pljevalja pa nizvodno do Gradca. </w:t>
      </w:r>
    </w:p>
    <w:p w:rsidR="00EF2394" w:rsidRPr="00722DF4" w:rsidRDefault="00EF2394" w:rsidP="00722DF4">
      <w:pPr>
        <w:spacing w:after="0"/>
        <w:jc w:val="both"/>
        <w:rPr>
          <w:rFonts w:ascii="Arial" w:hAnsi="Arial" w:cs="Arial"/>
          <w:sz w:val="24"/>
          <w:szCs w:val="24"/>
        </w:rPr>
      </w:pPr>
    </w:p>
    <w:p w:rsidR="00F33D64" w:rsidRDefault="00AC24E6" w:rsidP="00722DF4">
      <w:pPr>
        <w:spacing w:after="0"/>
        <w:jc w:val="both"/>
        <w:rPr>
          <w:rFonts w:ascii="Arial" w:hAnsi="Arial" w:cs="Arial"/>
          <w:sz w:val="24"/>
          <w:szCs w:val="24"/>
        </w:rPr>
      </w:pPr>
      <w:r w:rsidRPr="00722DF4">
        <w:rPr>
          <w:rFonts w:ascii="Arial" w:hAnsi="Arial" w:cs="Arial"/>
          <w:sz w:val="24"/>
          <w:szCs w:val="24"/>
        </w:rPr>
        <w:t xml:space="preserve">Sa rijeke Pive nije uzet hidrobiološki uzorak zbog velikog vodostaja i oskudnosti vrsta, a takođe ni sa rijeka Vezišnica zbog prisutnosti velike količine suspendovanog pepela i “steilnosti” njene vode za razvitak živog svijeta u njoj. </w:t>
      </w:r>
    </w:p>
    <w:p w:rsidR="00EF2394" w:rsidRPr="00722DF4" w:rsidRDefault="00EF2394" w:rsidP="00722DF4">
      <w:pPr>
        <w:spacing w:after="0"/>
        <w:jc w:val="both"/>
        <w:rPr>
          <w:rFonts w:ascii="Arial" w:hAnsi="Arial" w:cs="Arial"/>
          <w:sz w:val="24"/>
          <w:szCs w:val="24"/>
        </w:rPr>
      </w:pPr>
    </w:p>
    <w:p w:rsidR="00F33D64" w:rsidRDefault="00AC24E6" w:rsidP="00722DF4">
      <w:pPr>
        <w:spacing w:after="0"/>
        <w:jc w:val="both"/>
        <w:rPr>
          <w:rFonts w:ascii="Arial" w:hAnsi="Arial" w:cs="Arial"/>
          <w:sz w:val="24"/>
          <w:szCs w:val="24"/>
        </w:rPr>
      </w:pPr>
      <w:r w:rsidRPr="00722DF4">
        <w:rPr>
          <w:rFonts w:ascii="Arial" w:hAnsi="Arial" w:cs="Arial"/>
          <w:sz w:val="24"/>
          <w:szCs w:val="24"/>
        </w:rPr>
        <w:t>Od ispitivanih mjernih mjesta p</w:t>
      </w:r>
      <w:r w:rsidR="00F33D64" w:rsidRPr="00722DF4">
        <w:rPr>
          <w:rFonts w:ascii="Arial" w:hAnsi="Arial" w:cs="Arial"/>
          <w:sz w:val="24"/>
          <w:szCs w:val="24"/>
        </w:rPr>
        <w:t>rema propisanom bonitetu treba</w:t>
      </w:r>
      <w:r w:rsidRPr="00722DF4">
        <w:rPr>
          <w:rFonts w:ascii="Arial" w:hAnsi="Arial" w:cs="Arial"/>
          <w:sz w:val="24"/>
          <w:szCs w:val="24"/>
        </w:rPr>
        <w:t xml:space="preserve"> da pripadnu 50% I klasi, a 50% II klasi kvaliteta. Dobijeni rezultati pokazuju da je: 10,7% pripalo oligosaprobnoj zoni (I), 28,6% pripalo je β(beta)mezosaprobnoj zoni (I-II) i 60,7% β(beta)mezosaprobnoj zoni (II). Znači 28,6% bilo je na granici prelaska I u II klasu, odnosno blagu tendenciju pogoršanja kvaliteta, a 10,7% mjenih mjestaje izašlo iz I kase u II (Crnojevića Rijeka, Lim ispod izvorišta u Plavu i Ćehotina iznad grada). Najbolji kvalitet sa sa</w:t>
      </w:r>
      <w:r w:rsidR="00F33D64" w:rsidRPr="00722DF4">
        <w:rPr>
          <w:rFonts w:ascii="Arial" w:hAnsi="Arial" w:cs="Arial"/>
          <w:sz w:val="24"/>
          <w:szCs w:val="24"/>
        </w:rPr>
        <w:t xml:space="preserve"> </w:t>
      </w:r>
      <w:r w:rsidRPr="00722DF4">
        <w:rPr>
          <w:rFonts w:ascii="Arial" w:hAnsi="Arial" w:cs="Arial"/>
          <w:sz w:val="24"/>
          <w:szCs w:val="24"/>
        </w:rPr>
        <w:t>probiološkog aspekta imala je voda Zlorečice (1,2-1,3), dok najveći index saprobnosti (1,9-2,0) imaju vode Morače ispod gradskog kolektora, zatim Ćehotine ispod Pljevalja, Ibra na Baću i Lima na</w:t>
      </w:r>
      <w:r w:rsidR="00AB6285" w:rsidRPr="00722DF4">
        <w:rPr>
          <w:rFonts w:ascii="Arial" w:hAnsi="Arial" w:cs="Arial"/>
          <w:sz w:val="24"/>
          <w:szCs w:val="24"/>
        </w:rPr>
        <w:t>Dobrakovu. Upoređujući prvu seriju uzorkovanja sa drugom, 71,4 % uzoroka imalo blago pomjeranje ineksa saprobnosti (za 0,1) drugim uzorkovanjem, što su uticali niži vodostaji rijeka i veće temperature vode.</w:t>
      </w:r>
    </w:p>
    <w:p w:rsidR="00EF2394" w:rsidRPr="00722DF4" w:rsidRDefault="00EF2394" w:rsidP="00722DF4">
      <w:pPr>
        <w:spacing w:after="0"/>
        <w:jc w:val="both"/>
        <w:rPr>
          <w:rFonts w:ascii="Arial" w:hAnsi="Arial" w:cs="Arial"/>
          <w:sz w:val="24"/>
          <w:szCs w:val="24"/>
        </w:rPr>
      </w:pPr>
    </w:p>
    <w:p w:rsidR="00F33D64" w:rsidRDefault="00AB6285" w:rsidP="00722DF4">
      <w:pPr>
        <w:spacing w:after="0"/>
        <w:jc w:val="both"/>
        <w:rPr>
          <w:rFonts w:ascii="Arial" w:hAnsi="Arial" w:cs="Arial"/>
          <w:sz w:val="24"/>
          <w:szCs w:val="24"/>
        </w:rPr>
      </w:pPr>
      <w:r w:rsidRPr="00722DF4">
        <w:rPr>
          <w:rFonts w:ascii="Arial" w:hAnsi="Arial" w:cs="Arial"/>
          <w:sz w:val="24"/>
          <w:szCs w:val="24"/>
        </w:rPr>
        <w:t xml:space="preserve"> U gornjim tokovima, kao i prošlih godina, vode su čistije bez jačeg organskog zagađenja, prolaskom kroz urbana područja, vodotoci primaju otpadne vode koncentrisanih i tačkastih zagadjenja i njihove vode prelaze ili pripadaju klasi slabijeg kvaliteta. Tumačeći kvalitet voda sa hidrobiološkog aspekta kvalitet voda ispitivanih vodotoka tokom 2017. bio je odličan - I klasa ili u većini slučajeva dobrar - II klasa. Indeks saprobnosti/Saprobic Index (SI) je biološki indikator statusa voda koji se koristi za ocenu nivoa organskog zagađenja. Stepen saprobnosti reflektuje intenzitet procesa degradacije organske supstance u ekosistemu.</w:t>
      </w:r>
    </w:p>
    <w:p w:rsidR="00EF2394" w:rsidRPr="00722DF4" w:rsidRDefault="00EF2394" w:rsidP="00722DF4">
      <w:pPr>
        <w:spacing w:after="0"/>
        <w:jc w:val="both"/>
        <w:rPr>
          <w:rFonts w:ascii="Arial" w:hAnsi="Arial" w:cs="Arial"/>
          <w:sz w:val="24"/>
          <w:szCs w:val="24"/>
        </w:rPr>
      </w:pPr>
    </w:p>
    <w:p w:rsidR="006B6BC8" w:rsidRDefault="00F33D64" w:rsidP="00722DF4">
      <w:pPr>
        <w:pStyle w:val="Heading4"/>
        <w:numPr>
          <w:ilvl w:val="0"/>
          <w:numId w:val="0"/>
        </w:numPr>
        <w:spacing w:before="0"/>
        <w:jc w:val="both"/>
        <w:rPr>
          <w:rFonts w:ascii="Arial" w:hAnsi="Arial" w:cs="Arial"/>
          <w:szCs w:val="24"/>
        </w:rPr>
      </w:pPr>
      <w:r w:rsidRPr="00722DF4">
        <w:rPr>
          <w:rFonts w:ascii="Arial" w:hAnsi="Arial" w:cs="Arial"/>
          <w:szCs w:val="24"/>
        </w:rPr>
        <w:t>2</w:t>
      </w:r>
      <w:r w:rsidR="00323986" w:rsidRPr="00722DF4">
        <w:rPr>
          <w:rFonts w:ascii="Arial" w:hAnsi="Arial" w:cs="Arial"/>
          <w:szCs w:val="24"/>
        </w:rPr>
        <w:t>.5.</w:t>
      </w:r>
      <w:r w:rsidR="00D710A2" w:rsidRPr="00722DF4">
        <w:rPr>
          <w:rFonts w:ascii="Arial" w:hAnsi="Arial" w:cs="Arial"/>
          <w:szCs w:val="24"/>
        </w:rPr>
        <w:t>2.2</w:t>
      </w:r>
      <w:r w:rsidRPr="00722DF4">
        <w:rPr>
          <w:rFonts w:ascii="Arial" w:hAnsi="Arial" w:cs="Arial"/>
          <w:szCs w:val="24"/>
        </w:rPr>
        <w:t xml:space="preserve"> </w:t>
      </w:r>
      <w:r w:rsidR="008E0642" w:rsidRPr="00722DF4">
        <w:rPr>
          <w:rFonts w:ascii="Arial" w:hAnsi="Arial" w:cs="Arial"/>
          <w:szCs w:val="24"/>
        </w:rPr>
        <w:t>Kvalitet vode prirodnih akumulacija</w:t>
      </w:r>
      <w:r w:rsidR="006B6BC8" w:rsidRPr="00722DF4">
        <w:rPr>
          <w:rFonts w:ascii="Arial" w:hAnsi="Arial" w:cs="Arial"/>
          <w:szCs w:val="24"/>
        </w:rPr>
        <w:t xml:space="preserve"> – jezera</w:t>
      </w:r>
    </w:p>
    <w:p w:rsidR="00EF2394" w:rsidRPr="00EF2394" w:rsidRDefault="00EF2394" w:rsidP="00EF2394">
      <w:pPr>
        <w:pStyle w:val="Body"/>
      </w:pPr>
    </w:p>
    <w:p w:rsidR="006B6BC8" w:rsidRDefault="00815D23" w:rsidP="00722DF4">
      <w:pPr>
        <w:spacing w:after="0"/>
        <w:jc w:val="both"/>
        <w:rPr>
          <w:rFonts w:ascii="Arial" w:hAnsi="Arial" w:cs="Arial"/>
          <w:sz w:val="24"/>
          <w:szCs w:val="24"/>
        </w:rPr>
      </w:pPr>
      <w:r w:rsidRPr="00722DF4">
        <w:rPr>
          <w:rFonts w:ascii="Arial" w:hAnsi="Arial" w:cs="Arial"/>
          <w:b/>
          <w:sz w:val="24"/>
          <w:szCs w:val="24"/>
        </w:rPr>
        <w:t>Skadarsko jezero</w:t>
      </w:r>
      <w:r w:rsidRPr="00722DF4">
        <w:rPr>
          <w:rFonts w:ascii="Arial" w:hAnsi="Arial" w:cs="Arial"/>
          <w:sz w:val="24"/>
          <w:szCs w:val="24"/>
        </w:rPr>
        <w:t xml:space="preserve"> se uzorkuje na 9 mjesta i vode su mu svrstane u A2CK2 klasu boniteta. Temperatura vode su varile tokom godine, zavisno od perioda uzorkovanja, a kretale su</w:t>
      </w:r>
      <w:r w:rsidR="00F33D64" w:rsidRPr="00722DF4">
        <w:rPr>
          <w:rFonts w:ascii="Arial" w:hAnsi="Arial" w:cs="Arial"/>
          <w:sz w:val="24"/>
          <w:szCs w:val="24"/>
        </w:rPr>
        <w:t xml:space="preserve"> se u površinskom sloju, od 7,3 °C u decembru (Kamenik) do 30,2 °</w:t>
      </w:r>
      <w:r w:rsidRPr="00722DF4">
        <w:rPr>
          <w:rFonts w:ascii="Arial" w:hAnsi="Arial" w:cs="Arial"/>
          <w:sz w:val="24"/>
          <w:szCs w:val="24"/>
        </w:rPr>
        <w:t>C u avgustu (Plavnica). Providnost vode najveća je bila u junu, i izmjerena je 5,90</w:t>
      </w:r>
      <w:r w:rsidR="00F33D64" w:rsidRPr="00722DF4">
        <w:rPr>
          <w:rFonts w:ascii="Arial" w:hAnsi="Arial" w:cs="Arial"/>
          <w:sz w:val="24"/>
          <w:szCs w:val="24"/>
        </w:rPr>
        <w:t xml:space="preserve"> </w:t>
      </w:r>
      <w:r w:rsidRPr="00722DF4">
        <w:rPr>
          <w:rFonts w:ascii="Arial" w:hAnsi="Arial" w:cs="Arial"/>
          <w:sz w:val="24"/>
          <w:szCs w:val="24"/>
        </w:rPr>
        <w:t xml:space="preserve">m na sredini jezera. U ostalim mjerenjima bila je manja i u pelagijalu i u litoralu i kretala se uglavnom od 0,80 - 3 m. Od određenih klasa 77,4% bilo je u propisanoj klasi, a 10,4% VK i to po sadržaju: TOC-a (na svim profilima), jonskom odnosu Ca/Mg (na profilu Virpazar), sadržaju fenola za klasu S/C - za život riba (Vranjina, Virpazar, Plavnica i Starčevo) i mikrobiološki parametri u klasi Š. Pomjeranje ravnoteže, to jest prelazak u A3 klasu, uglavnom imaju parametri: jonski odnos Ca/Mg, temperatura, zasićenje kiseonikom, amonijak, fosfati, nitriti, fenoli i deterdženti, a što se tiče profila to su oni koji su pod uticajem dolaznih rijeka </w:t>
      </w:r>
      <w:r w:rsidRPr="00722DF4">
        <w:rPr>
          <w:rFonts w:ascii="Arial" w:hAnsi="Arial" w:cs="Arial"/>
          <w:sz w:val="24"/>
          <w:szCs w:val="24"/>
        </w:rPr>
        <w:lastRenderedPageBreak/>
        <w:t xml:space="preserve">- Morače, Crnojevića Rijeke, Rijeke Plavnice i Virpazarke rijeke (Virpazar, Vranjina, Moračnik, Plavnica). </w:t>
      </w:r>
    </w:p>
    <w:p w:rsidR="00EF2394" w:rsidRPr="00722DF4" w:rsidRDefault="00EF2394" w:rsidP="00722DF4">
      <w:pPr>
        <w:spacing w:after="0"/>
        <w:jc w:val="both"/>
        <w:rPr>
          <w:rFonts w:ascii="Arial" w:hAnsi="Arial" w:cs="Arial"/>
          <w:sz w:val="24"/>
          <w:szCs w:val="24"/>
        </w:rPr>
      </w:pPr>
    </w:p>
    <w:p w:rsidR="006B6BC8" w:rsidRPr="00722DF4" w:rsidRDefault="00815D23" w:rsidP="00722DF4">
      <w:pPr>
        <w:spacing w:after="0"/>
        <w:jc w:val="both"/>
        <w:rPr>
          <w:rFonts w:ascii="Arial" w:hAnsi="Arial" w:cs="Arial"/>
          <w:sz w:val="24"/>
          <w:szCs w:val="24"/>
        </w:rPr>
      </w:pPr>
      <w:r w:rsidRPr="00722DF4">
        <w:rPr>
          <w:rFonts w:ascii="Arial" w:hAnsi="Arial" w:cs="Arial"/>
          <w:sz w:val="24"/>
          <w:szCs w:val="24"/>
        </w:rPr>
        <w:t xml:space="preserve">Što se tiče mikrobioloških parametara i klase vode za kupanje bili su u zahtijevanom bonitetu, a sadržaj koli bakterija bio je još i u boljem stanju od propisanog na nekim mjernim mjestima A1 S, odnosno K1 klasi - Kamenik, Podhum, Starčevo, Moračnik i Centar jezera. AS Vranjina pratila je kvalitet vode preko 4 parametra: temperatura, elektroprovodljvost, sadržaj kiseonika i zasićenje kiseonika kao i visinu vodenog stuba (H). Senzori za pH i hlorofil nijesu bili u funkciji.Vrijednosti parametara se odnose na cijelu godinu i ostvarenje mjerenja stanice je bilo 61,7- 99,8%. </w:t>
      </w:r>
    </w:p>
    <w:p w:rsidR="006B6BC8" w:rsidRDefault="00815D23" w:rsidP="00722DF4">
      <w:pPr>
        <w:spacing w:after="0"/>
        <w:jc w:val="both"/>
        <w:rPr>
          <w:rFonts w:ascii="Arial" w:hAnsi="Arial" w:cs="Arial"/>
          <w:sz w:val="24"/>
          <w:szCs w:val="24"/>
        </w:rPr>
      </w:pPr>
      <w:r w:rsidRPr="00722DF4">
        <w:rPr>
          <w:rFonts w:ascii="Arial" w:hAnsi="Arial" w:cs="Arial"/>
          <w:sz w:val="24"/>
          <w:szCs w:val="24"/>
        </w:rPr>
        <w:t>Tem</w:t>
      </w:r>
      <w:r w:rsidR="00F33D64" w:rsidRPr="00722DF4">
        <w:rPr>
          <w:rFonts w:ascii="Arial" w:hAnsi="Arial" w:cs="Arial"/>
          <w:sz w:val="24"/>
          <w:szCs w:val="24"/>
        </w:rPr>
        <w:t>peratura vode se kretala od 0,0 °</w:t>
      </w:r>
      <w:r w:rsidRPr="00722DF4">
        <w:rPr>
          <w:rFonts w:ascii="Arial" w:hAnsi="Arial" w:cs="Arial"/>
          <w:sz w:val="24"/>
          <w:szCs w:val="24"/>
        </w:rPr>
        <w:t>C kao minimalna v</w:t>
      </w:r>
      <w:r w:rsidR="00F33D64" w:rsidRPr="00722DF4">
        <w:rPr>
          <w:rFonts w:ascii="Arial" w:hAnsi="Arial" w:cs="Arial"/>
          <w:sz w:val="24"/>
          <w:szCs w:val="24"/>
        </w:rPr>
        <w:t>rijednost (januar), odnosno 5,2 °</w:t>
      </w:r>
      <w:r w:rsidRPr="00722DF4">
        <w:rPr>
          <w:rFonts w:ascii="Arial" w:hAnsi="Arial" w:cs="Arial"/>
          <w:sz w:val="24"/>
          <w:szCs w:val="24"/>
        </w:rPr>
        <w:t>C kao mi</w:t>
      </w:r>
      <w:r w:rsidR="00F33D64" w:rsidRPr="00722DF4">
        <w:rPr>
          <w:rFonts w:ascii="Arial" w:hAnsi="Arial" w:cs="Arial"/>
          <w:sz w:val="24"/>
          <w:szCs w:val="24"/>
        </w:rPr>
        <w:t>nimalni 95 - percentil, do 30,8 °</w:t>
      </w:r>
      <w:r w:rsidRPr="00722DF4">
        <w:rPr>
          <w:rFonts w:ascii="Arial" w:hAnsi="Arial" w:cs="Arial"/>
          <w:sz w:val="24"/>
          <w:szCs w:val="24"/>
        </w:rPr>
        <w:t>C kao maksimalna vrijednosti (av</w:t>
      </w:r>
      <w:r w:rsidR="00F33D64" w:rsidRPr="00722DF4">
        <w:rPr>
          <w:rFonts w:ascii="Arial" w:hAnsi="Arial" w:cs="Arial"/>
          <w:sz w:val="24"/>
          <w:szCs w:val="24"/>
        </w:rPr>
        <w:t>gust), odnosno 28,2 °</w:t>
      </w:r>
      <w:r w:rsidRPr="00722DF4">
        <w:rPr>
          <w:rFonts w:ascii="Arial" w:hAnsi="Arial" w:cs="Arial"/>
          <w:sz w:val="24"/>
          <w:szCs w:val="24"/>
        </w:rPr>
        <w:t xml:space="preserve">C kao maksimalni 95 - percentil, koje su bile vrlo niske i vrlo visoke, i voda je svrstana VK po min percentilu kao vrlo hladna, odnosno u A3 po max percentilu kao dosta topla, na ovom profilu. </w:t>
      </w:r>
    </w:p>
    <w:p w:rsidR="00EF2394" w:rsidRPr="00722DF4" w:rsidRDefault="00EF2394" w:rsidP="00722DF4">
      <w:pPr>
        <w:spacing w:after="0"/>
        <w:jc w:val="both"/>
        <w:rPr>
          <w:rFonts w:ascii="Arial" w:hAnsi="Arial" w:cs="Arial"/>
          <w:sz w:val="24"/>
          <w:szCs w:val="24"/>
        </w:rPr>
      </w:pPr>
    </w:p>
    <w:p w:rsidR="006B6BC8" w:rsidRDefault="00815D23" w:rsidP="00722DF4">
      <w:pPr>
        <w:spacing w:after="0"/>
        <w:jc w:val="both"/>
        <w:rPr>
          <w:rFonts w:ascii="Arial" w:hAnsi="Arial" w:cs="Arial"/>
          <w:sz w:val="24"/>
          <w:szCs w:val="24"/>
        </w:rPr>
      </w:pPr>
      <w:r w:rsidRPr="00722DF4">
        <w:rPr>
          <w:rFonts w:ascii="Arial" w:hAnsi="Arial" w:cs="Arial"/>
          <w:sz w:val="24"/>
          <w:szCs w:val="24"/>
        </w:rPr>
        <w:t>Elektroprovodljivost vode se kretala od 173 - 297 µS/cm kao min i max 95 percentil i voda je svrstana u A1 klasu.</w:t>
      </w:r>
      <w:r w:rsidR="00F33D64" w:rsidRPr="00722DF4">
        <w:rPr>
          <w:rFonts w:ascii="Arial" w:hAnsi="Arial" w:cs="Arial"/>
          <w:sz w:val="24"/>
          <w:szCs w:val="24"/>
        </w:rPr>
        <w:t xml:space="preserve"> Zasićenje kiseonikom se kretalo od</w:t>
      </w:r>
      <w:r w:rsidR="00C01018">
        <w:rPr>
          <w:rFonts w:ascii="Arial" w:hAnsi="Arial" w:cs="Arial"/>
          <w:sz w:val="24"/>
          <w:szCs w:val="24"/>
        </w:rPr>
        <w:t xml:space="preserve"> 74 - 105</w:t>
      </w:r>
      <w:r w:rsidRPr="00722DF4">
        <w:rPr>
          <w:rFonts w:ascii="Arial" w:hAnsi="Arial" w:cs="Arial"/>
          <w:sz w:val="24"/>
          <w:szCs w:val="24"/>
        </w:rPr>
        <w:t>% kao minimalni i maksimalni 95 - percentili, a vrijednosti sadržaja samog kiseonika su bile 5,54 - 12,84</w:t>
      </w:r>
      <w:r w:rsidR="00F33D64" w:rsidRPr="00722DF4">
        <w:rPr>
          <w:rFonts w:ascii="Arial" w:hAnsi="Arial" w:cs="Arial"/>
          <w:sz w:val="24"/>
          <w:szCs w:val="24"/>
        </w:rPr>
        <w:t xml:space="preserve"> </w:t>
      </w:r>
      <w:r w:rsidRPr="00722DF4">
        <w:rPr>
          <w:rFonts w:ascii="Arial" w:hAnsi="Arial" w:cs="Arial"/>
          <w:sz w:val="24"/>
          <w:szCs w:val="24"/>
        </w:rPr>
        <w:t>mg/l kao 95 - percentil. Minimalne vrijednosti sadržaja kisonika, a time i saturacije treba uzeti sa rezervom, na koje je uticao najverovatniji mali nivo jezera i mogućnost nedovoljne potopljenosti sonde u vodu. Nivo jezera se kretao na ovom mjestu od 450</w:t>
      </w:r>
      <w:r w:rsidR="00F33D64" w:rsidRPr="00722DF4">
        <w:rPr>
          <w:rFonts w:ascii="Arial" w:hAnsi="Arial" w:cs="Arial"/>
          <w:sz w:val="24"/>
          <w:szCs w:val="24"/>
        </w:rPr>
        <w:t xml:space="preserve"> </w:t>
      </w:r>
      <w:r w:rsidRPr="00722DF4">
        <w:rPr>
          <w:rFonts w:ascii="Arial" w:hAnsi="Arial" w:cs="Arial"/>
          <w:sz w:val="24"/>
          <w:szCs w:val="24"/>
        </w:rPr>
        <w:t>cm (oktobar) do 751</w:t>
      </w:r>
      <w:r w:rsidR="00F33D64" w:rsidRPr="00722DF4">
        <w:rPr>
          <w:rFonts w:ascii="Arial" w:hAnsi="Arial" w:cs="Arial"/>
          <w:sz w:val="24"/>
          <w:szCs w:val="24"/>
        </w:rPr>
        <w:t xml:space="preserve"> </w:t>
      </w:r>
      <w:r w:rsidRPr="00722DF4">
        <w:rPr>
          <w:rFonts w:ascii="Arial" w:hAnsi="Arial" w:cs="Arial"/>
          <w:sz w:val="24"/>
          <w:szCs w:val="24"/>
        </w:rPr>
        <w:t xml:space="preserve">cm (decembar) ili kao min i max 95 percentil 459-687cm. </w:t>
      </w:r>
    </w:p>
    <w:p w:rsidR="00EF2394" w:rsidRPr="00722DF4" w:rsidRDefault="00EF2394" w:rsidP="00722DF4">
      <w:pPr>
        <w:spacing w:after="0"/>
        <w:jc w:val="both"/>
        <w:rPr>
          <w:rFonts w:ascii="Arial" w:hAnsi="Arial" w:cs="Arial"/>
          <w:sz w:val="24"/>
          <w:szCs w:val="24"/>
        </w:rPr>
      </w:pPr>
    </w:p>
    <w:p w:rsidR="00EE0017" w:rsidRDefault="00815D23" w:rsidP="00722DF4">
      <w:pPr>
        <w:spacing w:after="0"/>
        <w:jc w:val="both"/>
        <w:rPr>
          <w:rFonts w:ascii="Arial" w:hAnsi="Arial" w:cs="Arial"/>
          <w:sz w:val="24"/>
          <w:szCs w:val="24"/>
        </w:rPr>
      </w:pPr>
      <w:r w:rsidRPr="00722DF4">
        <w:rPr>
          <w:rFonts w:ascii="Arial" w:hAnsi="Arial" w:cs="Arial"/>
          <w:b/>
          <w:sz w:val="24"/>
          <w:szCs w:val="24"/>
        </w:rPr>
        <w:t>Plavsko jezero</w:t>
      </w:r>
      <w:r w:rsidRPr="00722DF4">
        <w:rPr>
          <w:rFonts w:ascii="Arial" w:hAnsi="Arial" w:cs="Arial"/>
          <w:sz w:val="24"/>
          <w:szCs w:val="24"/>
        </w:rPr>
        <w:t xml:space="preserve"> se uzorkuje na 1 mjestu (kod splava) i voda treba da mu pripada A1SK1 klasi. Temperatura vode u površin</w:t>
      </w:r>
      <w:r w:rsidR="00F33D64" w:rsidRPr="00722DF4">
        <w:rPr>
          <w:rFonts w:ascii="Arial" w:hAnsi="Arial" w:cs="Arial"/>
          <w:sz w:val="24"/>
          <w:szCs w:val="24"/>
        </w:rPr>
        <w:t>kom sloju kretala se 8,2 - 19,0 °</w:t>
      </w:r>
      <w:r w:rsidRPr="00722DF4">
        <w:rPr>
          <w:rFonts w:ascii="Arial" w:hAnsi="Arial" w:cs="Arial"/>
          <w:sz w:val="24"/>
          <w:szCs w:val="24"/>
        </w:rPr>
        <w:t xml:space="preserve">C. Providnost je bila dobra i kretala se između 3,80 - 4,90 m (do dna), što ukazuje na malu produkciju biomase. Od određenih klasa 53,1% bilo je u propisanoj klasi. Pomjeranje kvaliteta vode bilo: 46,9% van svoje klase, a nijedna klasa nije bila u nivou VK. Parametri koji su izlazili iz svoje klase su : jonski odnos Ca/Mg (A3), sadržaj amonijaka (A3C), fosfata (A2), nitrita (A3), HPK (A2), TOC-a (A2), po veličini temperature (A2), zasićenju kiseonikom (A2), sadržaju fenola HPK (A2 C), deterdženata (A3). Mikrobiološki kvalitet jezera po broju koli bakterija je bio u ne zahtijevanu A2 klasu. </w:t>
      </w:r>
    </w:p>
    <w:p w:rsidR="00EF2394" w:rsidRPr="00722DF4" w:rsidRDefault="00EF2394" w:rsidP="00722DF4">
      <w:pPr>
        <w:spacing w:after="0"/>
        <w:jc w:val="both"/>
        <w:rPr>
          <w:rFonts w:ascii="Arial" w:hAnsi="Arial" w:cs="Arial"/>
          <w:sz w:val="24"/>
          <w:szCs w:val="24"/>
        </w:rPr>
      </w:pPr>
    </w:p>
    <w:p w:rsidR="00AC24E6" w:rsidRDefault="00815D23" w:rsidP="00722DF4">
      <w:pPr>
        <w:spacing w:after="0"/>
        <w:jc w:val="both"/>
        <w:rPr>
          <w:rFonts w:ascii="Arial" w:hAnsi="Arial" w:cs="Arial"/>
          <w:sz w:val="24"/>
          <w:szCs w:val="24"/>
        </w:rPr>
      </w:pPr>
      <w:r w:rsidRPr="00722DF4">
        <w:rPr>
          <w:rFonts w:ascii="Arial" w:hAnsi="Arial" w:cs="Arial"/>
          <w:b/>
          <w:sz w:val="24"/>
          <w:szCs w:val="24"/>
        </w:rPr>
        <w:t>Crno jezero</w:t>
      </w:r>
      <w:r w:rsidRPr="00722DF4">
        <w:rPr>
          <w:rFonts w:ascii="Arial" w:hAnsi="Arial" w:cs="Arial"/>
          <w:sz w:val="24"/>
          <w:szCs w:val="24"/>
        </w:rPr>
        <w:t xml:space="preserve"> se uzorkuje na 1 mjestu (kod splava) i voda treba da mu pripada A1SK1 klasi. Temperatura vode u </w:t>
      </w:r>
      <w:r w:rsidR="00F33D64" w:rsidRPr="00722DF4">
        <w:rPr>
          <w:rFonts w:ascii="Arial" w:hAnsi="Arial" w:cs="Arial"/>
          <w:sz w:val="24"/>
          <w:szCs w:val="24"/>
        </w:rPr>
        <w:t>priobalju kretala se 8,0 - 20,0 °</w:t>
      </w:r>
      <w:r w:rsidRPr="00722DF4">
        <w:rPr>
          <w:rFonts w:ascii="Arial" w:hAnsi="Arial" w:cs="Arial"/>
          <w:sz w:val="24"/>
          <w:szCs w:val="24"/>
        </w:rPr>
        <w:t>C i providnost je bila dobra. Od određenih klasa 59,4% bilo je u propisanoj klasi. Pomjeranje kvaliteta vode bilo: 34,4% van svoje klase, a 6,2% klasa bilo je u nivou VK (sadržaj TOC-a i ukupne koli bakterije za klasu</w:t>
      </w:r>
      <w:r w:rsidR="00D02EE8" w:rsidRPr="00722DF4">
        <w:rPr>
          <w:rFonts w:ascii="Arial" w:hAnsi="Arial" w:cs="Arial"/>
          <w:sz w:val="24"/>
          <w:szCs w:val="24"/>
        </w:rPr>
        <w:t xml:space="preserve">Š) . Parametri koji su izlazili iz svoje klase su: jonski odnos Ca/Mg (A3), sadržaj </w:t>
      </w:r>
      <w:r w:rsidR="00D02EE8" w:rsidRPr="00722DF4">
        <w:rPr>
          <w:rFonts w:ascii="Arial" w:hAnsi="Arial" w:cs="Arial"/>
          <w:sz w:val="24"/>
          <w:szCs w:val="24"/>
        </w:rPr>
        <w:lastRenderedPageBreak/>
        <w:t>amonijaka (A3C), fosfata (A2), nitriti (C), HPK (A2), TOC-a (A2), veličina temperature (A2), zasićenje kiseonikom (A2), sadržaj fenola (A2 C) i deterdženati (A3). Mikrobiološki kvalitet jezera po broju koli bakterija je bio u nezahtijevanu A2 klasu. Uzorak se uzima iz plitkog dijela, koji je često obrastao travom, što doprinosi lošijem stanju kvaliteta vode.</w:t>
      </w:r>
    </w:p>
    <w:p w:rsidR="00EF2394" w:rsidRPr="00722DF4" w:rsidRDefault="00EF2394" w:rsidP="00722DF4">
      <w:pPr>
        <w:spacing w:after="0"/>
        <w:jc w:val="both"/>
        <w:rPr>
          <w:rFonts w:ascii="Arial" w:hAnsi="Arial" w:cs="Arial"/>
          <w:sz w:val="24"/>
          <w:szCs w:val="24"/>
        </w:rPr>
      </w:pPr>
    </w:p>
    <w:p w:rsidR="005D3A3E"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943600" cy="2355215"/>
            <wp:effectExtent l="19050" t="0" r="0" b="0"/>
            <wp:docPr id="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srcRect/>
                    <a:stretch>
                      <a:fillRect/>
                    </a:stretch>
                  </pic:blipFill>
                  <pic:spPr bwMode="auto">
                    <a:xfrm>
                      <a:off x="0" y="0"/>
                      <a:ext cx="5943600" cy="2355215"/>
                    </a:xfrm>
                    <a:prstGeom prst="rect">
                      <a:avLst/>
                    </a:prstGeom>
                    <a:noFill/>
                    <a:ln w="9525">
                      <a:noFill/>
                      <a:miter lim="800000"/>
                      <a:headEnd/>
                      <a:tailEnd/>
                    </a:ln>
                  </pic:spPr>
                </pic:pic>
              </a:graphicData>
            </a:graphic>
          </wp:inline>
        </w:drawing>
      </w:r>
    </w:p>
    <w:p w:rsidR="005D3A3E" w:rsidRDefault="00230A38" w:rsidP="00722DF4">
      <w:pPr>
        <w:spacing w:after="0"/>
        <w:jc w:val="both"/>
        <w:rPr>
          <w:rFonts w:ascii="Arial" w:hAnsi="Arial" w:cs="Arial"/>
          <w:bCs/>
        </w:rPr>
      </w:pPr>
      <w:r w:rsidRPr="00B61137">
        <w:rPr>
          <w:rFonts w:ascii="Arial" w:hAnsi="Arial" w:cs="Arial"/>
          <w:b/>
        </w:rPr>
        <w:t>Slika 2.2</w:t>
      </w:r>
      <w:r w:rsidR="00EF2394" w:rsidRPr="00B61137">
        <w:rPr>
          <w:rFonts w:ascii="Arial" w:hAnsi="Arial" w:cs="Arial"/>
          <w:b/>
        </w:rPr>
        <w:t>7</w:t>
      </w:r>
      <w:r w:rsidR="009F5654" w:rsidRPr="00B61137">
        <w:rPr>
          <w:rFonts w:ascii="Arial" w:hAnsi="Arial" w:cs="Arial"/>
        </w:rPr>
        <w:t xml:space="preserve">. </w:t>
      </w:r>
      <w:r w:rsidR="008E0642" w:rsidRPr="00B61137">
        <w:rPr>
          <w:rFonts w:ascii="Arial" w:hAnsi="Arial" w:cs="Arial"/>
        </w:rPr>
        <w:t xml:space="preserve">Klase kvaliteta voda u 2017.g. </w:t>
      </w:r>
      <w:r w:rsidR="008E0642" w:rsidRPr="00B61137">
        <w:rPr>
          <w:rFonts w:ascii="Arial" w:hAnsi="Arial" w:cs="Arial"/>
          <w:bCs/>
        </w:rPr>
        <w:t>AKUMULACIJE</w:t>
      </w:r>
    </w:p>
    <w:p w:rsidR="00B61137" w:rsidRPr="00B61137" w:rsidRDefault="00B61137" w:rsidP="00722DF4">
      <w:pPr>
        <w:spacing w:after="0"/>
        <w:jc w:val="both"/>
        <w:rPr>
          <w:rFonts w:ascii="Arial" w:hAnsi="Arial" w:cs="Arial"/>
          <w:bCs/>
        </w:rPr>
      </w:pPr>
    </w:p>
    <w:p w:rsidR="00EF2394" w:rsidRPr="00722DF4" w:rsidRDefault="00EF2394" w:rsidP="00722DF4">
      <w:pPr>
        <w:spacing w:after="0"/>
        <w:jc w:val="both"/>
        <w:rPr>
          <w:rFonts w:ascii="Arial" w:hAnsi="Arial" w:cs="Arial"/>
          <w:sz w:val="24"/>
          <w:szCs w:val="24"/>
        </w:rPr>
      </w:pPr>
    </w:p>
    <w:p w:rsidR="005D3A3E"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684520" cy="2122170"/>
            <wp:effectExtent l="19050" t="0" r="0" b="0"/>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srcRect/>
                    <a:stretch>
                      <a:fillRect/>
                    </a:stretch>
                  </pic:blipFill>
                  <pic:spPr bwMode="auto">
                    <a:xfrm>
                      <a:off x="0" y="0"/>
                      <a:ext cx="5684520" cy="2122170"/>
                    </a:xfrm>
                    <a:prstGeom prst="rect">
                      <a:avLst/>
                    </a:prstGeom>
                    <a:noFill/>
                    <a:ln w="9525">
                      <a:noFill/>
                      <a:miter lim="800000"/>
                      <a:headEnd/>
                      <a:tailEnd/>
                    </a:ln>
                  </pic:spPr>
                </pic:pic>
              </a:graphicData>
            </a:graphic>
          </wp:inline>
        </w:drawing>
      </w:r>
    </w:p>
    <w:p w:rsidR="008E0642" w:rsidRPr="00B61137" w:rsidRDefault="00EF2394" w:rsidP="00722DF4">
      <w:pPr>
        <w:spacing w:after="0"/>
        <w:jc w:val="both"/>
        <w:rPr>
          <w:rFonts w:ascii="Arial" w:hAnsi="Arial" w:cs="Arial"/>
        </w:rPr>
      </w:pPr>
      <w:r w:rsidRPr="00B61137">
        <w:rPr>
          <w:rFonts w:ascii="Arial" w:hAnsi="Arial" w:cs="Arial"/>
          <w:b/>
        </w:rPr>
        <w:t>Slika 2.28</w:t>
      </w:r>
      <w:r w:rsidR="008E0642" w:rsidRPr="00B61137">
        <w:rPr>
          <w:rFonts w:ascii="Arial" w:hAnsi="Arial" w:cs="Arial"/>
          <w:b/>
        </w:rPr>
        <w:t>.</w:t>
      </w:r>
      <w:r w:rsidR="008E0642" w:rsidRPr="00B61137">
        <w:rPr>
          <w:rFonts w:ascii="Arial" w:hAnsi="Arial" w:cs="Arial"/>
        </w:rPr>
        <w:t xml:space="preserve"> Klase kvaliteta voda u 2017.g. </w:t>
      </w:r>
      <w:r w:rsidR="008E0642" w:rsidRPr="00B61137">
        <w:rPr>
          <w:rFonts w:ascii="Arial" w:hAnsi="Arial" w:cs="Arial"/>
          <w:bCs/>
        </w:rPr>
        <w:t>AKUMULACIJE</w:t>
      </w:r>
    </w:p>
    <w:p w:rsidR="005D3A3E"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5943600" cy="2233930"/>
            <wp:effectExtent l="19050" t="0" r="0" b="0"/>
            <wp:docPr id="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srcRect/>
                    <a:stretch>
                      <a:fillRect/>
                    </a:stretch>
                  </pic:blipFill>
                  <pic:spPr bwMode="auto">
                    <a:xfrm>
                      <a:off x="0" y="0"/>
                      <a:ext cx="5943600" cy="2233930"/>
                    </a:xfrm>
                    <a:prstGeom prst="rect">
                      <a:avLst/>
                    </a:prstGeom>
                    <a:noFill/>
                    <a:ln w="9525">
                      <a:noFill/>
                      <a:miter lim="800000"/>
                      <a:headEnd/>
                      <a:tailEnd/>
                    </a:ln>
                  </pic:spPr>
                </pic:pic>
              </a:graphicData>
            </a:graphic>
          </wp:inline>
        </w:drawing>
      </w:r>
    </w:p>
    <w:p w:rsidR="008E0642" w:rsidRPr="00B61137" w:rsidRDefault="00D6443E" w:rsidP="00722DF4">
      <w:pPr>
        <w:spacing w:after="0"/>
        <w:jc w:val="both"/>
        <w:rPr>
          <w:rFonts w:ascii="Arial" w:hAnsi="Arial" w:cs="Arial"/>
          <w:bCs/>
        </w:rPr>
      </w:pPr>
      <w:r w:rsidRPr="00B61137">
        <w:rPr>
          <w:rFonts w:ascii="Arial" w:hAnsi="Arial" w:cs="Arial"/>
          <w:b/>
        </w:rPr>
        <w:t>Slika 2.29</w:t>
      </w:r>
      <w:r w:rsidR="008E0642" w:rsidRPr="00B61137">
        <w:rPr>
          <w:rFonts w:ascii="Arial" w:hAnsi="Arial" w:cs="Arial"/>
          <w:b/>
        </w:rPr>
        <w:t>.</w:t>
      </w:r>
      <w:r w:rsidRPr="00B61137">
        <w:rPr>
          <w:rFonts w:ascii="Arial" w:hAnsi="Arial" w:cs="Arial"/>
          <w:b/>
        </w:rPr>
        <w:t xml:space="preserve"> </w:t>
      </w:r>
      <w:r w:rsidR="008E0642" w:rsidRPr="00B61137">
        <w:rPr>
          <w:rFonts w:ascii="Arial" w:hAnsi="Arial" w:cs="Arial"/>
        </w:rPr>
        <w:t xml:space="preserve">Klase kvaliteta voda u 2017.g. </w:t>
      </w:r>
      <w:r w:rsidR="008E0642" w:rsidRPr="00B61137">
        <w:rPr>
          <w:rFonts w:ascii="Arial" w:hAnsi="Arial" w:cs="Arial"/>
          <w:bCs/>
        </w:rPr>
        <w:t>AKUMULACIJE</w:t>
      </w:r>
    </w:p>
    <w:p w:rsidR="00D6443E" w:rsidRDefault="00D6443E" w:rsidP="00722DF4">
      <w:pPr>
        <w:spacing w:after="0"/>
        <w:jc w:val="both"/>
        <w:rPr>
          <w:rFonts w:ascii="Arial" w:hAnsi="Arial" w:cs="Arial"/>
          <w:sz w:val="24"/>
          <w:szCs w:val="24"/>
        </w:rPr>
      </w:pPr>
    </w:p>
    <w:p w:rsidR="00B61137" w:rsidRPr="00722DF4" w:rsidRDefault="00B61137" w:rsidP="00722DF4">
      <w:pPr>
        <w:spacing w:after="0"/>
        <w:jc w:val="both"/>
        <w:rPr>
          <w:rFonts w:ascii="Arial" w:hAnsi="Arial" w:cs="Arial"/>
          <w:sz w:val="24"/>
          <w:szCs w:val="24"/>
        </w:rPr>
      </w:pPr>
    </w:p>
    <w:p w:rsidR="006D1A77" w:rsidRDefault="00323986" w:rsidP="00722DF4">
      <w:pPr>
        <w:pStyle w:val="Heading4"/>
        <w:numPr>
          <w:ilvl w:val="0"/>
          <w:numId w:val="0"/>
        </w:numPr>
        <w:spacing w:before="0"/>
        <w:jc w:val="both"/>
        <w:rPr>
          <w:rFonts w:ascii="Arial" w:hAnsi="Arial" w:cs="Arial"/>
          <w:szCs w:val="24"/>
        </w:rPr>
      </w:pPr>
      <w:r w:rsidRPr="00722DF4">
        <w:rPr>
          <w:rFonts w:ascii="Arial" w:hAnsi="Arial" w:cs="Arial"/>
          <w:szCs w:val="24"/>
        </w:rPr>
        <w:t>2.5.</w:t>
      </w:r>
      <w:r w:rsidR="006A75EC" w:rsidRPr="00722DF4">
        <w:rPr>
          <w:rFonts w:ascii="Arial" w:hAnsi="Arial" w:cs="Arial"/>
          <w:szCs w:val="24"/>
        </w:rPr>
        <w:t>2.3</w:t>
      </w:r>
      <w:r w:rsidR="00F33D64" w:rsidRPr="00722DF4">
        <w:rPr>
          <w:rFonts w:ascii="Arial" w:hAnsi="Arial" w:cs="Arial"/>
          <w:szCs w:val="24"/>
        </w:rPr>
        <w:t xml:space="preserve"> Kvalitet</w:t>
      </w:r>
      <w:r w:rsidR="00472AF7" w:rsidRPr="00722DF4">
        <w:rPr>
          <w:rFonts w:ascii="Arial" w:hAnsi="Arial" w:cs="Arial"/>
          <w:szCs w:val="24"/>
        </w:rPr>
        <w:t xml:space="preserve"> podzemnih voda </w:t>
      </w:r>
    </w:p>
    <w:p w:rsidR="00D6443E" w:rsidRPr="00D6443E" w:rsidRDefault="00D6443E" w:rsidP="00D6443E">
      <w:pPr>
        <w:pStyle w:val="Body"/>
      </w:pPr>
    </w:p>
    <w:p w:rsidR="00B81341" w:rsidRDefault="009F5654" w:rsidP="00722DF4">
      <w:pPr>
        <w:spacing w:after="0"/>
        <w:jc w:val="both"/>
        <w:rPr>
          <w:rFonts w:ascii="Arial" w:hAnsi="Arial" w:cs="Arial"/>
          <w:sz w:val="24"/>
          <w:szCs w:val="24"/>
        </w:rPr>
      </w:pPr>
      <w:r w:rsidRPr="00722DF4">
        <w:rPr>
          <w:rFonts w:ascii="Arial" w:hAnsi="Arial" w:cs="Arial"/>
          <w:sz w:val="24"/>
          <w:szCs w:val="24"/>
        </w:rPr>
        <w:t>Vode i</w:t>
      </w:r>
      <w:r w:rsidR="006D1A77" w:rsidRPr="00722DF4">
        <w:rPr>
          <w:rFonts w:ascii="Arial" w:hAnsi="Arial" w:cs="Arial"/>
          <w:sz w:val="24"/>
          <w:szCs w:val="24"/>
        </w:rPr>
        <w:t xml:space="preserve"> izdani Zetske ravnice uzorkuje se na 6 mjesta i svrstane su u najzahtijevanu A klasu, jer voda nekih bunara se koristi i danas za piće bez ikakvog tretmana. Vode bunara su samo u 35,0% klasa bile u zahtijevani bonitet, odnosno u dosta slučajeva su bile ivan propisane klase - 65,0% slučajeva, a od toga je pripadlo 9,2% VK i to po sadržaju: jonskog</w:t>
      </w:r>
      <w:r w:rsidR="00167449" w:rsidRPr="00722DF4">
        <w:rPr>
          <w:rFonts w:ascii="Arial" w:hAnsi="Arial" w:cs="Arial"/>
          <w:sz w:val="24"/>
          <w:szCs w:val="24"/>
        </w:rPr>
        <w:t>odnosa Ca/Mg, TOC-a, fosfata i nitrata. Zagađivači, parametri, njihov sadržaj i prostorni raspored uglavnom je isti kao i predhodnih godina, i kao hemijski najzagađeniji bunari pokazali su se bunari u Vranju, Gostilju i Drešaju, a pridružio se i bunar u Farmacima. Temperatura vode se kretala 13,2 - 20,1 0C u mjernom periodu april-novembar. Najviše ujednačene temperature imala je voda bunara Cijevna 0,8 0C, a najviša variranja bila su kod bunara Grbavci 4,20C. Vode su imale zadovoljavajuće organoleptičke osobine - bez boje i bez karakterističnog mirisa. Posebno je zabrinjavajući sadržaj nitrata kod bunara Vranj, Gostilj i Drešaj , gdje njihovi sadržaji ima visoke vrijednostiii i dostižu do 56,7mg/l, odnosno 32,6 i 19,8mg/l. Ovdje se radi o uticaju vještačkih đubriva - šalitre, jer i sadržaj kalijuma je povišen do 6,4mgK/l – Gostilj, odnosno 10,1mgK/l - Vranj. Mikrobiološko zagađenje pokazali su bunari u Farmacima, Grbavcima, Drešaju i Cijevnoj sa fekalnim bakterijama -A2 klasa i sa koli bakterijama imaju pomjeranje kvaliteta u A1 bunari u Farmacima, Grbavcima,Gostilju i Drešaju. Samo kvalitet bunara u Vranju sa ovog aspekta pripao je zahtijevanom A bonitetu, ali hemijski je zagađen.</w:t>
      </w:r>
    </w:p>
    <w:p w:rsidR="00D6443E" w:rsidRDefault="00D6443E" w:rsidP="00722DF4">
      <w:pPr>
        <w:spacing w:after="0"/>
        <w:jc w:val="both"/>
        <w:rPr>
          <w:rFonts w:ascii="Arial" w:hAnsi="Arial" w:cs="Arial"/>
          <w:sz w:val="24"/>
          <w:szCs w:val="24"/>
        </w:rPr>
      </w:pPr>
    </w:p>
    <w:p w:rsidR="00B61137" w:rsidRDefault="00B61137" w:rsidP="00722DF4">
      <w:pPr>
        <w:spacing w:after="0"/>
        <w:jc w:val="both"/>
        <w:rPr>
          <w:rFonts w:ascii="Arial" w:hAnsi="Arial" w:cs="Arial"/>
          <w:sz w:val="24"/>
          <w:szCs w:val="24"/>
        </w:rPr>
      </w:pPr>
    </w:p>
    <w:p w:rsidR="00B61137" w:rsidRPr="00722DF4" w:rsidRDefault="00B61137" w:rsidP="00722DF4">
      <w:pPr>
        <w:spacing w:after="0"/>
        <w:jc w:val="both"/>
        <w:rPr>
          <w:rFonts w:ascii="Arial" w:hAnsi="Arial" w:cs="Arial"/>
          <w:sz w:val="24"/>
          <w:szCs w:val="24"/>
        </w:rPr>
      </w:pPr>
    </w:p>
    <w:p w:rsidR="00690E9A" w:rsidRDefault="00323986" w:rsidP="00722DF4">
      <w:pPr>
        <w:pStyle w:val="Heading4"/>
        <w:numPr>
          <w:ilvl w:val="0"/>
          <w:numId w:val="0"/>
        </w:numPr>
        <w:spacing w:before="0"/>
        <w:jc w:val="both"/>
        <w:rPr>
          <w:rFonts w:ascii="Arial" w:hAnsi="Arial" w:cs="Arial"/>
          <w:szCs w:val="24"/>
        </w:rPr>
      </w:pPr>
      <w:r w:rsidRPr="00722DF4">
        <w:rPr>
          <w:rFonts w:ascii="Arial" w:hAnsi="Arial" w:cs="Arial"/>
          <w:szCs w:val="24"/>
        </w:rPr>
        <w:lastRenderedPageBreak/>
        <w:t>2.5.</w:t>
      </w:r>
      <w:r w:rsidR="008D5F00" w:rsidRPr="00722DF4">
        <w:rPr>
          <w:rFonts w:ascii="Arial" w:hAnsi="Arial" w:cs="Arial"/>
          <w:szCs w:val="24"/>
        </w:rPr>
        <w:t>2.</w:t>
      </w:r>
      <w:r w:rsidR="006A75EC" w:rsidRPr="00722DF4">
        <w:rPr>
          <w:rFonts w:ascii="Arial" w:hAnsi="Arial" w:cs="Arial"/>
          <w:szCs w:val="24"/>
        </w:rPr>
        <w:t>4</w:t>
      </w:r>
      <w:r w:rsidR="00690E9A" w:rsidRPr="00722DF4">
        <w:rPr>
          <w:rFonts w:ascii="Arial" w:hAnsi="Arial" w:cs="Arial"/>
          <w:szCs w:val="24"/>
        </w:rPr>
        <w:t xml:space="preserve"> Stanje kvaliteta vode za piće</w:t>
      </w:r>
    </w:p>
    <w:p w:rsidR="00D6443E" w:rsidRPr="00D6443E" w:rsidRDefault="00D6443E" w:rsidP="00D6443E">
      <w:pPr>
        <w:pStyle w:val="Body"/>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Shodno važećim propisima u Crnoj Gori, kontrolu zdravstvene ispravnosti i kvaliteta vode za piće, kao i sanitarno higijenskog stanja objekata za vodosnabdijevanje vrše zdravstve ustanove.</w:t>
      </w: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 </w:t>
      </w: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2016.</w:t>
      </w:r>
      <w:r w:rsidR="008D5F00" w:rsidRPr="00722DF4">
        <w:rPr>
          <w:rFonts w:ascii="Arial" w:hAnsi="Arial" w:cs="Arial"/>
          <w:sz w:val="24"/>
          <w:szCs w:val="24"/>
        </w:rPr>
        <w:t xml:space="preserve"> </w:t>
      </w:r>
      <w:r w:rsidRPr="00722DF4">
        <w:rPr>
          <w:rFonts w:ascii="Arial" w:hAnsi="Arial" w:cs="Arial"/>
          <w:sz w:val="24"/>
          <w:szCs w:val="24"/>
        </w:rPr>
        <w:t>godini ispitivanje vode za piće iz sistema z</w:t>
      </w:r>
      <w:r w:rsidR="00323986" w:rsidRPr="00722DF4">
        <w:rPr>
          <w:rFonts w:ascii="Arial" w:hAnsi="Arial" w:cs="Arial"/>
          <w:sz w:val="24"/>
          <w:szCs w:val="24"/>
        </w:rPr>
        <w:t>a vodosnabdijevanje vršeno je u</w:t>
      </w:r>
      <w:r w:rsidRPr="00722DF4">
        <w:rPr>
          <w:rFonts w:ascii="Arial" w:hAnsi="Arial" w:cs="Arial"/>
          <w:sz w:val="24"/>
          <w:szCs w:val="24"/>
        </w:rPr>
        <w:t xml:space="preserve"> Institutu za javno zdravlje Podgorica,Higijensko epidemiološkoj HE službi Doma zdravlja Bar, JP Vodovod i kanalizacija Podgorica. Zdravstvene ustanove Instituta za javno zdravlje i laboratorije DZ Bar vrše ispitivanja vode za piće u 22 od ukupno 23</w:t>
      </w:r>
      <w:r w:rsidR="00323986" w:rsidRPr="00722DF4">
        <w:rPr>
          <w:rFonts w:ascii="Arial" w:hAnsi="Arial" w:cs="Arial"/>
          <w:sz w:val="24"/>
          <w:szCs w:val="24"/>
        </w:rPr>
        <w:t xml:space="preserve"> </w:t>
      </w:r>
      <w:r w:rsidRPr="00722DF4">
        <w:rPr>
          <w:rFonts w:ascii="Arial" w:hAnsi="Arial" w:cs="Arial"/>
          <w:sz w:val="24"/>
          <w:szCs w:val="24"/>
        </w:rPr>
        <w:t>opštine. Analiza uzoraka vode za piće iz vodovodnog Sistema opštine Pljevlja, u obimu osnovnog pregleda, vrši se u Zavodu za javno zdravlje Užice, dok se periodični pregled uzoraka vode za piće vrši u Institutu za javno zdravlje Crne Gore.</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Ispitivanje bezbjednosti vode u Opštini Petnjica prema podacima Instituta za javno zdravlje</w:t>
      </w:r>
      <w:r w:rsidR="00D6443E">
        <w:rPr>
          <w:rFonts w:ascii="Arial" w:hAnsi="Arial" w:cs="Arial"/>
          <w:sz w:val="24"/>
          <w:szCs w:val="24"/>
        </w:rPr>
        <w:t xml:space="preserve"> </w:t>
      </w:r>
      <w:r w:rsidRPr="00722DF4">
        <w:rPr>
          <w:rFonts w:ascii="Arial" w:hAnsi="Arial" w:cs="Arial"/>
          <w:sz w:val="24"/>
          <w:szCs w:val="24"/>
        </w:rPr>
        <w:t>u 2016</w:t>
      </w:r>
      <w:r w:rsidR="00323986" w:rsidRPr="00722DF4">
        <w:rPr>
          <w:rFonts w:ascii="Arial" w:hAnsi="Arial" w:cs="Arial"/>
          <w:sz w:val="24"/>
          <w:szCs w:val="24"/>
        </w:rPr>
        <w:t>.</w:t>
      </w:r>
      <w:r w:rsidRPr="00722DF4">
        <w:rPr>
          <w:rFonts w:ascii="Arial" w:hAnsi="Arial" w:cs="Arial"/>
          <w:sz w:val="24"/>
          <w:szCs w:val="24"/>
        </w:rPr>
        <w:t xml:space="preserve"> godini je rađeno u novembru mjesecu u obimu osnovnog pregleda. Institut za javno zdravlje prikuplja ,analizira, prikazuje rezultate zdravstvene ispravnosti vode za piće iz vodovodnih sistema na teritoriji Crne Gore, i daje odgovarajuće preporuke.</w:t>
      </w:r>
    </w:p>
    <w:p w:rsidR="00690E9A" w:rsidRPr="00722DF4" w:rsidRDefault="00690E9A" w:rsidP="00722DF4">
      <w:pPr>
        <w:autoSpaceDE w:val="0"/>
        <w:autoSpaceDN w:val="0"/>
        <w:adjustRightInd w:val="0"/>
        <w:spacing w:after="0"/>
        <w:jc w:val="both"/>
        <w:rPr>
          <w:rFonts w:ascii="Arial" w:hAnsi="Arial" w:cs="Arial"/>
          <w:sz w:val="24"/>
          <w:szCs w:val="24"/>
        </w:rPr>
      </w:pPr>
    </w:p>
    <w:p w:rsidR="00323986"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Svjetska zdravstvena organizacija (WHO) je kvalitet vode za piće svrstala u dvanaest osnovnih pokazatelja zdravstvenog stanja stanovništva jedne zemlje, što potvrđuje njenu značajnu ulogu u zaštiti i unapređenju zdravlja. Voda koja se koristi za piće, pripremanje hrane i održavanje lične i opšte higijene mora zadovoljiti osnovne zdravstvene i higijenske zahtjeve: mora je biti u dovoljnoj količini; ne smije da utiče nepovoljno na zdravlje, tj. da sadrži toksične i karcinogene supstance, kao ni patogene mikroorganizme i parazite.</w:t>
      </w:r>
    </w:p>
    <w:p w:rsidR="00D6443E" w:rsidRPr="00722DF4" w:rsidRDefault="00D6443E"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Voda ima veliki fiziološki, higijenski, epidemiološki i tehnološko – ekonomski značaj. Higijensko epidemiološki značaj vode zavisi od njenih fizičkih, hemijskih i bioloških osobina. Ove osobine uslovljene su kruženjem vode u prirodi, sposobnošću vode i zemljišta da se samoprečišćavaju, kao i od zagađivanja voda i zemljišta tečnim i čvrstim otpadom iz domaćinstava, industrije, sa javnih i obradivih površina. Nedovoljna snadbjevenost vodom i higijenski neispravna voda mogu dovesti do širenja brojnih zaraznih i nezaraznih oboljenja. U skladu sa važećim propisima higijenska ispravnosti vode za piće se kontroliše kroz osnovna i periodična ispitivanja, a prema broju ekvivalent stanovnika. Kompletna ispitivanja se rade samo po zahtjevu u okviru istražnih radova kod novih vodozahvata a ne i u postojećim vodovodima.</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 osnovu rezultata ispitivanja higijenske ispravnosti vode za piće i sanitarno-higijenskog stanja vodovodnih objekata može se zaključiti:</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D6443E" w:rsidRDefault="00690E9A" w:rsidP="00663F7F">
      <w:pPr>
        <w:numPr>
          <w:ilvl w:val="0"/>
          <w:numId w:val="16"/>
        </w:numPr>
        <w:autoSpaceDE w:val="0"/>
        <w:autoSpaceDN w:val="0"/>
        <w:adjustRightInd w:val="0"/>
        <w:spacing w:after="0"/>
        <w:jc w:val="both"/>
        <w:rPr>
          <w:rFonts w:ascii="Arial" w:hAnsi="Arial" w:cs="Arial"/>
          <w:sz w:val="24"/>
          <w:szCs w:val="24"/>
        </w:rPr>
      </w:pPr>
      <w:r w:rsidRPr="00722DF4">
        <w:rPr>
          <w:rFonts w:ascii="Arial" w:hAnsi="Arial" w:cs="Arial"/>
          <w:sz w:val="24"/>
          <w:szCs w:val="24"/>
        </w:rPr>
        <w:t>U 2016.</w:t>
      </w:r>
      <w:r w:rsidR="00323986" w:rsidRPr="00722DF4">
        <w:rPr>
          <w:rFonts w:ascii="Arial" w:hAnsi="Arial" w:cs="Arial"/>
          <w:sz w:val="24"/>
          <w:szCs w:val="24"/>
        </w:rPr>
        <w:t xml:space="preserve"> </w:t>
      </w:r>
      <w:r w:rsidRPr="00722DF4">
        <w:rPr>
          <w:rFonts w:ascii="Arial" w:hAnsi="Arial" w:cs="Arial"/>
          <w:sz w:val="24"/>
          <w:szCs w:val="24"/>
        </w:rPr>
        <w:t>godini na teritoriji Crne Gore ukupno je analizirano 11478 uzoraka voda za piće sa gradskih vodovoda i drugih javnih</w:t>
      </w:r>
      <w:r w:rsidR="00323986" w:rsidRPr="00722DF4">
        <w:rPr>
          <w:rFonts w:ascii="Arial" w:hAnsi="Arial" w:cs="Arial"/>
          <w:sz w:val="24"/>
          <w:szCs w:val="24"/>
        </w:rPr>
        <w:t xml:space="preserve"> objekata vodosnabdijevanja</w:t>
      </w:r>
      <w:r w:rsidRPr="00722DF4">
        <w:rPr>
          <w:rFonts w:ascii="Arial" w:hAnsi="Arial" w:cs="Arial"/>
          <w:sz w:val="24"/>
          <w:szCs w:val="24"/>
        </w:rPr>
        <w:t>.</w:t>
      </w:r>
    </w:p>
    <w:p w:rsidR="00690E9A" w:rsidRPr="00D6443E" w:rsidRDefault="00690E9A" w:rsidP="00663F7F">
      <w:pPr>
        <w:numPr>
          <w:ilvl w:val="0"/>
          <w:numId w:val="16"/>
        </w:numPr>
        <w:autoSpaceDE w:val="0"/>
        <w:autoSpaceDN w:val="0"/>
        <w:adjustRightInd w:val="0"/>
        <w:spacing w:after="0"/>
        <w:jc w:val="both"/>
        <w:rPr>
          <w:rFonts w:ascii="Arial" w:hAnsi="Arial" w:cs="Arial"/>
          <w:sz w:val="24"/>
          <w:szCs w:val="24"/>
        </w:rPr>
      </w:pPr>
      <w:r w:rsidRPr="00722DF4">
        <w:rPr>
          <w:rFonts w:ascii="Arial" w:hAnsi="Arial" w:cs="Arial"/>
          <w:sz w:val="24"/>
          <w:szCs w:val="24"/>
        </w:rPr>
        <w:t>Prema rezultatima mikrobioloških ispitivanja 6,6% ispitanih uzoraka hlorisanih voda ne zadovoljava propisane norme higijenske ispravnosti, najčešće zbog povećanog prisustva Aerobnih mezofilnih bakterija i prisustva indikatora fekalnog zagađenja.</w:t>
      </w:r>
    </w:p>
    <w:p w:rsidR="00690E9A" w:rsidRPr="00D6443E" w:rsidRDefault="00690E9A" w:rsidP="00663F7F">
      <w:pPr>
        <w:numPr>
          <w:ilvl w:val="0"/>
          <w:numId w:val="16"/>
        </w:numPr>
        <w:autoSpaceDE w:val="0"/>
        <w:autoSpaceDN w:val="0"/>
        <w:adjustRightInd w:val="0"/>
        <w:spacing w:after="0"/>
        <w:jc w:val="both"/>
        <w:rPr>
          <w:rFonts w:ascii="Arial" w:hAnsi="Arial" w:cs="Arial"/>
          <w:sz w:val="24"/>
          <w:szCs w:val="24"/>
        </w:rPr>
      </w:pPr>
      <w:r w:rsidRPr="00722DF4">
        <w:rPr>
          <w:rFonts w:ascii="Arial" w:hAnsi="Arial" w:cs="Arial"/>
          <w:sz w:val="24"/>
          <w:szCs w:val="24"/>
        </w:rPr>
        <w:t>Na osnovu rezultata fizičko-hemijskih ispitivanja 6,5 % ispitanih uzoraka hlorisanih voda nije odgovaralo</w:t>
      </w:r>
      <w:r w:rsidR="00323986" w:rsidRPr="00722DF4">
        <w:rPr>
          <w:rFonts w:ascii="Arial" w:hAnsi="Arial" w:cs="Arial"/>
          <w:sz w:val="24"/>
          <w:szCs w:val="24"/>
        </w:rPr>
        <w:t xml:space="preserve"> uslovima iz Pravilnika</w:t>
      </w:r>
      <w:r w:rsidRPr="00722DF4">
        <w:rPr>
          <w:rFonts w:ascii="Arial" w:hAnsi="Arial" w:cs="Arial"/>
          <w:sz w:val="24"/>
          <w:szCs w:val="24"/>
        </w:rPr>
        <w:t>. Najčešći uzrok je nedovoljna koncentracija ili potpuno odsustvo rezidualnog hlora kao i povećana mutnoća u periodu obilnijih padavina.</w:t>
      </w:r>
    </w:p>
    <w:p w:rsidR="00690E9A" w:rsidRPr="00722DF4" w:rsidRDefault="00690E9A" w:rsidP="00663F7F">
      <w:pPr>
        <w:numPr>
          <w:ilvl w:val="0"/>
          <w:numId w:val="16"/>
        </w:numPr>
        <w:autoSpaceDE w:val="0"/>
        <w:autoSpaceDN w:val="0"/>
        <w:adjustRightInd w:val="0"/>
        <w:spacing w:after="0"/>
        <w:jc w:val="both"/>
        <w:rPr>
          <w:rFonts w:ascii="Arial" w:hAnsi="Arial" w:cs="Arial"/>
          <w:sz w:val="24"/>
          <w:szCs w:val="24"/>
        </w:rPr>
      </w:pPr>
      <w:r w:rsidRPr="00722DF4">
        <w:rPr>
          <w:rFonts w:ascii="Arial" w:hAnsi="Arial" w:cs="Arial"/>
          <w:sz w:val="24"/>
          <w:szCs w:val="24"/>
        </w:rPr>
        <w:t>Pregledom sanitarno-higijenskog stanja konstatovano je da nijesu uspostavljene sve zakonom propisane zone sanitarne zaštite tj. većina vodozahvata ima uspostavljenu samo neposrednu zonu zaštite. Rezervoari koji postoje u sistemima nekoliko gradskih vodovoda nijesu na adekvatan način sanitarno zaštićeni. Razvodna mreža većine gradskih vodovoda je dosta stara što uzrokuje česte kvarove i značajne gubitke na mreži, što predstavlja i epidemiološki rizik. Dezinfekcija vode se ne sprovodi kontinuirano na svim gradskim vodovodima (posebno oni koji imaju manji broj ekvivalent stanovnika). Sa izuzetkom nekoliko velikih gradskih vodovoda nije uspostavljena automatska dozaža i registracija nivoa rezidualnog hlora.</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Iako je propisana obaveza kontrole higijenske ispra</w:t>
      </w:r>
      <w:r w:rsidR="00323986" w:rsidRPr="00722DF4">
        <w:rPr>
          <w:rFonts w:ascii="Arial" w:hAnsi="Arial" w:cs="Arial"/>
          <w:sz w:val="24"/>
          <w:szCs w:val="24"/>
        </w:rPr>
        <w:t>vnosti vode za piće u školskim i</w:t>
      </w:r>
      <w:r w:rsidRPr="00722DF4">
        <w:rPr>
          <w:rFonts w:ascii="Arial" w:hAnsi="Arial" w:cs="Arial"/>
          <w:sz w:val="24"/>
          <w:szCs w:val="24"/>
        </w:rPr>
        <w:t xml:space="preserve"> predškolskim ustanovama, veći broj ovih ustanova nije ispoštovao ovu obavezu, pa u 2016.</w:t>
      </w:r>
      <w:r w:rsidR="007806FD">
        <w:rPr>
          <w:rFonts w:ascii="Arial" w:hAnsi="Arial" w:cs="Arial"/>
          <w:sz w:val="24"/>
          <w:szCs w:val="24"/>
        </w:rPr>
        <w:t xml:space="preserve"> </w:t>
      </w:r>
      <w:r w:rsidRPr="00722DF4">
        <w:rPr>
          <w:rFonts w:ascii="Arial" w:hAnsi="Arial" w:cs="Arial"/>
          <w:sz w:val="24"/>
          <w:szCs w:val="24"/>
        </w:rPr>
        <w:t>godini nije ispitan predviđeni broj uzoraka vode za piće u vaspitno obrazovnim ustanovama.</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1210F4" w:rsidP="00722DF4">
      <w:pPr>
        <w:autoSpaceDE w:val="0"/>
        <w:autoSpaceDN w:val="0"/>
        <w:adjustRightInd w:val="0"/>
        <w:spacing w:after="0"/>
        <w:jc w:val="both"/>
        <w:rPr>
          <w:rFonts w:ascii="Arial" w:hAnsi="Arial" w:cs="Arial"/>
          <w:sz w:val="24"/>
          <w:szCs w:val="24"/>
        </w:rPr>
      </w:pPr>
      <w:r>
        <w:rPr>
          <w:rFonts w:ascii="Arial" w:hAnsi="Arial" w:cs="Arial"/>
          <w:noProof/>
          <w:sz w:val="24"/>
          <w:szCs w:val="24"/>
        </w:rPr>
        <w:drawing>
          <wp:inline distT="0" distB="0" distL="0" distR="0">
            <wp:extent cx="5943600" cy="2363470"/>
            <wp:effectExtent l="19050" t="0" r="0" b="0"/>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srcRect/>
                    <a:stretch>
                      <a:fillRect/>
                    </a:stretch>
                  </pic:blipFill>
                  <pic:spPr bwMode="auto">
                    <a:xfrm>
                      <a:off x="0" y="0"/>
                      <a:ext cx="5943600" cy="2363470"/>
                    </a:xfrm>
                    <a:prstGeom prst="rect">
                      <a:avLst/>
                    </a:prstGeom>
                    <a:noFill/>
                    <a:ln w="9525">
                      <a:noFill/>
                      <a:miter lim="800000"/>
                      <a:headEnd/>
                      <a:tailEnd/>
                    </a:ln>
                  </pic:spPr>
                </pic:pic>
              </a:graphicData>
            </a:graphic>
          </wp:inline>
        </w:drawing>
      </w:r>
    </w:p>
    <w:p w:rsidR="00690E9A" w:rsidRPr="00B61137" w:rsidRDefault="00D6443E" w:rsidP="00722DF4">
      <w:pPr>
        <w:autoSpaceDE w:val="0"/>
        <w:autoSpaceDN w:val="0"/>
        <w:adjustRightInd w:val="0"/>
        <w:spacing w:after="0"/>
        <w:jc w:val="both"/>
        <w:rPr>
          <w:rFonts w:ascii="Arial" w:hAnsi="Arial" w:cs="Arial"/>
        </w:rPr>
      </w:pPr>
      <w:r w:rsidRPr="00B61137">
        <w:rPr>
          <w:rFonts w:ascii="Arial" w:hAnsi="Arial" w:cs="Arial"/>
          <w:b/>
          <w:bCs/>
          <w:iCs/>
        </w:rPr>
        <w:lastRenderedPageBreak/>
        <w:t>Slika 2.30</w:t>
      </w:r>
      <w:r w:rsidR="00690E9A" w:rsidRPr="00B61137">
        <w:rPr>
          <w:rFonts w:ascii="Arial" w:hAnsi="Arial" w:cs="Arial"/>
          <w:b/>
          <w:bCs/>
          <w:iCs/>
        </w:rPr>
        <w:t xml:space="preserve">. </w:t>
      </w:r>
      <w:r w:rsidR="00690E9A" w:rsidRPr="00B61137">
        <w:rPr>
          <w:rFonts w:ascii="Arial" w:hAnsi="Arial" w:cs="Arial"/>
          <w:iCs/>
        </w:rPr>
        <w:t>Rezultati fizičko-hemijskih ispitivanja uzoraka hlorisane vode za piće</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1210F4" w:rsidP="00722DF4">
      <w:pPr>
        <w:autoSpaceDE w:val="0"/>
        <w:autoSpaceDN w:val="0"/>
        <w:adjustRightInd w:val="0"/>
        <w:spacing w:after="0"/>
        <w:jc w:val="both"/>
        <w:rPr>
          <w:rFonts w:ascii="Arial" w:hAnsi="Arial" w:cs="Arial"/>
          <w:noProof/>
          <w:sz w:val="24"/>
          <w:szCs w:val="24"/>
        </w:rPr>
      </w:pPr>
      <w:r>
        <w:rPr>
          <w:rFonts w:ascii="Arial" w:hAnsi="Arial" w:cs="Arial"/>
          <w:noProof/>
          <w:sz w:val="24"/>
          <w:szCs w:val="24"/>
        </w:rPr>
        <w:drawing>
          <wp:inline distT="0" distB="0" distL="0" distR="0">
            <wp:extent cx="5943600" cy="2458720"/>
            <wp:effectExtent l="19050" t="0" r="0" b="0"/>
            <wp:docPr id="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srcRect/>
                    <a:stretch>
                      <a:fillRect/>
                    </a:stretch>
                  </pic:blipFill>
                  <pic:spPr bwMode="auto">
                    <a:xfrm>
                      <a:off x="0" y="0"/>
                      <a:ext cx="5943600" cy="2458720"/>
                    </a:xfrm>
                    <a:prstGeom prst="rect">
                      <a:avLst/>
                    </a:prstGeom>
                    <a:noFill/>
                    <a:ln w="9525">
                      <a:noFill/>
                      <a:miter lim="800000"/>
                      <a:headEnd/>
                      <a:tailEnd/>
                    </a:ln>
                  </pic:spPr>
                </pic:pic>
              </a:graphicData>
            </a:graphic>
          </wp:inline>
        </w:drawing>
      </w:r>
      <w:r w:rsidR="00D6443E" w:rsidRPr="00B61137">
        <w:rPr>
          <w:rFonts w:ascii="Arial" w:hAnsi="Arial" w:cs="Arial"/>
          <w:b/>
          <w:bCs/>
          <w:iCs/>
        </w:rPr>
        <w:t>Slika 2.31</w:t>
      </w:r>
      <w:r w:rsidR="00690E9A" w:rsidRPr="00B61137">
        <w:rPr>
          <w:rFonts w:ascii="Arial" w:hAnsi="Arial" w:cs="Arial"/>
          <w:b/>
          <w:bCs/>
          <w:iCs/>
        </w:rPr>
        <w:t xml:space="preserve">. </w:t>
      </w:r>
      <w:r w:rsidR="00690E9A" w:rsidRPr="00B61137">
        <w:rPr>
          <w:rFonts w:ascii="Arial" w:hAnsi="Arial" w:cs="Arial"/>
          <w:bCs/>
          <w:iCs/>
        </w:rPr>
        <w:t>Rezultati mikrobioloških ispitivanja uzoraka hlorisane vode za piće</w:t>
      </w:r>
    </w:p>
    <w:p w:rsidR="00690E9A" w:rsidRPr="00722DF4" w:rsidRDefault="001210F4" w:rsidP="00722DF4">
      <w:pPr>
        <w:autoSpaceDE w:val="0"/>
        <w:autoSpaceDN w:val="0"/>
        <w:adjustRightInd w:val="0"/>
        <w:spacing w:after="0"/>
        <w:jc w:val="both"/>
        <w:rPr>
          <w:rFonts w:ascii="Arial" w:hAnsi="Arial" w:cs="Arial"/>
          <w:sz w:val="24"/>
          <w:szCs w:val="24"/>
        </w:rPr>
      </w:pPr>
      <w:r>
        <w:rPr>
          <w:rFonts w:ascii="Arial" w:hAnsi="Arial" w:cs="Arial"/>
          <w:noProof/>
          <w:sz w:val="24"/>
          <w:szCs w:val="24"/>
        </w:rPr>
        <w:drawing>
          <wp:inline distT="0" distB="0" distL="0" distR="0">
            <wp:extent cx="5943600" cy="2829560"/>
            <wp:effectExtent l="19050" t="0" r="0" b="0"/>
            <wp:docPr id="4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srcRect/>
                    <a:stretch>
                      <a:fillRect/>
                    </a:stretch>
                  </pic:blipFill>
                  <pic:spPr bwMode="auto">
                    <a:xfrm>
                      <a:off x="0" y="0"/>
                      <a:ext cx="5943600" cy="2829560"/>
                    </a:xfrm>
                    <a:prstGeom prst="rect">
                      <a:avLst/>
                    </a:prstGeom>
                    <a:noFill/>
                    <a:ln w="9525">
                      <a:noFill/>
                      <a:miter lim="800000"/>
                      <a:headEnd/>
                      <a:tailEnd/>
                    </a:ln>
                  </pic:spPr>
                </pic:pic>
              </a:graphicData>
            </a:graphic>
          </wp:inline>
        </w:drawing>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B61137" w:rsidRDefault="00690E9A" w:rsidP="00722DF4">
      <w:pPr>
        <w:autoSpaceDE w:val="0"/>
        <w:autoSpaceDN w:val="0"/>
        <w:adjustRightInd w:val="0"/>
        <w:spacing w:after="0"/>
        <w:jc w:val="both"/>
        <w:rPr>
          <w:rFonts w:ascii="Arial" w:hAnsi="Arial" w:cs="Arial"/>
        </w:rPr>
      </w:pPr>
      <w:r w:rsidRPr="00B61137">
        <w:rPr>
          <w:rFonts w:ascii="Arial" w:hAnsi="Arial" w:cs="Arial"/>
          <w:b/>
          <w:bCs/>
          <w:iCs/>
        </w:rPr>
        <w:t>Slika 2.</w:t>
      </w:r>
      <w:r w:rsidR="00230A38" w:rsidRPr="00B61137">
        <w:rPr>
          <w:rFonts w:ascii="Arial" w:hAnsi="Arial" w:cs="Arial"/>
          <w:b/>
          <w:bCs/>
          <w:iCs/>
        </w:rPr>
        <w:t>3</w:t>
      </w:r>
      <w:r w:rsidR="00D6443E" w:rsidRPr="00B61137">
        <w:rPr>
          <w:rFonts w:ascii="Arial" w:hAnsi="Arial" w:cs="Arial"/>
          <w:b/>
          <w:bCs/>
          <w:iCs/>
        </w:rPr>
        <w:t>2</w:t>
      </w:r>
      <w:r w:rsidRPr="00B61137">
        <w:rPr>
          <w:rFonts w:ascii="Arial" w:hAnsi="Arial" w:cs="Arial"/>
          <w:b/>
          <w:bCs/>
          <w:iCs/>
        </w:rPr>
        <w:t xml:space="preserve">. </w:t>
      </w:r>
      <w:r w:rsidRPr="00B61137">
        <w:rPr>
          <w:rFonts w:ascii="Arial" w:hAnsi="Arial" w:cs="Arial"/>
          <w:iCs/>
        </w:rPr>
        <w:t>Rezultati fizičko hemijskih ispitivanja uzoraka nehlorisane vode za piće</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1210F4" w:rsidP="00722DF4">
      <w:pPr>
        <w:autoSpaceDE w:val="0"/>
        <w:autoSpaceDN w:val="0"/>
        <w:adjustRightInd w:val="0"/>
        <w:spacing w:after="0"/>
        <w:jc w:val="both"/>
        <w:rPr>
          <w:rFonts w:ascii="Arial" w:hAnsi="Arial" w:cs="Arial"/>
          <w:sz w:val="24"/>
          <w:szCs w:val="24"/>
        </w:rPr>
      </w:pPr>
      <w:r>
        <w:rPr>
          <w:rFonts w:ascii="Arial" w:hAnsi="Arial" w:cs="Arial"/>
          <w:noProof/>
          <w:sz w:val="24"/>
          <w:szCs w:val="24"/>
        </w:rPr>
        <w:lastRenderedPageBreak/>
        <w:drawing>
          <wp:inline distT="0" distB="0" distL="0" distR="0">
            <wp:extent cx="5952490" cy="2855595"/>
            <wp:effectExtent l="19050" t="0" r="0" b="0"/>
            <wp:docPr id="4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srcRect/>
                    <a:stretch>
                      <a:fillRect/>
                    </a:stretch>
                  </pic:blipFill>
                  <pic:spPr bwMode="auto">
                    <a:xfrm>
                      <a:off x="0" y="0"/>
                      <a:ext cx="5952490" cy="2855595"/>
                    </a:xfrm>
                    <a:prstGeom prst="rect">
                      <a:avLst/>
                    </a:prstGeom>
                    <a:noFill/>
                    <a:ln w="9525">
                      <a:noFill/>
                      <a:miter lim="800000"/>
                      <a:headEnd/>
                      <a:tailEnd/>
                    </a:ln>
                  </pic:spPr>
                </pic:pic>
              </a:graphicData>
            </a:graphic>
          </wp:inline>
        </w:drawing>
      </w:r>
    </w:p>
    <w:p w:rsidR="00690E9A" w:rsidRPr="00B61137" w:rsidRDefault="00D6443E" w:rsidP="00722DF4">
      <w:pPr>
        <w:autoSpaceDE w:val="0"/>
        <w:autoSpaceDN w:val="0"/>
        <w:adjustRightInd w:val="0"/>
        <w:spacing w:after="0"/>
        <w:jc w:val="both"/>
        <w:rPr>
          <w:rFonts w:ascii="Arial" w:hAnsi="Arial" w:cs="Arial"/>
        </w:rPr>
      </w:pPr>
      <w:r w:rsidRPr="00B61137">
        <w:rPr>
          <w:rFonts w:ascii="Arial" w:hAnsi="Arial" w:cs="Arial"/>
          <w:b/>
          <w:bCs/>
          <w:iCs/>
        </w:rPr>
        <w:t>Slika 2.33</w:t>
      </w:r>
      <w:r w:rsidR="00690E9A" w:rsidRPr="00B61137">
        <w:rPr>
          <w:rFonts w:ascii="Arial" w:hAnsi="Arial" w:cs="Arial"/>
          <w:b/>
          <w:bCs/>
          <w:iCs/>
        </w:rPr>
        <w:t xml:space="preserve">. </w:t>
      </w:r>
      <w:r w:rsidR="00690E9A" w:rsidRPr="00B61137">
        <w:rPr>
          <w:rFonts w:ascii="Arial" w:hAnsi="Arial" w:cs="Arial"/>
          <w:iCs/>
        </w:rPr>
        <w:t>Rezultati mikrobioloških ispitivanja uzoraka nehlorisane vode za piće</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1210F4" w:rsidP="00722DF4">
      <w:pPr>
        <w:autoSpaceDE w:val="0"/>
        <w:autoSpaceDN w:val="0"/>
        <w:adjustRightInd w:val="0"/>
        <w:spacing w:after="0"/>
        <w:jc w:val="both"/>
        <w:rPr>
          <w:rFonts w:ascii="Arial" w:hAnsi="Arial" w:cs="Arial"/>
          <w:sz w:val="24"/>
          <w:szCs w:val="24"/>
        </w:rPr>
      </w:pPr>
      <w:r>
        <w:rPr>
          <w:rFonts w:ascii="Arial" w:hAnsi="Arial" w:cs="Arial"/>
          <w:noProof/>
          <w:sz w:val="24"/>
          <w:szCs w:val="24"/>
        </w:rPr>
        <w:drawing>
          <wp:inline distT="0" distB="0" distL="0" distR="0">
            <wp:extent cx="5943600" cy="2777490"/>
            <wp:effectExtent l="19050" t="0" r="0" b="0"/>
            <wp:docPr id="4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srcRect/>
                    <a:stretch>
                      <a:fillRect/>
                    </a:stretch>
                  </pic:blipFill>
                  <pic:spPr bwMode="auto">
                    <a:xfrm>
                      <a:off x="0" y="0"/>
                      <a:ext cx="5943600" cy="2777490"/>
                    </a:xfrm>
                    <a:prstGeom prst="rect">
                      <a:avLst/>
                    </a:prstGeom>
                    <a:noFill/>
                    <a:ln w="9525">
                      <a:noFill/>
                      <a:miter lim="800000"/>
                      <a:headEnd/>
                      <a:tailEnd/>
                    </a:ln>
                  </pic:spPr>
                </pic:pic>
              </a:graphicData>
            </a:graphic>
          </wp:inline>
        </w:drawing>
      </w:r>
    </w:p>
    <w:p w:rsidR="00690E9A" w:rsidRPr="00B61137" w:rsidRDefault="00D6443E" w:rsidP="00722DF4">
      <w:pPr>
        <w:autoSpaceDE w:val="0"/>
        <w:autoSpaceDN w:val="0"/>
        <w:adjustRightInd w:val="0"/>
        <w:spacing w:after="0"/>
        <w:jc w:val="both"/>
        <w:rPr>
          <w:rFonts w:ascii="Arial" w:hAnsi="Arial" w:cs="Arial"/>
        </w:rPr>
      </w:pPr>
      <w:r w:rsidRPr="00B61137">
        <w:rPr>
          <w:rFonts w:ascii="Arial" w:hAnsi="Arial" w:cs="Arial"/>
          <w:b/>
          <w:bCs/>
          <w:iCs/>
        </w:rPr>
        <w:t>Slika 2.34</w:t>
      </w:r>
      <w:r w:rsidR="00690E9A" w:rsidRPr="00B61137">
        <w:rPr>
          <w:rFonts w:ascii="Arial" w:hAnsi="Arial" w:cs="Arial"/>
          <w:b/>
          <w:bCs/>
          <w:iCs/>
        </w:rPr>
        <w:t xml:space="preserve">. </w:t>
      </w:r>
      <w:r w:rsidR="00690E9A" w:rsidRPr="00B61137">
        <w:rPr>
          <w:rFonts w:ascii="Arial" w:hAnsi="Arial" w:cs="Arial"/>
          <w:iCs/>
        </w:rPr>
        <w:t>Rezultati ispitivanja vode za piće u 2016. godini</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323986" w:rsidP="00722DF4">
      <w:pPr>
        <w:pStyle w:val="Heading3"/>
        <w:numPr>
          <w:ilvl w:val="0"/>
          <w:numId w:val="0"/>
        </w:numPr>
        <w:spacing w:before="0"/>
        <w:jc w:val="both"/>
        <w:rPr>
          <w:rFonts w:cs="Arial"/>
          <w:szCs w:val="24"/>
        </w:rPr>
      </w:pPr>
      <w:bookmarkStart w:id="31" w:name="_Toc6172822"/>
      <w:r w:rsidRPr="00722DF4">
        <w:rPr>
          <w:rFonts w:cs="Arial"/>
          <w:szCs w:val="24"/>
        </w:rPr>
        <w:t>2.5.</w:t>
      </w:r>
      <w:r w:rsidR="008D5F00" w:rsidRPr="00722DF4">
        <w:rPr>
          <w:rFonts w:cs="Arial"/>
          <w:szCs w:val="24"/>
        </w:rPr>
        <w:t>3</w:t>
      </w:r>
      <w:r w:rsidR="00690E9A" w:rsidRPr="00722DF4">
        <w:rPr>
          <w:rFonts w:cs="Arial"/>
          <w:szCs w:val="24"/>
        </w:rPr>
        <w:t>.  More</w:t>
      </w:r>
      <w:bookmarkEnd w:id="31"/>
      <w:r w:rsidR="00690E9A" w:rsidRPr="00722DF4">
        <w:rPr>
          <w:rFonts w:cs="Arial"/>
          <w:szCs w:val="24"/>
        </w:rPr>
        <w:t xml:space="preserve"> </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Default="00690E9A" w:rsidP="00722DF4">
      <w:pPr>
        <w:spacing w:after="0"/>
        <w:jc w:val="both"/>
        <w:rPr>
          <w:rFonts w:ascii="Arial" w:hAnsi="Arial" w:cs="Arial"/>
          <w:sz w:val="24"/>
          <w:szCs w:val="24"/>
        </w:rPr>
      </w:pPr>
      <w:r w:rsidRPr="00722DF4">
        <w:rPr>
          <w:rFonts w:ascii="Arial" w:hAnsi="Arial" w:cs="Arial"/>
          <w:sz w:val="24"/>
          <w:szCs w:val="24"/>
        </w:rPr>
        <w:t>Crnogorsko primorje</w:t>
      </w:r>
      <w:r w:rsidR="006A75EC" w:rsidRPr="00722DF4">
        <w:rPr>
          <w:rFonts w:ascii="Arial" w:hAnsi="Arial" w:cs="Arial"/>
          <w:sz w:val="24"/>
          <w:szCs w:val="24"/>
        </w:rPr>
        <w:t xml:space="preserve"> obuhvata teritoriju od 2440 km</w:t>
      </w:r>
      <w:r w:rsidR="006A75EC" w:rsidRPr="00722DF4">
        <w:rPr>
          <w:rFonts w:ascii="Arial" w:hAnsi="Arial" w:cs="Arial"/>
          <w:sz w:val="24"/>
          <w:szCs w:val="24"/>
          <w:vertAlign w:val="superscript"/>
        </w:rPr>
        <w:t>2</w:t>
      </w:r>
      <w:r w:rsidRPr="00722DF4">
        <w:rPr>
          <w:rFonts w:ascii="Arial" w:hAnsi="Arial" w:cs="Arial"/>
          <w:sz w:val="24"/>
          <w:szCs w:val="24"/>
        </w:rPr>
        <w:t xml:space="preserve"> i spada u najgušće naseljeni region Crne Gore. Obala je dužine 293,5 km sa 117 plaža, ukupne dužine 73 km. More za Crnu Goru predstavlja veoma važan turistički, ekonomski i biološki resurs. Stoga je od izuzetne </w:t>
      </w:r>
      <w:r w:rsidRPr="00722DF4">
        <w:rPr>
          <w:rFonts w:ascii="Arial" w:hAnsi="Arial" w:cs="Arial"/>
          <w:sz w:val="24"/>
          <w:szCs w:val="24"/>
        </w:rPr>
        <w:lastRenderedPageBreak/>
        <w:t>važnosti za državu Crnu Goru, kao turističku destinaciju, očuvanje morskog ekosistema od zagađenja i istrebljenja vrsta koje u njemu žive. Kako se stanovništvo, migracijama, kreće ka ovom regionu, koji infrastrukturno nije planiran za postojeći broj stanovika, tako ovaj ekosistem trpi sve veći pritisak što samim tim zahtijeva i veću pažnju u pogledu monitoring</w:t>
      </w:r>
      <w:r w:rsidR="006A75EC" w:rsidRPr="00722DF4">
        <w:rPr>
          <w:rFonts w:ascii="Arial" w:hAnsi="Arial" w:cs="Arial"/>
          <w:sz w:val="24"/>
          <w:szCs w:val="24"/>
        </w:rPr>
        <w:t>a</w:t>
      </w:r>
      <w:r w:rsidRPr="00722DF4">
        <w:rPr>
          <w:rFonts w:ascii="Arial" w:hAnsi="Arial" w:cs="Arial"/>
          <w:sz w:val="24"/>
          <w:szCs w:val="24"/>
        </w:rPr>
        <w:t xml:space="preserve"> ovog segmenta životne sredine.</w:t>
      </w:r>
    </w:p>
    <w:p w:rsidR="00D6443E" w:rsidRPr="00722DF4" w:rsidRDefault="00D6443E" w:rsidP="00722DF4">
      <w:pPr>
        <w:spacing w:after="0"/>
        <w:jc w:val="both"/>
        <w:rPr>
          <w:rFonts w:ascii="Arial" w:hAnsi="Arial" w:cs="Arial"/>
          <w:sz w:val="24"/>
          <w:szCs w:val="24"/>
        </w:rPr>
      </w:pPr>
    </w:p>
    <w:p w:rsidR="00690E9A" w:rsidRDefault="00690E9A" w:rsidP="00722DF4">
      <w:pPr>
        <w:spacing w:after="0"/>
        <w:jc w:val="both"/>
        <w:rPr>
          <w:rFonts w:ascii="Arial" w:hAnsi="Arial" w:cs="Arial"/>
          <w:sz w:val="24"/>
          <w:szCs w:val="24"/>
        </w:rPr>
      </w:pPr>
      <w:r w:rsidRPr="00722DF4">
        <w:rPr>
          <w:rFonts w:ascii="Arial" w:hAnsi="Arial" w:cs="Arial"/>
          <w:sz w:val="24"/>
          <w:szCs w:val="24"/>
        </w:rPr>
        <w:t>Generalni pravac pružanja obale je pravac sjeverozapad-jugoistok, sa određenim većim i manjim odstupanjima. Bokokotorski zaliv je po nizu parametara jedinstven (po obliku, razuđenosti obale, fizičkim i hemijskim karakteristikama mora,karakteristikama biljnog i životinjskog svijeta, hidrološkim karakteristikama,</w:t>
      </w:r>
      <w:r w:rsidR="005B43F8" w:rsidRPr="00722DF4">
        <w:rPr>
          <w:rFonts w:ascii="Arial" w:hAnsi="Arial" w:cs="Arial"/>
          <w:sz w:val="24"/>
          <w:szCs w:val="24"/>
        </w:rPr>
        <w:t xml:space="preserve"> </w:t>
      </w:r>
      <w:r w:rsidRPr="00722DF4">
        <w:rPr>
          <w:rFonts w:ascii="Arial" w:hAnsi="Arial" w:cs="Arial"/>
          <w:sz w:val="24"/>
          <w:szCs w:val="24"/>
        </w:rPr>
        <w:t>prirodnom okruženju, itd.). Ostali veći zalivi: Trašte, Trsteno, Jaz, Budvanski, Buljarički, Spičanski, Barski i Valdanoski, uglavnom su veće uvale duž otvorene</w:t>
      </w:r>
      <w:r w:rsidR="006A75EC" w:rsidRPr="00722DF4">
        <w:rPr>
          <w:rFonts w:ascii="Arial" w:hAnsi="Arial" w:cs="Arial"/>
          <w:sz w:val="24"/>
          <w:szCs w:val="24"/>
        </w:rPr>
        <w:t xml:space="preserve"> </w:t>
      </w:r>
      <w:r w:rsidRPr="00722DF4">
        <w:rPr>
          <w:rFonts w:ascii="Arial" w:hAnsi="Arial" w:cs="Arial"/>
          <w:sz w:val="24"/>
          <w:szCs w:val="24"/>
        </w:rPr>
        <w:t>obale, koje karakterišu stjenovite, pješčane ili šljunkovite plaže sa različitim zaleđem.</w:t>
      </w:r>
    </w:p>
    <w:p w:rsidR="00D6443E" w:rsidRPr="00722DF4" w:rsidRDefault="00D6443E" w:rsidP="00722DF4">
      <w:pPr>
        <w:spacing w:after="0"/>
        <w:jc w:val="both"/>
        <w:rPr>
          <w:rFonts w:ascii="Arial" w:hAnsi="Arial" w:cs="Arial"/>
          <w:sz w:val="24"/>
          <w:szCs w:val="24"/>
        </w:rPr>
      </w:pPr>
    </w:p>
    <w:p w:rsidR="00690E9A" w:rsidRDefault="00690E9A" w:rsidP="00722DF4">
      <w:pPr>
        <w:spacing w:after="0"/>
        <w:jc w:val="both"/>
        <w:rPr>
          <w:rFonts w:ascii="Arial" w:hAnsi="Arial" w:cs="Arial"/>
          <w:sz w:val="24"/>
          <w:szCs w:val="24"/>
        </w:rPr>
      </w:pPr>
      <w:r w:rsidRPr="00722DF4">
        <w:rPr>
          <w:rFonts w:ascii="Arial" w:hAnsi="Arial" w:cs="Arial"/>
          <w:sz w:val="24"/>
          <w:szCs w:val="24"/>
        </w:rPr>
        <w:t>U moru se nalazi relativno mali broj ostrva, od kojih su veća Stradioti i Sveti Nikola. Kada se govori o priobalnom moru, mogu se izdvojiti dvije cjeline: Bokokotorski zalivi otvoreno more. Bokokotorski zaliv zadire u kopno oko 28 km. To je razgranati zaliv, obrubljen strmim crnogorskim planinama. Po svojim geografskim i hidrografskim karakteristikama izdvajaju se tri cjeline: Hercegnovski zaliv, Tivatski sa Kumborskim tjesnacem i Kotorsko-risanski sa tjesnacem Verige. Prosječna dubina mora je 27,3 m, a maksimalna 60 m. Dubine od oko 20 m prate liniju obale na rastojanju od 200 do 300 m. Zaliv zatvara površinu od oko 90 km². Duž cijele obale zaliva, naročito u kotorsko-morinsko-risanskom dijelu, nalaze se ušća rijeka, kao i pomorski izvori slatke vode (Škurda, Široka rijeka, Ljuta rijeka, Gurdić, Sopot, Gradišnica).</w:t>
      </w:r>
    </w:p>
    <w:p w:rsidR="00D6443E" w:rsidRPr="00722DF4" w:rsidRDefault="00D6443E" w:rsidP="00722DF4">
      <w:pPr>
        <w:spacing w:after="0"/>
        <w:jc w:val="both"/>
        <w:rPr>
          <w:rFonts w:ascii="Arial" w:hAnsi="Arial" w:cs="Arial"/>
          <w:sz w:val="24"/>
          <w:szCs w:val="24"/>
        </w:rPr>
      </w:pPr>
    </w:p>
    <w:p w:rsidR="00690E9A" w:rsidRDefault="00690E9A" w:rsidP="00722DF4">
      <w:pPr>
        <w:spacing w:after="0"/>
        <w:jc w:val="both"/>
        <w:rPr>
          <w:rFonts w:ascii="Arial" w:hAnsi="Arial" w:cs="Arial"/>
          <w:sz w:val="24"/>
          <w:szCs w:val="24"/>
        </w:rPr>
      </w:pPr>
      <w:r w:rsidRPr="00722DF4">
        <w:rPr>
          <w:rFonts w:ascii="Arial" w:hAnsi="Arial" w:cs="Arial"/>
          <w:sz w:val="24"/>
          <w:szCs w:val="24"/>
        </w:rPr>
        <w:t xml:space="preserve">Na području Herceg Novog vrše se mjerenja i osmatranja meteoroloških i klimatskih faktora. Po svojim hidrografsko-okeanografskim karakteristikama Hercegnovski zaliv se bitno razlikuje od Tivatskog i Kotorskog, zbog direktnog kontakta sa vodama otvorenog mora na spojnici rt Oštra–rt Mirište, u širini od oko 3 km. Generalni tok kretanja vode </w:t>
      </w:r>
      <w:r w:rsidRPr="00722DF4">
        <w:rPr>
          <w:rFonts w:ascii="Cambria" w:hAnsi="Cambria" w:cs="Arial"/>
          <w:sz w:val="24"/>
          <w:szCs w:val="24"/>
        </w:rPr>
        <w:t>‐</w:t>
      </w:r>
      <w:r w:rsidRPr="00722DF4">
        <w:rPr>
          <w:rFonts w:ascii="Arial" w:hAnsi="Arial" w:cs="Arial"/>
          <w:sz w:val="24"/>
          <w:szCs w:val="24"/>
        </w:rPr>
        <w:t>morske struje (novembar–februar), pokazuje veliku zavisnost od uticaja otvorenog mora, a posebno struja plime i osjeke. Mjerenja izvršena u ljetnjem periodu pokazuju još složeniju dinamiku vodenih masa u Hercegnovskom zalivu. Generalni tok struji od otvorenog mora duž obale Luštice brzinom od 0,5 čvorova.</w:t>
      </w:r>
    </w:p>
    <w:p w:rsidR="00D6443E" w:rsidRPr="00722DF4" w:rsidRDefault="00D6443E" w:rsidP="00722DF4">
      <w:pPr>
        <w:spacing w:after="0"/>
        <w:jc w:val="both"/>
        <w:rPr>
          <w:rFonts w:ascii="Arial" w:hAnsi="Arial" w:cs="Arial"/>
          <w:sz w:val="24"/>
          <w:szCs w:val="24"/>
        </w:rPr>
      </w:pPr>
    </w:p>
    <w:p w:rsidR="00690E9A" w:rsidRDefault="00690E9A" w:rsidP="00722DF4">
      <w:pPr>
        <w:spacing w:after="0"/>
        <w:jc w:val="both"/>
        <w:rPr>
          <w:rFonts w:ascii="Arial" w:hAnsi="Arial" w:cs="Arial"/>
          <w:sz w:val="24"/>
          <w:szCs w:val="24"/>
        </w:rPr>
      </w:pPr>
      <w:r w:rsidRPr="00722DF4">
        <w:rPr>
          <w:rFonts w:ascii="Arial" w:hAnsi="Arial" w:cs="Arial"/>
          <w:sz w:val="24"/>
          <w:szCs w:val="24"/>
        </w:rPr>
        <w:t xml:space="preserve">U pridenom i dubinskom sloju struje imaju ulazni smjer sa srednjom brzinom 0,06 čv (3 cm/s). Struje izlaznog smjera na dubini od 10 m prisutne su za vrijeme osjeke, dok su struje ulaznog smjera na većim dubinama prisutne samo za vrijeme plime. Morske mijene dnevno iznose 22 cm, dok amplitude viših, visokih, nižih i niskih voda iznose prosječno 27,9 cm, a maksimalna višegodišnja amplituda iznosi 106,5 cm. Morska struja ulaskom </w:t>
      </w:r>
      <w:r w:rsidRPr="00722DF4">
        <w:rPr>
          <w:rFonts w:ascii="Arial" w:hAnsi="Arial" w:cs="Arial"/>
          <w:sz w:val="24"/>
          <w:szCs w:val="24"/>
        </w:rPr>
        <w:lastRenderedPageBreak/>
        <w:t>u zaliv donosi čistu morsku vodu sa pučine na čitavu obalu Luštice. Osim toga, struje ljeti rashlađuju, a zimi zagrijavaju more u zalivu.</w:t>
      </w:r>
    </w:p>
    <w:p w:rsidR="00D6443E" w:rsidRPr="00722DF4" w:rsidRDefault="00D6443E" w:rsidP="00722DF4">
      <w:pPr>
        <w:spacing w:after="0"/>
        <w:jc w:val="both"/>
        <w:rPr>
          <w:rFonts w:ascii="Arial" w:hAnsi="Arial" w:cs="Arial"/>
          <w:sz w:val="24"/>
          <w:szCs w:val="24"/>
        </w:rPr>
      </w:pPr>
    </w:p>
    <w:p w:rsidR="00690E9A" w:rsidRDefault="00690E9A" w:rsidP="00722DF4">
      <w:pPr>
        <w:spacing w:after="0"/>
        <w:jc w:val="both"/>
        <w:rPr>
          <w:rFonts w:ascii="Arial" w:hAnsi="Arial" w:cs="Arial"/>
          <w:sz w:val="24"/>
          <w:szCs w:val="24"/>
        </w:rPr>
      </w:pPr>
      <w:r w:rsidRPr="00722DF4">
        <w:rPr>
          <w:rFonts w:ascii="Arial" w:hAnsi="Arial" w:cs="Arial"/>
          <w:sz w:val="24"/>
          <w:szCs w:val="24"/>
        </w:rPr>
        <w:t>Srednja godišnja temperatura morske vode iznosi u zalivu 19,4 °C, što je za 3,3</w:t>
      </w:r>
      <w:r w:rsidR="006A75EC" w:rsidRPr="00722DF4">
        <w:rPr>
          <w:rFonts w:ascii="Arial" w:hAnsi="Arial" w:cs="Arial"/>
          <w:sz w:val="24"/>
          <w:szCs w:val="24"/>
        </w:rPr>
        <w:t xml:space="preserve"> </w:t>
      </w:r>
      <w:r w:rsidRPr="00722DF4">
        <w:rPr>
          <w:rFonts w:ascii="Arial" w:hAnsi="Arial" w:cs="Arial"/>
          <w:sz w:val="24"/>
          <w:szCs w:val="24"/>
        </w:rPr>
        <w:t>stepena više od prosječne godišnje temperature vazduha. Značajno je za dužinu kupališne sezone da srednja temperatura mora u površinskom sloju pet-šest mjeseci u godini iznosi 20 °C. U ljetnjem periodu more se zagrijava čak do 27 °C. Salinitet u zalivu varira u zavisnosti od godišnjeg doba, a kreće se od 37,72</w:t>
      </w:r>
      <w:r w:rsidR="007806FD">
        <w:rPr>
          <w:rFonts w:ascii="Arial" w:hAnsi="Arial" w:cs="Arial"/>
          <w:sz w:val="24"/>
          <w:szCs w:val="24"/>
        </w:rPr>
        <w:t xml:space="preserve"> </w:t>
      </w:r>
      <w:r w:rsidRPr="00722DF4">
        <w:rPr>
          <w:rFonts w:ascii="Arial" w:hAnsi="Arial" w:cs="Arial"/>
          <w:sz w:val="24"/>
          <w:szCs w:val="24"/>
        </w:rPr>
        <w:t>‰ u julu, do 1,82</w:t>
      </w:r>
      <w:r w:rsidR="007806FD">
        <w:rPr>
          <w:rFonts w:ascii="Arial" w:hAnsi="Arial" w:cs="Arial"/>
          <w:sz w:val="24"/>
          <w:szCs w:val="24"/>
        </w:rPr>
        <w:t xml:space="preserve"> </w:t>
      </w:r>
      <w:r w:rsidRPr="00722DF4">
        <w:rPr>
          <w:rFonts w:ascii="Arial" w:hAnsi="Arial" w:cs="Arial"/>
          <w:sz w:val="24"/>
          <w:szCs w:val="24"/>
        </w:rPr>
        <w:t>‰</w:t>
      </w:r>
      <w:r w:rsidR="006A75EC" w:rsidRPr="00722DF4">
        <w:rPr>
          <w:rFonts w:ascii="Arial" w:hAnsi="Arial" w:cs="Arial"/>
          <w:sz w:val="24"/>
          <w:szCs w:val="24"/>
        </w:rPr>
        <w:t xml:space="preserve"> </w:t>
      </w:r>
      <w:r w:rsidRPr="00722DF4">
        <w:rPr>
          <w:rFonts w:ascii="Arial" w:hAnsi="Arial" w:cs="Arial"/>
          <w:sz w:val="24"/>
          <w:szCs w:val="24"/>
        </w:rPr>
        <w:t xml:space="preserve">u aprilu. Providnost u zalivu u junu dostiže 17 m do 5,74 m u novembru, dok naotvorenom moru iznosi 56 m. Sa stanovišta rješavanja problema stabilnosti obala, plaža i objekata u moru, najznačajniji prirodni faktor su talasi. Na stanici u Herceg Novom ne vrše se mjerenja karakteristika talasa, već se vrše samo svakodnevna vizuelna osmatranja stanja površine mora i smjera kretanja talasa. Obala u Herceg Novom može biti direktno izložena dejstvu talasa velikih visina iz južnog i jugoistočnog pravca. Rezultati analize karakteristika talasa na otvorenom moru, u dubokoj vodi, ukazuju da se iz kritičnog sektora (južni‒jugoistočni pravac) mogu javiti veoma veliki talasi, čije visine dostižu 6,0 m. Međutim, složena konfiguracija ulaza u Hercegnovski zaliv, kao i uticaj konfiguracije morskog dna pri propagaciji talasa ka obali, znatno mijenjaju karakteristike talasa u plitkoj vodi. Na promjene karakteristika talasa u plitkoj vodi najznačajniji uticaj imaju pojave refrakcije i difrakcije talasa, kao i pojava oplićavnja. </w:t>
      </w:r>
    </w:p>
    <w:p w:rsidR="00D6443E" w:rsidRPr="00722DF4" w:rsidRDefault="00D6443E" w:rsidP="00722DF4">
      <w:pPr>
        <w:spacing w:after="0"/>
        <w:jc w:val="both"/>
        <w:rPr>
          <w:rFonts w:ascii="Arial" w:hAnsi="Arial" w:cs="Arial"/>
          <w:sz w:val="24"/>
          <w:szCs w:val="24"/>
        </w:rPr>
      </w:pPr>
    </w:p>
    <w:p w:rsidR="00690E9A" w:rsidRDefault="00690E9A" w:rsidP="00722DF4">
      <w:pPr>
        <w:spacing w:after="0"/>
        <w:jc w:val="both"/>
        <w:rPr>
          <w:rFonts w:ascii="Arial" w:hAnsi="Arial" w:cs="Arial"/>
          <w:sz w:val="24"/>
          <w:szCs w:val="24"/>
        </w:rPr>
      </w:pPr>
      <w:r w:rsidRPr="00722DF4">
        <w:rPr>
          <w:rFonts w:ascii="Arial" w:hAnsi="Arial" w:cs="Arial"/>
          <w:sz w:val="24"/>
          <w:szCs w:val="24"/>
        </w:rPr>
        <w:t>Maksimalna brzina vjetra iz istočnog pravca iznosi 18 m/s, ali njegova učestalost nije značajna ‒ tek 3,7</w:t>
      </w:r>
      <w:r w:rsidR="006A75EC" w:rsidRPr="00722DF4">
        <w:rPr>
          <w:rFonts w:ascii="Arial" w:hAnsi="Arial" w:cs="Arial"/>
          <w:sz w:val="24"/>
          <w:szCs w:val="24"/>
        </w:rPr>
        <w:t xml:space="preserve"> </w:t>
      </w:r>
      <w:r w:rsidRPr="00722DF4">
        <w:rPr>
          <w:rFonts w:ascii="Arial" w:hAnsi="Arial" w:cs="Arial"/>
          <w:sz w:val="24"/>
          <w:szCs w:val="24"/>
        </w:rPr>
        <w:t>%. Brzine vjetrova iz sjevernog i sjeveroistočnog pravca (bura) su znatno veće ‒ maksimalna brzina vjetrova iz sjeveroistočnog pravca dostiže vrijednost od 30 m/s, a njegova učestalost je znatno veća i iznosi čak 30</w:t>
      </w:r>
      <w:r w:rsidR="006A75EC" w:rsidRPr="00722DF4">
        <w:rPr>
          <w:rFonts w:ascii="Arial" w:hAnsi="Arial" w:cs="Arial"/>
          <w:sz w:val="24"/>
          <w:szCs w:val="24"/>
        </w:rPr>
        <w:t xml:space="preserve"> </w:t>
      </w:r>
      <w:r w:rsidRPr="00722DF4">
        <w:rPr>
          <w:rFonts w:ascii="Arial" w:hAnsi="Arial" w:cs="Arial"/>
          <w:sz w:val="24"/>
          <w:szCs w:val="24"/>
        </w:rPr>
        <w:t>%.</w:t>
      </w:r>
    </w:p>
    <w:p w:rsidR="00D6443E" w:rsidRPr="00722DF4" w:rsidRDefault="00D6443E" w:rsidP="00722DF4">
      <w:pPr>
        <w:spacing w:after="0"/>
        <w:jc w:val="both"/>
        <w:rPr>
          <w:rFonts w:ascii="Arial" w:hAnsi="Arial" w:cs="Arial"/>
          <w:sz w:val="24"/>
          <w:szCs w:val="24"/>
        </w:rPr>
      </w:pPr>
    </w:p>
    <w:p w:rsidR="006A75EC" w:rsidRDefault="006A75EC" w:rsidP="00722DF4">
      <w:pPr>
        <w:pStyle w:val="Heading4"/>
        <w:numPr>
          <w:ilvl w:val="0"/>
          <w:numId w:val="0"/>
        </w:numPr>
        <w:spacing w:before="0"/>
        <w:jc w:val="both"/>
        <w:rPr>
          <w:rFonts w:ascii="Arial" w:hAnsi="Arial" w:cs="Arial"/>
          <w:szCs w:val="24"/>
        </w:rPr>
      </w:pPr>
      <w:r w:rsidRPr="00722DF4">
        <w:rPr>
          <w:rFonts w:ascii="Arial" w:hAnsi="Arial" w:cs="Arial"/>
          <w:szCs w:val="24"/>
        </w:rPr>
        <w:t>2.5.3.1 Kvalitet morske vode</w:t>
      </w:r>
    </w:p>
    <w:p w:rsidR="00D6443E" w:rsidRPr="00D6443E" w:rsidRDefault="00D6443E" w:rsidP="00D6443E">
      <w:pPr>
        <w:pStyle w:val="Body"/>
      </w:pPr>
    </w:p>
    <w:p w:rsidR="006A75EC" w:rsidRDefault="006A75EC" w:rsidP="00722DF4">
      <w:pPr>
        <w:spacing w:after="0"/>
        <w:jc w:val="both"/>
        <w:rPr>
          <w:rFonts w:ascii="Arial" w:hAnsi="Arial" w:cs="Arial"/>
          <w:sz w:val="24"/>
          <w:szCs w:val="24"/>
        </w:rPr>
      </w:pPr>
      <w:r w:rsidRPr="00722DF4">
        <w:rPr>
          <w:rFonts w:ascii="Arial" w:hAnsi="Arial" w:cs="Arial"/>
          <w:sz w:val="24"/>
          <w:szCs w:val="24"/>
        </w:rPr>
        <w:t xml:space="preserve">Vode obalnog mora se uzorkuje na 16 mjesta i svrstane su: u A2CŠK2 klasu u Bokokotorskom zalivu (osim lučkih akvatorija), gdje se radi 9 lokaliteta i u A1SŠK1 klasu vode van Bokokotorskog zaliva (osim lučkog bazena u Baru), gdje se radi 7 lokaliteta. Vode zatvorenih lučkih bazena svrstane su u A3 klasu i njihovo ispitivanje nije vršeno ni u ovoj godini. Temperatura vode u Zalivu kretala se od 13,4 - 26,6 °C, a na otvorenom je bila od 17,0 – 25,3 °C. Najnižu temperaturu u Zalivu, zbog dotoka slatkih voda, imali su lokaliteti na potezu Risan - Perast (13,4 °C), a najtopliji lokaliteti Tivat (26,6 °C). A što se tiče otvorene obale, voda je imala najnižu temperaturu u Budva (17,0 °C), a najveću temperaturu u Petrovcu i Svetom Stefanu (25,3 °C). Što se tiče kvaliteta, vode Zaliva i ove godine su pokazale bolje stanje i sa hemijskog i mikrobiološkog aspektai 74,1% određenih klasa bilo je u zahtijevanom bonitetu, a 11,1% klasa bili u nivo VK, u odnosno </w:t>
      </w:r>
      <w:r w:rsidRPr="00722DF4">
        <w:rPr>
          <w:rFonts w:ascii="Arial" w:hAnsi="Arial" w:cs="Arial"/>
          <w:sz w:val="24"/>
          <w:szCs w:val="24"/>
        </w:rPr>
        <w:lastRenderedPageBreak/>
        <w:t>na otvoreni dio mora gdje je bilo 46,2% klasa u zahtijevanu i 18,4% klasa u nivo VK. Od parametara koji su najviše izašli VK je sadržaji: suspendovane matrerije, TOC, fosfati, sadržaj kiseonika (klasa C), ukupne fekalne i ukupne koli bakterije (klasa Š). Pomjeranja izvan propisane klase pored navedenih parametara bilo je još kod: temperature, deterdženta i fenola. Vrijednosti pH vode su bile tokom sezone sa opsegom od 8,2 - 8,4 (A klasa), salinitet je bio sa vrijednostima od 33,3 do 37.8 ‰ kao mjerodavna vrijednost svih profila. Minimalne vrijednosti saliniteta kod pojedinačnih uzoraka bile su kod Dobrote (16,4</w:t>
      </w:r>
      <w:r w:rsidR="007806FD">
        <w:rPr>
          <w:rFonts w:ascii="Arial" w:hAnsi="Arial" w:cs="Arial"/>
          <w:sz w:val="24"/>
          <w:szCs w:val="24"/>
        </w:rPr>
        <w:t xml:space="preserve"> </w:t>
      </w:r>
      <w:r w:rsidRPr="00722DF4">
        <w:rPr>
          <w:rFonts w:ascii="Arial" w:hAnsi="Arial" w:cs="Arial"/>
          <w:sz w:val="24"/>
          <w:szCs w:val="24"/>
        </w:rPr>
        <w:t>‰.) a maksimalne kod Petrovca (38,0 ‰). Što se tiče mikrobiološkog kvaliteta voda Zaliva sva mjerna mjesta su bila u zahtijevanu klasu A2Š K2, a lokaliteti Herceg Novi, Perast i Kotor čak su po ovom zahtjevu bile u još bolji nivo klase A1Š K1. Što se tiče otvorene obale koja važi kao osjetljivija, odnosno vrlo joj je zahtijevani bonitet, po sadržaju fekalnih bakterija svi lokaliteti su imali pomjeranje u A2K2 klasu, a po sadržaju koli bakterija pomjeranje u ovu klasu imali su lokaliteti Bar i Donji Štoj - Velika Plaža, čija se voda pokazala sa najmanjim kvaitetom ovim ispitivanjima</w:t>
      </w:r>
      <w:r w:rsidR="00D6443E">
        <w:rPr>
          <w:rFonts w:ascii="Arial" w:hAnsi="Arial" w:cs="Arial"/>
          <w:sz w:val="24"/>
          <w:szCs w:val="24"/>
        </w:rPr>
        <w:t>.</w:t>
      </w:r>
    </w:p>
    <w:p w:rsidR="00D6443E" w:rsidRPr="00722DF4" w:rsidRDefault="00D6443E" w:rsidP="00722DF4">
      <w:pPr>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Od ukupno 14 lokacija u opštini </w:t>
      </w:r>
      <w:r w:rsidRPr="00BA3069">
        <w:rPr>
          <w:rFonts w:ascii="Arial" w:hAnsi="Arial" w:cs="Arial"/>
          <w:bCs/>
          <w:sz w:val="24"/>
          <w:szCs w:val="24"/>
        </w:rPr>
        <w:t>Ulcinj</w:t>
      </w:r>
      <w:r w:rsidRPr="00722DF4">
        <w:rPr>
          <w:rFonts w:ascii="Arial" w:hAnsi="Arial" w:cs="Arial"/>
          <w:b/>
          <w:bCs/>
          <w:sz w:val="24"/>
          <w:szCs w:val="24"/>
        </w:rPr>
        <w:t xml:space="preserve"> </w:t>
      </w:r>
      <w:r w:rsidRPr="00722DF4">
        <w:rPr>
          <w:rFonts w:ascii="Arial" w:hAnsi="Arial" w:cs="Arial"/>
          <w:sz w:val="24"/>
          <w:szCs w:val="24"/>
        </w:rPr>
        <w:t>na 8 lokacija tokom cijele sezone morska voda je bila odličnog (K1) kvaliteta za kupanje i rekreaciju. Zadovoljavajući kvalitet (K2 klase) zabilježen je dva puta (krajem maja i sredinom juna) na kupalištu “Mojito” i (početkom avgusta i sredinom septembra) na kupalištu “Tony grill”. Kvalitet klase K2 zabilježen je I jednom (početkom jula) na centralnom dijelu Male plaže, (sredinom jula) na kupalištu “Tropicana”, (sredinom septembra) na kupalištu “Miami” i kupalištu bivšeg hotela “Lido”.</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BA3069">
        <w:rPr>
          <w:rFonts w:ascii="Arial" w:hAnsi="Arial" w:cs="Arial"/>
          <w:bCs/>
          <w:sz w:val="24"/>
          <w:szCs w:val="24"/>
        </w:rPr>
        <w:t>U Baru</w:t>
      </w:r>
      <w:r w:rsidRPr="00722DF4">
        <w:rPr>
          <w:rFonts w:ascii="Arial" w:hAnsi="Arial" w:cs="Arial"/>
          <w:sz w:val="24"/>
          <w:szCs w:val="24"/>
        </w:rPr>
        <w:t xml:space="preserve">, od ukupno 10 lokacija, na 8 kupališta kvalitet vode je bio odličan (K1 klase) tokom cijele sezone, dok je dva puta (početkom i sredinom avgusta) na zapadnom dijelu plaže Čanj voda bila zadovoljavajućeg (K2) kvaliteta. Kvalitet klase K2 zabilježen je i jednom (krajem maja) na centralnom dijelu plaže Žukotrlica. Na 21 od ukupno 24 kupališta u </w:t>
      </w:r>
      <w:r w:rsidRPr="00BA3069">
        <w:rPr>
          <w:rFonts w:ascii="Arial" w:hAnsi="Arial" w:cs="Arial"/>
          <w:sz w:val="24"/>
          <w:szCs w:val="24"/>
        </w:rPr>
        <w:t xml:space="preserve">opštini </w:t>
      </w:r>
      <w:r w:rsidRPr="00BA3069">
        <w:rPr>
          <w:rFonts w:ascii="Arial" w:hAnsi="Arial" w:cs="Arial"/>
          <w:bCs/>
          <w:sz w:val="24"/>
          <w:szCs w:val="24"/>
        </w:rPr>
        <w:t>Budva</w:t>
      </w:r>
      <w:r w:rsidRPr="00722DF4">
        <w:rPr>
          <w:rFonts w:ascii="Arial" w:hAnsi="Arial" w:cs="Arial"/>
          <w:b/>
          <w:bCs/>
          <w:sz w:val="24"/>
          <w:szCs w:val="24"/>
        </w:rPr>
        <w:t xml:space="preserve"> </w:t>
      </w:r>
      <w:r w:rsidRPr="00722DF4">
        <w:rPr>
          <w:rFonts w:ascii="Arial" w:hAnsi="Arial" w:cs="Arial"/>
          <w:sz w:val="24"/>
          <w:szCs w:val="24"/>
        </w:rPr>
        <w:t>voda je bila odličnog kvaliteta (K1) tokom cijele sezone. Zadovoljavajući kvalitet vode (K2) zabilježen je dva puta (krajem maja I početkom jula) na kupalištu hotela “Maestral”, te jednom (krajem maja) na centralnom dijelu plaže u Rafailovićima i (krajem juna) na kupalištu “Ponta Petrovac”. Na kupalištu hotela “Maestral” je jednom tokom sezone (početkom juna) zabilježen loš kvalitet vode (VK).</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opštini </w:t>
      </w:r>
      <w:r w:rsidRPr="00BA3069">
        <w:rPr>
          <w:rFonts w:ascii="Arial" w:hAnsi="Arial" w:cs="Arial"/>
          <w:bCs/>
          <w:sz w:val="24"/>
          <w:szCs w:val="24"/>
        </w:rPr>
        <w:t>Tivat</w:t>
      </w:r>
      <w:r w:rsidRPr="00722DF4">
        <w:rPr>
          <w:rFonts w:ascii="Arial" w:hAnsi="Arial" w:cs="Arial"/>
          <w:b/>
          <w:bCs/>
          <w:sz w:val="24"/>
          <w:szCs w:val="24"/>
        </w:rPr>
        <w:t xml:space="preserve"> </w:t>
      </w:r>
      <w:r w:rsidRPr="00722DF4">
        <w:rPr>
          <w:rFonts w:ascii="Arial" w:hAnsi="Arial" w:cs="Arial"/>
          <w:sz w:val="24"/>
          <w:szCs w:val="24"/>
        </w:rPr>
        <w:t>od 8 lokacija, na 6 je kvalitet vode bio odličan (K1) kvaliteta tokom cijele sezone, dok je na kupalištu hotela “Kamelija” u 4 navrata (krajem maja, sredinom jula, početkom avgusta i krajem avgusta) zabilježen zadovoljavajući (K2) kvalitet vode. Kvalitet klase (K2) je takođe dva puta zabilježen (početkom avgusta i sredinom septembra) na kupalištu Opatovo. Krajem juna kvalitet vode na kupalištu hotela “Kamelija” je prelazio dozvoljene parametre (VK).</w:t>
      </w:r>
    </w:p>
    <w:p w:rsidR="006A75EC" w:rsidRPr="00722DF4" w:rsidRDefault="006A75EC"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lastRenderedPageBreak/>
        <w:t xml:space="preserve">Od ukupno 14 lokacija na kojima je praćen kvalitet morske vode u opštini </w:t>
      </w:r>
      <w:r w:rsidRPr="00BA3069">
        <w:rPr>
          <w:rFonts w:ascii="Arial" w:hAnsi="Arial" w:cs="Arial"/>
          <w:bCs/>
          <w:sz w:val="24"/>
          <w:szCs w:val="24"/>
        </w:rPr>
        <w:t>Kotor</w:t>
      </w:r>
      <w:r w:rsidRPr="00722DF4">
        <w:rPr>
          <w:rFonts w:ascii="Arial" w:hAnsi="Arial" w:cs="Arial"/>
          <w:b/>
          <w:bCs/>
          <w:sz w:val="24"/>
          <w:szCs w:val="24"/>
        </w:rPr>
        <w:t xml:space="preserve">, </w:t>
      </w:r>
      <w:r w:rsidRPr="00722DF4">
        <w:rPr>
          <w:rFonts w:ascii="Arial" w:hAnsi="Arial" w:cs="Arial"/>
          <w:sz w:val="24"/>
          <w:szCs w:val="24"/>
        </w:rPr>
        <w:t>odličan kvalitet (K1) tokom cijele sezone zabilježen je na 4 kupališta. Zadovoljavajući kvalitet (K2) zabilježen je 2 puta tokom sezone na kupalištima: Žuta plaža u Dobroti (krajem juna I početkom avgusta), kupalištu “Markov rt” (početkom juna i početkom avgusta), kupalištu “Sveti Matija”, kupalištu “Bajova kula” i kupalištu “Kupatilo II” u Perastu (sredinom i krajem juna). Po jednom na kupalištima: “Tre Sorele” (sredinom septembra), Orahovac (početkom juna), kod novog naselja u Stolivu (kraj maja) i Kupatilo I - ispod borova (početkom juna) zabilježen je zadovoljavajući kvalitet (klase K2). Tokom sezone na tri lokacije je, po jednom, voda bila van propisanih granica i to na kupalištu “Tre Sorele” (kraj maja), Žuta plaža u Dobroti (kraj avgusta) i kupalištu hotela “Teuta” iz Risna (početak juna).</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opštini </w:t>
      </w:r>
      <w:r w:rsidRPr="00BA3069">
        <w:rPr>
          <w:rFonts w:ascii="Arial" w:hAnsi="Arial" w:cs="Arial"/>
          <w:bCs/>
          <w:sz w:val="24"/>
          <w:szCs w:val="24"/>
        </w:rPr>
        <w:t>Herceg Novi</w:t>
      </w:r>
      <w:r w:rsidRPr="00722DF4">
        <w:rPr>
          <w:rFonts w:ascii="Arial" w:hAnsi="Arial" w:cs="Arial"/>
          <w:b/>
          <w:bCs/>
          <w:sz w:val="24"/>
          <w:szCs w:val="24"/>
        </w:rPr>
        <w:t xml:space="preserve"> </w:t>
      </w:r>
      <w:r w:rsidRPr="00722DF4">
        <w:rPr>
          <w:rFonts w:ascii="Arial" w:hAnsi="Arial" w:cs="Arial"/>
          <w:sz w:val="24"/>
          <w:szCs w:val="24"/>
        </w:rPr>
        <w:t>od ukupno 20 kupališta na kojima je praćen kvalitet vode, na njih 7 je tokom cijele sezone kvaliet bio odličan (K1) za kupanje i rekreaciju. Zadovoljavajući kvalitet K2, zabilježen je po tri puta tokom sezone na kupalištu “Sun Resort” (kraj maja, kraj juna i kraj avgusta), i na centralnom dijelu Novosadskog kupališta (kraj maja, kraj juna i kraj avgusta). Kvalitet K2 zabilježen je i po dva puta na kupalištima: Kumbor – centralni dio (početkom jula i sredinom avgusta), i na gradskoj plaži u Meljinama (krajem juna i početkom jula), dok je isti kvalitet po jednom bio i na gradskoj plaži u Meljinama (krajem maja), kupalištu hotela “Palmon bay” (krajem maja), Blatnoj plaži (krajem maja), kupalištu hotela “Delfin” (početkom juna), kupalištu “Yachting club” (početkom juna), kupalištu “Bay beach” (kraj juna), kupalištu ispod Vile Galeb (kraj juna), kupališt</w:t>
      </w:r>
      <w:r w:rsidR="006A75EC" w:rsidRPr="00722DF4">
        <w:rPr>
          <w:rFonts w:ascii="Arial" w:hAnsi="Arial" w:cs="Arial"/>
          <w:sz w:val="24"/>
          <w:szCs w:val="24"/>
        </w:rPr>
        <w:t>u “St. Tropez” (početkom jula) i</w:t>
      </w:r>
      <w:r w:rsidRPr="00722DF4">
        <w:rPr>
          <w:rFonts w:ascii="Arial" w:hAnsi="Arial" w:cs="Arial"/>
          <w:sz w:val="24"/>
          <w:szCs w:val="24"/>
        </w:rPr>
        <w:t xml:space="preserve"> kupalištu Mirišta (početkom jula). Početkom juna je na ukupno 5 kupališta zabilježena voda lošeg kvaliteta (VK) i to na kupalištu hotela “Sun Resort”, centralnom dijelu novosadskog kupališta, kupalištu hotela “Palmon bay”, kupalištu “Bay beach” i kupalištu ispod Vile Galeb.</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A75EC"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Treba uz</w:t>
      </w:r>
      <w:r w:rsidR="00690E9A" w:rsidRPr="00722DF4">
        <w:rPr>
          <w:rFonts w:ascii="Arial" w:hAnsi="Arial" w:cs="Arial"/>
          <w:sz w:val="24"/>
          <w:szCs w:val="24"/>
        </w:rPr>
        <w:t xml:space="preserve">eti u obzir da </w:t>
      </w:r>
      <w:r w:rsidRPr="00722DF4">
        <w:rPr>
          <w:rFonts w:ascii="Arial" w:hAnsi="Arial" w:cs="Arial"/>
          <w:sz w:val="24"/>
          <w:szCs w:val="24"/>
        </w:rPr>
        <w:t xml:space="preserve">je </w:t>
      </w:r>
      <w:r w:rsidR="00690E9A" w:rsidRPr="00722DF4">
        <w:rPr>
          <w:rFonts w:ascii="Arial" w:hAnsi="Arial" w:cs="Arial"/>
          <w:sz w:val="24"/>
          <w:szCs w:val="24"/>
        </w:rPr>
        <w:t>monitoring morskog ekosistema za 2016.</w:t>
      </w:r>
      <w:r w:rsidRPr="00722DF4">
        <w:rPr>
          <w:rFonts w:ascii="Arial" w:hAnsi="Arial" w:cs="Arial"/>
          <w:sz w:val="24"/>
          <w:szCs w:val="24"/>
        </w:rPr>
        <w:t xml:space="preserve"> godinu počeo</w:t>
      </w:r>
      <w:r w:rsidR="00690E9A" w:rsidRPr="00722DF4">
        <w:rPr>
          <w:rFonts w:ascii="Arial" w:hAnsi="Arial" w:cs="Arial"/>
          <w:sz w:val="24"/>
          <w:szCs w:val="24"/>
        </w:rPr>
        <w:t xml:space="preserve"> da se radi tek u junu mjesecu, zbog neplanirano produžene procedure oko tendera, i trebalo bi da traje do juna 2017. godine, što znači da su Agenciji do sad dostavljeni samo podaci koji se odnose na 2016. godinu. Period od juna ili jula je kratak za detaljniju analizu, pogotovo dio koji se odnosi na eutrofikaciju za koje su analize rađene samo 3 mjeseca. Mora se uzeti u obzir da u ovom izvještaju nema podataka iz zimskog perioda, koji je bitan za uporedni godišnji period, kao i za izvještavanje prema Evropskim institucijama i UNEP</w:t>
      </w:r>
      <w:r w:rsidRPr="00722DF4">
        <w:rPr>
          <w:rFonts w:ascii="Arial" w:hAnsi="Arial" w:cs="Arial"/>
          <w:sz w:val="24"/>
          <w:szCs w:val="24"/>
        </w:rPr>
        <w:t>-</w:t>
      </w:r>
      <w:r w:rsidR="00690E9A" w:rsidRPr="00722DF4">
        <w:rPr>
          <w:rFonts w:ascii="Arial" w:hAnsi="Arial" w:cs="Arial"/>
          <w:sz w:val="24"/>
          <w:szCs w:val="24"/>
        </w:rPr>
        <w:t>u, koji zahtjevaju cjelogodišnji monitoring morskog ekosistema.</w:t>
      </w:r>
    </w:p>
    <w:p w:rsidR="006C252D" w:rsidRPr="00722DF4" w:rsidRDefault="006C252D"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Fitoplanktonsko cvjetanje sre</w:t>
      </w:r>
      <w:r w:rsidR="006C252D" w:rsidRPr="00722DF4">
        <w:rPr>
          <w:rFonts w:ascii="Arial" w:hAnsi="Arial" w:cs="Arial"/>
          <w:sz w:val="24"/>
          <w:szCs w:val="24"/>
        </w:rPr>
        <w:t>dnjeg intenziteta je zabilježeno u julu, ali znatno intenzivnije</w:t>
      </w:r>
      <w:r w:rsidRPr="00722DF4">
        <w:rPr>
          <w:rFonts w:ascii="Arial" w:hAnsi="Arial" w:cs="Arial"/>
          <w:sz w:val="24"/>
          <w:szCs w:val="24"/>
        </w:rPr>
        <w:t xml:space="preserve"> cvjetanje je nastupilo u septembru, pri čemu je posebno jako bilo izraženo u Bokokotorskom zalivu, naročito u njegovom unutrašnjem dijelu. Istovremeno, na van </w:t>
      </w:r>
      <w:r w:rsidRPr="00722DF4">
        <w:rPr>
          <w:rFonts w:ascii="Arial" w:hAnsi="Arial" w:cs="Arial"/>
          <w:sz w:val="24"/>
          <w:szCs w:val="24"/>
        </w:rPr>
        <w:lastRenderedPageBreak/>
        <w:t xml:space="preserve">zalivskim lokacijama je do cvjetanja došlo jedino na području Bara, koji se prema svim analiziranim indikatorima nalazi pod pojačanim uticajem otpadnih voda. Povećan broj fitoplanktonskih ćelija, ali uz visoku providnost i dobro zasićenje kiseonikom, i uz izrazito nisku koncentraciju hlorofila a, zabilježen je i na lokaciji Luštica, ali ovdje se vjerovatno radilo o transportu fitoplanktona iz unutrašnjeg dijela Bokokotorskog zaliva prema otvorenom moru. Cvjetanje u Bokokotorskom zalivu je bilo prouzrokovano vrstom </w:t>
      </w:r>
      <w:r w:rsidRPr="00722DF4">
        <w:rPr>
          <w:rFonts w:ascii="Arial" w:hAnsi="Arial" w:cs="Arial"/>
          <w:i/>
          <w:iCs/>
          <w:sz w:val="24"/>
          <w:szCs w:val="24"/>
        </w:rPr>
        <w:t>Dactyliosolen fragilissimus</w:t>
      </w:r>
      <w:r w:rsidRPr="00722DF4">
        <w:rPr>
          <w:rFonts w:ascii="Arial" w:hAnsi="Arial" w:cs="Arial"/>
          <w:sz w:val="24"/>
          <w:szCs w:val="24"/>
        </w:rPr>
        <w:t>, a povišena abundancija iste vrste je zabilježena na lokacijama Herceg Novi i Igalo, te u visokoj abundanciji na lokaciji Luštica koja je smještena neposredno uz Bokokotorski zaliv</w:t>
      </w:r>
      <w:r w:rsidR="00D6443E">
        <w:rPr>
          <w:rFonts w:ascii="Arial" w:hAnsi="Arial" w:cs="Arial"/>
          <w:sz w:val="24"/>
          <w:szCs w:val="24"/>
        </w:rPr>
        <w:t>.</w:t>
      </w:r>
    </w:p>
    <w:p w:rsidR="00690E9A" w:rsidRPr="00722DF4" w:rsidRDefault="00690E9A" w:rsidP="00722DF4">
      <w:pPr>
        <w:autoSpaceDE w:val="0"/>
        <w:autoSpaceDN w:val="0"/>
        <w:adjustRightInd w:val="0"/>
        <w:spacing w:after="0"/>
        <w:jc w:val="both"/>
        <w:rPr>
          <w:rFonts w:ascii="Arial" w:hAnsi="Arial" w:cs="Arial"/>
          <w:sz w:val="24"/>
          <w:szCs w:val="24"/>
        </w:rPr>
      </w:pPr>
    </w:p>
    <w:p w:rsidR="00CD57CC"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Cvjetanje koje se istovremeno odvijalo na području Bara je bilo uzrokovana povećanom abundancijom ćelija </w:t>
      </w:r>
      <w:r w:rsidRPr="00722DF4">
        <w:rPr>
          <w:rFonts w:ascii="Arial" w:hAnsi="Arial" w:cs="Arial"/>
          <w:i/>
          <w:iCs/>
          <w:sz w:val="24"/>
          <w:szCs w:val="24"/>
        </w:rPr>
        <w:t>Pseudo-nitzschia spp</w:t>
      </w:r>
      <w:r w:rsidRPr="00722DF4">
        <w:rPr>
          <w:rFonts w:ascii="Arial" w:hAnsi="Arial" w:cs="Arial"/>
          <w:sz w:val="24"/>
          <w:szCs w:val="24"/>
        </w:rPr>
        <w:t>. U poređenju sa prethodnim mjesecima u septembru je na čitavom području istraživanja, izuzev lokacije Ada Bojana, došlo do značajne promjene N/P odnosa. Naime zbog umjerenog porasta koncentracije azotnih soli i velikog pada koncentracije fosfata, u septembru je N/P odnos značajno porastao. U septembru su zabilježene i najveće vrijednosti TRIX indeksa (Slika 9), na osnovu kojeg se područje Kotorskog zaliva (Kotor, Dobrota) s obzirom na stepen eutrofikacije moglo okarakterisati kao mezotrofno, a područje Risanskog zaliva kao eutrofno. Za razliku od ovog najzatvorenijeg dijela Bokokotorskog zaliva, u ostalim dijelovima zaliva, kao i na svim istraživanim lokacijama izvan zaliva, na osnovu vrijednosti TRIX indeksa, stanje eutrofikacije se može kategorisati kao vrlo dobro stanje. Važno je napomenuti da se ovakav zaključak bazira na svim indikatorima izuzev koncentracije nutrijenata, koja u skoro svim područjima prelazi granične vrijednosti za kategoriju vrlo dobrog stanja. Rezultati fizičko</w:t>
      </w:r>
      <w:r w:rsidR="006C252D" w:rsidRPr="00722DF4">
        <w:rPr>
          <w:rFonts w:ascii="Arial" w:hAnsi="Arial" w:cs="Arial"/>
          <w:sz w:val="24"/>
          <w:szCs w:val="24"/>
        </w:rPr>
        <w:t xml:space="preserve"> </w:t>
      </w:r>
      <w:r w:rsidRPr="00722DF4">
        <w:rPr>
          <w:rFonts w:ascii="Arial" w:hAnsi="Arial" w:cs="Arial"/>
          <w:sz w:val="24"/>
          <w:szCs w:val="24"/>
        </w:rPr>
        <w:t>hemijske analize otpadnih voda uzorkovanih na svim glavnim</w:t>
      </w:r>
      <w:r w:rsidR="006C252D" w:rsidRPr="00722DF4">
        <w:rPr>
          <w:rFonts w:ascii="Arial" w:hAnsi="Arial" w:cs="Arial"/>
          <w:sz w:val="24"/>
          <w:szCs w:val="24"/>
        </w:rPr>
        <w:t xml:space="preserve"> </w:t>
      </w:r>
      <w:r w:rsidRPr="00722DF4">
        <w:rPr>
          <w:rFonts w:ascii="Arial" w:hAnsi="Arial" w:cs="Arial"/>
          <w:sz w:val="24"/>
          <w:szCs w:val="24"/>
        </w:rPr>
        <w:t>kanalizacionim ispustima u gradovima koji nemaju postrojenja za prečišćavanje komunalnih voda (Ulcinj, Bar, Herceg Novi) su kvalitetom izvan uslova predviđenih Pravilnikom o kvalitetu i sanitarno-tehničkim uslovima za ispuštanje otpadnih voda u recipijent i javnu kanalizaciju, načinu i postupku ispitivanja kvaliteta otpadnih voda, minimalnom broju ispitivanja i sadržaju izvještaja o utvrđenom kvalitetu otpadnih voda ("Sl. list Crne Gore", br. 45/08, 09/10, 26/12, 52/12 i 59/13).</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cilju određivanja trenda zagađenja neophodno je kontinuirano (svake godine) sprovoditi monitoring istog obima, na istim lokacijama i periodima mjerenja a da bi dobili neki opsežniji zaključci u tom pogledu. Prema MEDPOL preporukama neophodno bi bilo da se podaci sakupljani 10 godina u kontinuitetu objedine i tek tada bismo znali pravo stanje morske sredine u pogledu kontaminacije, kako organskim tako i neorganskim polutantima. Jasno je da je, preporuka i ovog izvještaja, da je neophodno obezbijediti dodatna sredstva za redovni godišnji monitoring, s obzirom na njegov značaj u pogledu praćenja ekosistema priobalnog mora.</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BA3069" w:rsidRDefault="00690E9A" w:rsidP="00722DF4">
      <w:pPr>
        <w:autoSpaceDE w:val="0"/>
        <w:autoSpaceDN w:val="0"/>
        <w:adjustRightInd w:val="0"/>
        <w:spacing w:after="0"/>
        <w:jc w:val="both"/>
        <w:rPr>
          <w:rFonts w:ascii="Arial" w:hAnsi="Arial" w:cs="Arial"/>
          <w:sz w:val="24"/>
          <w:szCs w:val="24"/>
        </w:rPr>
      </w:pPr>
      <w:r w:rsidRPr="00BA3069">
        <w:rPr>
          <w:rFonts w:ascii="Arial" w:hAnsi="Arial" w:cs="Arial"/>
          <w:sz w:val="24"/>
          <w:szCs w:val="24"/>
        </w:rPr>
        <w:t>Možemo reći da se dobijeni podaci o ovom segmentu životne sredine kreću u prihvatljivim okvirima i nisu alarmantni, ali svakako neophodno je preduzeti niz mjera za adekvatnije očuvanje i zaštitu morskog ekosistema.</w:t>
      </w:r>
    </w:p>
    <w:p w:rsidR="00690E9A" w:rsidRPr="00722DF4" w:rsidRDefault="00690E9A" w:rsidP="00722DF4">
      <w:pPr>
        <w:autoSpaceDE w:val="0"/>
        <w:autoSpaceDN w:val="0"/>
        <w:adjustRightInd w:val="0"/>
        <w:spacing w:after="0"/>
        <w:jc w:val="both"/>
        <w:rPr>
          <w:rFonts w:ascii="Arial" w:hAnsi="Arial" w:cs="Arial"/>
          <w:sz w:val="24"/>
          <w:szCs w:val="24"/>
        </w:rPr>
      </w:pPr>
    </w:p>
    <w:p w:rsidR="00D6443E" w:rsidRDefault="00690E9A" w:rsidP="00D6443E">
      <w:pPr>
        <w:pStyle w:val="Heading4"/>
        <w:numPr>
          <w:ilvl w:val="0"/>
          <w:numId w:val="0"/>
        </w:numPr>
        <w:spacing w:before="0"/>
        <w:jc w:val="both"/>
        <w:rPr>
          <w:rFonts w:ascii="Arial" w:hAnsi="Arial" w:cs="Arial"/>
          <w:szCs w:val="24"/>
        </w:rPr>
      </w:pPr>
      <w:r w:rsidRPr="00722DF4">
        <w:rPr>
          <w:rFonts w:ascii="Arial" w:hAnsi="Arial" w:cs="Arial"/>
          <w:szCs w:val="24"/>
        </w:rPr>
        <w:t>2.5.3.</w:t>
      </w:r>
      <w:r w:rsidR="00CD57CC" w:rsidRPr="00722DF4">
        <w:rPr>
          <w:rFonts w:ascii="Arial" w:hAnsi="Arial" w:cs="Arial"/>
          <w:szCs w:val="24"/>
        </w:rPr>
        <w:t>2</w:t>
      </w:r>
      <w:r w:rsidRPr="00722DF4">
        <w:rPr>
          <w:rFonts w:ascii="Arial" w:hAnsi="Arial" w:cs="Arial"/>
          <w:szCs w:val="24"/>
        </w:rPr>
        <w:t>. Kvalitet vode i sedimenta HOT SPOT-ova</w:t>
      </w:r>
    </w:p>
    <w:p w:rsidR="00B61137" w:rsidRPr="00B61137" w:rsidRDefault="00B61137" w:rsidP="00B61137">
      <w:pPr>
        <w:pStyle w:val="Body"/>
      </w:pPr>
    </w:p>
    <w:p w:rsidR="00690E9A" w:rsidRPr="00722DF4" w:rsidRDefault="00690E9A" w:rsidP="00722DF4">
      <w:pPr>
        <w:spacing w:after="0"/>
        <w:jc w:val="both"/>
        <w:rPr>
          <w:rFonts w:ascii="Arial" w:hAnsi="Arial" w:cs="Arial"/>
          <w:sz w:val="24"/>
          <w:szCs w:val="24"/>
        </w:rPr>
      </w:pPr>
      <w:r w:rsidRPr="00722DF4">
        <w:rPr>
          <w:rFonts w:ascii="Arial" w:hAnsi="Arial" w:cs="Arial"/>
          <w:sz w:val="24"/>
          <w:szCs w:val="24"/>
        </w:rPr>
        <w:t xml:space="preserve">U okviru Programa praćenja kvaliteta vode i sedimenta HOT SPOT-ova izvršeno je uzorkovanje sedimenta i morske vode na lokacijama koje su definisane kao hot spot lokacije (Brodogradilište Bijela, Porto Montenegro i Luka Bar), lokaciji koja predstavlja tranziciono, senzitivno područje (Ada Bojana) i lokaciji koja predstavlja referentnu lokaciju (Dobra Luka na poluostrvu Luštici). Program praćenja kvaliteta vode i sedimenta na navedenim lokacijama obuhvatao je analizu istih na sledeće parametre: Cd, Hg, Cu, Ni, Fe, Mn, Pb, Zn, Cr, As, organokalajna jedinjenja (TBT i TMT), organohlorni pesticidi, PCBs, PAH-ovi, mineralna ulja naftnog porijekla, dioksini i furani, hlorobenzeni i hlorfenoli. Sediment, kao esencijalni, integralni dio morskog ekosistema predstavlja stanište brojnim organizmima, važan je izvor nutrijenata, pri čemu stvara povoljne uslove za raznolikost biodiverziteta. Brz tehnološki razvoj doveo je do povećane emisije polutanata u životnu sredinu a samim tim i degradacije kvaliteta sedimenta, koji je potencijalni apsorber za mnoge polutante, utičući na kvalitet cjelokupnog ekosistema. Zagađen sediment ima direktan negativan uticaj na faunu morskog dna i predstavlja potencijalno dugotrajan izvor polutanata koji mogu nepovoljno da utiču na živi svijet i ljude kroz lanac ishrane ili putem direktnog kontakta. Razni neorganski i organski polutanti predstavljaju opasnost za sediment, akvatične ekosisteme ali i za čovjeka zbog izražene tendencije inkorporacije u sediment, perzistentnosti, toksičnosti i sposobnosti bioakumulacije. Koncentracije polutanata iznad određenog nivoa kontaminacija mogu rezultirati negativnim uticajem na biodiverzitet. </w:t>
      </w:r>
    </w:p>
    <w:p w:rsidR="00690E9A" w:rsidRPr="00722DF4" w:rsidRDefault="00690E9A" w:rsidP="00722DF4">
      <w:pPr>
        <w:spacing w:after="0"/>
        <w:jc w:val="both"/>
        <w:rPr>
          <w:rFonts w:ascii="Arial" w:hAnsi="Arial" w:cs="Arial"/>
          <w:sz w:val="24"/>
          <w:szCs w:val="24"/>
        </w:rPr>
      </w:pPr>
      <w:r w:rsidRPr="00722DF4">
        <w:rPr>
          <w:rFonts w:ascii="Arial" w:hAnsi="Arial" w:cs="Arial"/>
          <w:sz w:val="24"/>
          <w:szCs w:val="24"/>
        </w:rPr>
        <w:t>U uzorcima sedimenata uzorkovanim u toku 2016. godine, u skladu sa Programom monitoringa analizirani su organski i neorganski polutanti. Kako regulativa za maksimalno dozvoljene koncentracije polutanata u sedimentu u Crnoj Gori ne postoji, rezultati analize uzoraka sedimenata posmatrani u odnosu na preporuke UK i holandskog standarda za metale i organske supstance a odnose se na bagerovane</w:t>
      </w:r>
    </w:p>
    <w:p w:rsidR="00CD57CC" w:rsidRPr="00722DF4" w:rsidRDefault="00CD57CC" w:rsidP="00722DF4">
      <w:pPr>
        <w:keepNext/>
        <w:keepLines/>
        <w:spacing w:after="0"/>
        <w:jc w:val="both"/>
        <w:outlineLvl w:val="2"/>
        <w:rPr>
          <w:rFonts w:ascii="Arial" w:eastAsia="Times New Roman" w:hAnsi="Arial" w:cs="Arial"/>
          <w:sz w:val="24"/>
          <w:szCs w:val="24"/>
        </w:rPr>
      </w:pPr>
    </w:p>
    <w:p w:rsidR="00690E9A" w:rsidRDefault="00690E9A" w:rsidP="00722DF4">
      <w:pPr>
        <w:pStyle w:val="Heading3"/>
        <w:numPr>
          <w:ilvl w:val="0"/>
          <w:numId w:val="0"/>
        </w:numPr>
        <w:spacing w:before="0"/>
        <w:jc w:val="both"/>
        <w:rPr>
          <w:rFonts w:cs="Arial"/>
          <w:szCs w:val="24"/>
          <w:lang w:val="sr-Latn-CS"/>
        </w:rPr>
      </w:pPr>
      <w:bookmarkStart w:id="32" w:name="_Toc6172823"/>
      <w:r w:rsidRPr="00722DF4">
        <w:rPr>
          <w:rFonts w:cs="Arial"/>
          <w:szCs w:val="24"/>
        </w:rPr>
        <w:t>2.5.4. Poplave</w:t>
      </w:r>
      <w:bookmarkEnd w:id="32"/>
      <w:r w:rsidRPr="00722DF4">
        <w:rPr>
          <w:rFonts w:cs="Arial"/>
          <w:szCs w:val="24"/>
        </w:rPr>
        <w:t xml:space="preserve"> </w:t>
      </w:r>
    </w:p>
    <w:p w:rsidR="00D6443E" w:rsidRPr="00D6443E" w:rsidRDefault="00D6443E" w:rsidP="00D6443E">
      <w:pPr>
        <w:rPr>
          <w:lang w:val="sr-Latn-CS"/>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Crnoj Gori dolazi do poplava prvenstveno zbog hidrologije rijeka (bujični tip), meandriranja po ravnicama, kraških polja, prisutnosti poplavnih ravnica i konflikta s prostorom ograničenim poljoprivrednim zemljištem i infrastrukturom. Zaštitu od poplava i </w:t>
      </w:r>
      <w:r w:rsidRPr="00722DF4">
        <w:rPr>
          <w:rFonts w:ascii="Arial" w:hAnsi="Arial" w:cs="Arial"/>
          <w:sz w:val="24"/>
          <w:szCs w:val="24"/>
        </w:rPr>
        <w:lastRenderedPageBreak/>
        <w:t>mijenjanje rječnih korita potrebno je pažljivo planirati, u srazmjeri sa očuvanjem vodenih ekosistema sa velikom sposobnošću samoprečišćavanja.</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Naglašavamo da dodatnu opasnost od poplava uzrokuju nepravilno planirane gradnje u poplavnim ravnicama i kraškim poljima. Praktično sve rijeke u Crnoj Gori u svom gornjem toku, a neke i cijelom dužinom, bujičnog su karaktera. To znači da postoje velike razlike u protoku većih i manjih voda i redovne pojave bujičnih talasa sa znatnom koncentracijom nanosa. Pristup problemu zaštite od bujica zavisi od veličine vodotoka. U slučaju većih bujičnih tokova, zaštita od voda se postiže klasi</w:t>
      </w:r>
      <w:r w:rsidR="00CD57CC" w:rsidRPr="00722DF4">
        <w:rPr>
          <w:rFonts w:ascii="Arial" w:hAnsi="Arial" w:cs="Arial"/>
          <w:sz w:val="24"/>
          <w:szCs w:val="24"/>
        </w:rPr>
        <w:t>čnim mjerama uređenja vodotoka i</w:t>
      </w:r>
      <w:r w:rsidRPr="00722DF4">
        <w:rPr>
          <w:rFonts w:ascii="Arial" w:hAnsi="Arial" w:cs="Arial"/>
          <w:sz w:val="24"/>
          <w:szCs w:val="24"/>
        </w:rPr>
        <w:t xml:space="preserve"> odbrane od poplava. U slučaju manjih bujičnih tokova, mjere se zasnivaju na kompleksnom antierozionom uređenju sliva. Postoje velike razlike u protoku velikih</w:t>
      </w:r>
      <w:r w:rsidR="00CD57CC" w:rsidRPr="00722DF4">
        <w:rPr>
          <w:rFonts w:ascii="Arial" w:hAnsi="Arial" w:cs="Arial"/>
          <w:sz w:val="24"/>
          <w:szCs w:val="24"/>
        </w:rPr>
        <w:t xml:space="preserve"> i malih voda (veće od 1000:1) i</w:t>
      </w:r>
      <w:r w:rsidRPr="00722DF4">
        <w:rPr>
          <w:rFonts w:ascii="Arial" w:hAnsi="Arial" w:cs="Arial"/>
          <w:sz w:val="24"/>
          <w:szCs w:val="24"/>
        </w:rPr>
        <w:t xml:space="preserve"> redovne pojave bujičnih talasa sa znatnom koncentracijom nanosa. Takva karakteristika  glavnog toka nije moguća bez brojnih bujičnih pritoka izuzetno kratkog toka i velikih podužnih padova sa svim uslovima za formiranje razornih bujičnih talasa. Svaki od tih brojnih bujičnih tokova ugrožava saobraćajnice i naselja.</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690E9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Poplavama u Crnoj Gori najviše su ugrožene velike površine zemljišta po obodu Skadarskog jezera, u zoni donjeg toka Morače, kao i pored Bojane. Osim toga, veći značaj imaju i poplave u Polimlju, od Gusinja do Zatona, kod Kolašina i Mojkovca, kao i u dolini Ćehotine kod Pljevalja. Po značaju, odnosno po veličini štete, ne mogu se zaobići poplave koje nastaju u većim i manjim karstnim poljima. U tom pogledu svakako su najčešće poplave u Cetinjskom i Nikšićkom polju.</w:t>
      </w:r>
    </w:p>
    <w:p w:rsidR="00690E9A" w:rsidRPr="00722DF4" w:rsidRDefault="00690E9A" w:rsidP="00722DF4">
      <w:pPr>
        <w:autoSpaceDE w:val="0"/>
        <w:autoSpaceDN w:val="0"/>
        <w:adjustRightInd w:val="0"/>
        <w:spacing w:after="0"/>
        <w:jc w:val="both"/>
        <w:rPr>
          <w:rFonts w:ascii="Arial" w:hAnsi="Arial" w:cs="Arial"/>
          <w:sz w:val="24"/>
          <w:szCs w:val="24"/>
        </w:rPr>
      </w:pPr>
    </w:p>
    <w:p w:rsidR="00690E9A" w:rsidRPr="00722DF4" w:rsidRDefault="00D6443E" w:rsidP="00722DF4">
      <w:pPr>
        <w:spacing w:after="0"/>
        <w:jc w:val="both"/>
        <w:rPr>
          <w:rFonts w:ascii="Arial" w:hAnsi="Arial" w:cs="Arial"/>
          <w:sz w:val="24"/>
          <w:szCs w:val="24"/>
        </w:rPr>
      </w:pPr>
      <w:r>
        <w:rPr>
          <w:rFonts w:ascii="Arial" w:hAnsi="Arial" w:cs="Arial"/>
          <w:sz w:val="24"/>
          <w:szCs w:val="24"/>
        </w:rPr>
        <w:t>Na slici 2.35.</w:t>
      </w:r>
      <w:r w:rsidR="00690E9A" w:rsidRPr="00722DF4">
        <w:rPr>
          <w:rFonts w:ascii="Arial" w:hAnsi="Arial" w:cs="Arial"/>
          <w:sz w:val="24"/>
          <w:szCs w:val="24"/>
        </w:rPr>
        <w:t xml:space="preserve"> vidljive su poplavne površine na području Crne Gore.</w:t>
      </w:r>
    </w:p>
    <w:p w:rsidR="00690E9A" w:rsidRPr="00722DF4" w:rsidRDefault="001210F4" w:rsidP="00722DF4">
      <w:pPr>
        <w:spacing w:after="0"/>
        <w:jc w:val="both"/>
        <w:rPr>
          <w:rFonts w:ascii="Arial" w:hAnsi="Arial" w:cs="Arial"/>
          <w:sz w:val="24"/>
          <w:szCs w:val="24"/>
        </w:rPr>
      </w:pPr>
      <w:r>
        <w:rPr>
          <w:rFonts w:ascii="Arial" w:hAnsi="Arial" w:cs="Arial"/>
          <w:noProof/>
          <w:sz w:val="24"/>
          <w:szCs w:val="24"/>
        </w:rPr>
        <w:lastRenderedPageBreak/>
        <w:drawing>
          <wp:inline distT="0" distB="0" distL="0" distR="0">
            <wp:extent cx="4856480" cy="5132705"/>
            <wp:effectExtent l="19050" t="0" r="1270" b="0"/>
            <wp:docPr id="4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49" cstate="print"/>
                    <a:srcRect l="3847" r="2747" b="2882"/>
                    <a:stretch>
                      <a:fillRect/>
                    </a:stretch>
                  </pic:blipFill>
                  <pic:spPr bwMode="auto">
                    <a:xfrm>
                      <a:off x="0" y="0"/>
                      <a:ext cx="4856480" cy="5132705"/>
                    </a:xfrm>
                    <a:prstGeom prst="rect">
                      <a:avLst/>
                    </a:prstGeom>
                    <a:noFill/>
                    <a:ln w="9525">
                      <a:noFill/>
                      <a:miter lim="800000"/>
                      <a:headEnd/>
                      <a:tailEnd/>
                    </a:ln>
                  </pic:spPr>
                </pic:pic>
              </a:graphicData>
            </a:graphic>
          </wp:inline>
        </w:drawing>
      </w:r>
    </w:p>
    <w:p w:rsidR="00690E9A" w:rsidRPr="00722DF4" w:rsidRDefault="00690E9A" w:rsidP="00722DF4">
      <w:pPr>
        <w:tabs>
          <w:tab w:val="left" w:pos="1605"/>
        </w:tabs>
        <w:spacing w:after="0"/>
        <w:jc w:val="both"/>
        <w:rPr>
          <w:rFonts w:ascii="Arial" w:hAnsi="Arial" w:cs="Arial"/>
          <w:sz w:val="24"/>
          <w:szCs w:val="24"/>
        </w:rPr>
      </w:pPr>
    </w:p>
    <w:p w:rsidR="00CD57CC" w:rsidRPr="007806FD" w:rsidRDefault="00690E9A" w:rsidP="00B6390F">
      <w:pPr>
        <w:pStyle w:val="Normal1"/>
        <w:rPr>
          <w:rFonts w:eastAsia="Calibri"/>
          <w:i/>
          <w:sz w:val="22"/>
          <w:szCs w:val="22"/>
          <w:lang w:val="sr-Latn-CS"/>
        </w:rPr>
      </w:pPr>
      <w:r w:rsidRPr="00B61137">
        <w:rPr>
          <w:rFonts w:eastAsia="Calibri"/>
          <w:b/>
          <w:sz w:val="22"/>
          <w:szCs w:val="22"/>
        </w:rPr>
        <w:t>Slika 2.</w:t>
      </w:r>
      <w:r w:rsidR="00D6443E" w:rsidRPr="00B61137">
        <w:rPr>
          <w:rFonts w:eastAsia="Calibri"/>
          <w:b/>
          <w:sz w:val="22"/>
          <w:szCs w:val="22"/>
        </w:rPr>
        <w:t>3</w:t>
      </w:r>
      <w:r w:rsidR="00D6443E" w:rsidRPr="00B61137">
        <w:rPr>
          <w:rFonts w:eastAsia="Calibri"/>
          <w:b/>
          <w:sz w:val="22"/>
          <w:szCs w:val="22"/>
          <w:lang w:val="sr-Latn-CS"/>
        </w:rPr>
        <w:t>5</w:t>
      </w:r>
      <w:r w:rsidRPr="00B61137">
        <w:rPr>
          <w:rFonts w:eastAsia="Calibri"/>
          <w:b/>
          <w:sz w:val="22"/>
          <w:szCs w:val="22"/>
        </w:rPr>
        <w:t>.</w:t>
      </w:r>
      <w:r w:rsidRPr="00B61137">
        <w:rPr>
          <w:rFonts w:eastAsia="Calibri"/>
          <w:sz w:val="22"/>
          <w:szCs w:val="22"/>
        </w:rPr>
        <w:t xml:space="preserve"> Poplavne površine Crne Gore </w:t>
      </w:r>
      <w:r w:rsidRPr="007806FD">
        <w:rPr>
          <w:rFonts w:eastAsia="Calibri"/>
          <w:i/>
          <w:sz w:val="22"/>
          <w:szCs w:val="22"/>
        </w:rPr>
        <w:t>(Izvor: Vodoprivredna osnova Republike Crne Gore, Ministarstvo poljoprivrede, šumarstva i vodoprivrede, 2001)</w:t>
      </w:r>
    </w:p>
    <w:p w:rsidR="00D6443E" w:rsidRPr="00D6443E" w:rsidRDefault="00D6443E" w:rsidP="00D6443E">
      <w:pPr>
        <w:rPr>
          <w:lang w:val="sr-Latn-CS"/>
        </w:rPr>
      </w:pPr>
    </w:p>
    <w:p w:rsidR="005D7F3A" w:rsidRPr="00D6443E" w:rsidRDefault="3B4348E7" w:rsidP="00722DF4">
      <w:pPr>
        <w:pStyle w:val="Heading2"/>
        <w:numPr>
          <w:ilvl w:val="0"/>
          <w:numId w:val="0"/>
        </w:numPr>
        <w:spacing w:before="0"/>
        <w:jc w:val="both"/>
        <w:rPr>
          <w:rFonts w:cs="Arial"/>
          <w:szCs w:val="24"/>
        </w:rPr>
      </w:pPr>
      <w:bookmarkStart w:id="33" w:name="_Toc6172824"/>
      <w:r w:rsidRPr="00D6443E">
        <w:rPr>
          <w:rFonts w:cs="Arial"/>
          <w:szCs w:val="24"/>
        </w:rPr>
        <w:t>2.6. Biodiverzitet i zaštićena područja</w:t>
      </w:r>
      <w:bookmarkEnd w:id="33"/>
    </w:p>
    <w:p w:rsidR="00353F5E" w:rsidRDefault="3B4348E7" w:rsidP="00722DF4">
      <w:pPr>
        <w:pStyle w:val="Heading3"/>
        <w:numPr>
          <w:ilvl w:val="0"/>
          <w:numId w:val="0"/>
        </w:numPr>
        <w:spacing w:before="0"/>
        <w:jc w:val="both"/>
        <w:rPr>
          <w:rFonts w:cs="Arial"/>
          <w:szCs w:val="24"/>
          <w:lang w:val="sr-Latn-CS"/>
        </w:rPr>
      </w:pPr>
      <w:bookmarkStart w:id="34" w:name="_Toc6172825"/>
      <w:r w:rsidRPr="00D6443E">
        <w:rPr>
          <w:rFonts w:cs="Arial"/>
          <w:szCs w:val="24"/>
        </w:rPr>
        <w:t>2.6.1 Biodiverzitet</w:t>
      </w:r>
      <w:bookmarkEnd w:id="34"/>
      <w:r w:rsidRPr="00722DF4">
        <w:rPr>
          <w:rFonts w:cs="Arial"/>
          <w:szCs w:val="24"/>
        </w:rPr>
        <w:t xml:space="preserve"> </w:t>
      </w:r>
    </w:p>
    <w:p w:rsidR="00D6443E" w:rsidRPr="00D6443E" w:rsidRDefault="00D6443E" w:rsidP="00D6443E">
      <w:pPr>
        <w:rPr>
          <w:lang w:val="sr-Latn-CS"/>
        </w:rPr>
      </w:pPr>
    </w:p>
    <w:p w:rsidR="007F40F4" w:rsidRDefault="00F159A9"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Raznovrsnost geološke podloge, predjela, klime i zemljišta, te geografska pozicija Crne Gore na Balkanskom poluostrvu i Jadranu, uslovili su </w:t>
      </w:r>
      <w:r w:rsidRPr="00722DF4">
        <w:rPr>
          <w:rFonts w:ascii="Arial" w:hAnsi="Arial" w:cs="Arial"/>
          <w:b/>
          <w:sz w:val="24"/>
          <w:szCs w:val="24"/>
        </w:rPr>
        <w:t xml:space="preserve">bogatstvo biodiverziteta. </w:t>
      </w:r>
      <w:r w:rsidRPr="00722DF4">
        <w:rPr>
          <w:rFonts w:ascii="Arial" w:hAnsi="Arial" w:cs="Arial"/>
          <w:sz w:val="24"/>
          <w:szCs w:val="24"/>
        </w:rPr>
        <w:t xml:space="preserve">Po bogatstvu vrsta flore i faune i raznovrsnosti ekosistema Crna Gora spada među vodeće </w:t>
      </w:r>
      <w:r w:rsidR="00E250E4" w:rsidRPr="00722DF4">
        <w:rPr>
          <w:rFonts w:ascii="Arial" w:hAnsi="Arial" w:cs="Arial"/>
          <w:sz w:val="24"/>
          <w:szCs w:val="24"/>
        </w:rPr>
        <w:lastRenderedPageBreak/>
        <w:t>zemlje u Evropi</w:t>
      </w:r>
      <w:r w:rsidR="00616714" w:rsidRPr="00722DF4">
        <w:rPr>
          <w:rStyle w:val="FootnoteReference"/>
          <w:rFonts w:ascii="Arial" w:hAnsi="Arial" w:cs="Arial"/>
          <w:sz w:val="24"/>
          <w:szCs w:val="24"/>
        </w:rPr>
        <w:footnoteReference w:id="3"/>
      </w:r>
      <w:r w:rsidR="00E250E4" w:rsidRPr="00722DF4">
        <w:rPr>
          <w:rFonts w:ascii="Arial" w:hAnsi="Arial" w:cs="Arial"/>
          <w:sz w:val="24"/>
          <w:szCs w:val="24"/>
        </w:rPr>
        <w:t xml:space="preserve">. </w:t>
      </w:r>
      <w:r w:rsidR="00DA1678">
        <w:rPr>
          <w:rFonts w:ascii="Arial" w:hAnsi="Arial" w:cs="Arial"/>
          <w:sz w:val="24"/>
          <w:szCs w:val="24"/>
        </w:rPr>
        <w:t xml:space="preserve">Bez obzira na dugu tradiciju izučavanja biodiverziteta, još uvijek nije poznat konačan broj vrsta koje naseljavaju crnogorsku teritoriju. </w:t>
      </w:r>
      <w:r w:rsidRPr="00722DF4">
        <w:rPr>
          <w:rFonts w:ascii="Arial" w:hAnsi="Arial" w:cs="Arial"/>
          <w:sz w:val="24"/>
          <w:szCs w:val="24"/>
        </w:rPr>
        <w:t>Oko 20% ukupne flore pripada endemičnim i subendemičnim biljkama.</w:t>
      </w:r>
    </w:p>
    <w:p w:rsidR="007806FD" w:rsidRPr="00722DF4" w:rsidRDefault="007806FD" w:rsidP="00722DF4">
      <w:pPr>
        <w:autoSpaceDE w:val="0"/>
        <w:autoSpaceDN w:val="0"/>
        <w:adjustRightInd w:val="0"/>
        <w:spacing w:after="0"/>
        <w:jc w:val="both"/>
        <w:rPr>
          <w:rFonts w:ascii="Arial" w:hAnsi="Arial" w:cs="Arial"/>
          <w:sz w:val="24"/>
          <w:szCs w:val="24"/>
        </w:rPr>
      </w:pPr>
    </w:p>
    <w:p w:rsidR="00F159A9" w:rsidRPr="00722DF4" w:rsidRDefault="3B4348E7" w:rsidP="00722DF4">
      <w:pPr>
        <w:pStyle w:val="NoSpacing"/>
        <w:spacing w:line="276" w:lineRule="auto"/>
        <w:jc w:val="both"/>
        <w:rPr>
          <w:rFonts w:ascii="Arial" w:hAnsi="Arial" w:cs="Arial"/>
        </w:rPr>
      </w:pPr>
      <w:r w:rsidRPr="00722DF4">
        <w:rPr>
          <w:rFonts w:ascii="Arial" w:hAnsi="Arial" w:cs="Arial"/>
        </w:rPr>
        <w:t xml:space="preserve">Zbog svoje rijetkosti i ranjivosti, zaštićeno je 410 biljnih i 428 životinjskih vrsta. Ekosistemski diverzitet ogleda se u prisustvu različitih tipova ekosistema, i to: planinskih, šumskih, travnatih, slatkovodnih, morskih, priobalnih, karstnih, pećinskih i kanjonskih.; </w:t>
      </w:r>
      <w:r w:rsidR="00DA1678">
        <w:rPr>
          <w:rFonts w:ascii="Arial" w:hAnsi="Arial" w:cs="Arial"/>
        </w:rPr>
        <w:t>U</w:t>
      </w:r>
      <w:r w:rsidRPr="00722DF4">
        <w:rPr>
          <w:rFonts w:ascii="Arial" w:hAnsi="Arial" w:cs="Arial"/>
        </w:rPr>
        <w:t xml:space="preserve">sljed nedostatka istraživanja, njihov konačan broj još uvijek nije poznat. Za ekonomski rast i razvoj biodiverziteta takođe je izuzetno značajan prirodni resurs. </w:t>
      </w:r>
    </w:p>
    <w:p w:rsidR="00EE34E5" w:rsidRPr="00722DF4" w:rsidRDefault="00EE34E5" w:rsidP="00722DF4">
      <w:pPr>
        <w:pStyle w:val="NoSpacing"/>
        <w:spacing w:line="276" w:lineRule="auto"/>
        <w:jc w:val="both"/>
        <w:rPr>
          <w:rFonts w:ascii="Arial" w:hAnsi="Arial" w:cs="Arial"/>
        </w:rPr>
      </w:pPr>
    </w:p>
    <w:p w:rsidR="00353F5E" w:rsidRPr="00722DF4" w:rsidRDefault="3B4348E7" w:rsidP="00722DF4">
      <w:pPr>
        <w:pStyle w:val="NoSpacing"/>
        <w:spacing w:line="276" w:lineRule="auto"/>
        <w:jc w:val="both"/>
        <w:rPr>
          <w:rFonts w:ascii="Arial" w:hAnsi="Arial" w:cs="Arial"/>
        </w:rPr>
      </w:pPr>
      <w:r w:rsidRPr="00722DF4">
        <w:rPr>
          <w:rFonts w:ascii="Arial" w:hAnsi="Arial" w:cs="Arial"/>
        </w:rPr>
        <w:t xml:space="preserve">Nema dovoljno preciznih i sistematskih podataka o stanju ekosistema. Program praćenja biodiverziteta sprovodi se relativno kratko vrijeme (od 2000. godine), u veoma redukovanom obimu i ne omogućava punu ocjenu stanja i trendova. Ipak, i na osnovu tako ograničenih podataka evidentirani su značajni pritisci i primjeri degradacije. Najugroženije ekosisteme čine </w:t>
      </w:r>
      <w:r w:rsidRPr="00722DF4">
        <w:rPr>
          <w:rFonts w:ascii="Arial" w:hAnsi="Arial" w:cs="Arial"/>
          <w:b/>
        </w:rPr>
        <w:t>šumska vegetacija</w:t>
      </w:r>
      <w:r w:rsidRPr="00722DF4">
        <w:rPr>
          <w:rFonts w:ascii="Arial" w:hAnsi="Arial" w:cs="Arial"/>
        </w:rPr>
        <w:t xml:space="preserve"> (zbog stalne eksploatacije), te </w:t>
      </w:r>
      <w:r w:rsidRPr="00722DF4">
        <w:rPr>
          <w:rFonts w:ascii="Arial" w:hAnsi="Arial" w:cs="Arial"/>
          <w:b/>
        </w:rPr>
        <w:t>obalni</w:t>
      </w:r>
      <w:r w:rsidRPr="00722DF4">
        <w:rPr>
          <w:rFonts w:ascii="Arial" w:hAnsi="Arial" w:cs="Arial"/>
        </w:rPr>
        <w:t xml:space="preserve"> (zbog pretvaranja prirodnih staništa u izgrađene prostore) i </w:t>
      </w:r>
      <w:r w:rsidRPr="00722DF4">
        <w:rPr>
          <w:rFonts w:ascii="Arial" w:hAnsi="Arial" w:cs="Arial"/>
          <w:b/>
        </w:rPr>
        <w:t>vodeni ekosistemi</w:t>
      </w:r>
      <w:r w:rsidRPr="00722DF4">
        <w:rPr>
          <w:rFonts w:ascii="Arial" w:hAnsi="Arial" w:cs="Arial"/>
        </w:rPr>
        <w:t xml:space="preserve"> (zbog različitih vidova zagađenja i eksploatacije šljunka i pijeska, što smanjuje produktivnost ovih ekosistema).</w:t>
      </w:r>
    </w:p>
    <w:p w:rsidR="0022379B" w:rsidRPr="00722DF4" w:rsidRDefault="0022379B" w:rsidP="00722DF4">
      <w:pPr>
        <w:pStyle w:val="NoSpacing"/>
        <w:spacing w:line="276" w:lineRule="auto"/>
        <w:jc w:val="both"/>
        <w:rPr>
          <w:rFonts w:ascii="Arial" w:hAnsi="Arial" w:cs="Arial"/>
        </w:rPr>
      </w:pPr>
    </w:p>
    <w:p w:rsidR="00B30F8F" w:rsidRPr="00722DF4" w:rsidRDefault="006A726F" w:rsidP="00722DF4">
      <w:pPr>
        <w:pStyle w:val="NoSpacing"/>
        <w:spacing w:line="276" w:lineRule="auto"/>
        <w:jc w:val="both"/>
        <w:rPr>
          <w:rFonts w:ascii="Arial" w:hAnsi="Arial" w:cs="Arial"/>
        </w:rPr>
      </w:pPr>
      <w:r w:rsidRPr="00722DF4">
        <w:rPr>
          <w:rFonts w:ascii="Arial" w:hAnsi="Arial" w:cs="Arial"/>
        </w:rPr>
        <w:t>Rastu pri</w:t>
      </w:r>
      <w:r w:rsidR="3B4348E7" w:rsidRPr="00722DF4">
        <w:rPr>
          <w:rFonts w:ascii="Arial" w:hAnsi="Arial" w:cs="Arial"/>
        </w:rPr>
        <w:t xml:space="preserve">tisci na životnu sredinu prostora fragmentiranog širenjem građevinskih područja. Time se posebno narušava biodiverzitet i vrijednosti predjela, a ugrožava se atraktivnost i kapacitet poljoprivrednog zemljišta. </w:t>
      </w:r>
    </w:p>
    <w:p w:rsidR="00401F68" w:rsidRPr="00722DF4" w:rsidRDefault="00401F68" w:rsidP="00722DF4">
      <w:pPr>
        <w:pStyle w:val="NoSpacing"/>
        <w:spacing w:line="276" w:lineRule="auto"/>
        <w:jc w:val="both"/>
        <w:rPr>
          <w:rFonts w:ascii="Arial" w:hAnsi="Arial" w:cs="Arial"/>
        </w:rPr>
      </w:pPr>
    </w:p>
    <w:p w:rsidR="00401F68" w:rsidRDefault="00401F68" w:rsidP="00722DF4">
      <w:pPr>
        <w:pStyle w:val="NoSpacing"/>
        <w:spacing w:line="276" w:lineRule="auto"/>
        <w:jc w:val="both"/>
        <w:rPr>
          <w:rFonts w:ascii="Arial" w:hAnsi="Arial" w:cs="Arial"/>
          <w:lang w:val="hr-HR"/>
        </w:rPr>
      </w:pPr>
      <w:r w:rsidRPr="00722DF4">
        <w:rPr>
          <w:rFonts w:ascii="Arial" w:hAnsi="Arial" w:cs="Arial"/>
          <w:lang w:val="hr-HR"/>
        </w:rPr>
        <w:t>Na području Crne Gore postoje dvije glavne biološko-geografske regije: mediteranska i alpska, sa različitim tipovima ekosistema i staništa.</w:t>
      </w:r>
    </w:p>
    <w:p w:rsidR="007806FD" w:rsidRDefault="007806FD" w:rsidP="00722DF4">
      <w:pPr>
        <w:pStyle w:val="NoSpacing"/>
        <w:spacing w:line="276" w:lineRule="auto"/>
        <w:jc w:val="both"/>
        <w:rPr>
          <w:rFonts w:ascii="Arial" w:hAnsi="Arial" w:cs="Arial"/>
          <w:lang w:val="hr-HR"/>
        </w:rPr>
      </w:pPr>
    </w:p>
    <w:p w:rsidR="007806FD" w:rsidRDefault="007806FD" w:rsidP="00722DF4">
      <w:pPr>
        <w:pStyle w:val="NoSpacing"/>
        <w:spacing w:line="276" w:lineRule="auto"/>
        <w:jc w:val="both"/>
        <w:rPr>
          <w:rFonts w:ascii="Arial" w:hAnsi="Arial" w:cs="Arial"/>
          <w:lang w:val="hr-HR"/>
        </w:rPr>
      </w:pPr>
    </w:p>
    <w:p w:rsidR="007806FD" w:rsidRPr="00722DF4" w:rsidRDefault="007806FD" w:rsidP="00722DF4">
      <w:pPr>
        <w:pStyle w:val="NoSpacing"/>
        <w:spacing w:line="276" w:lineRule="auto"/>
        <w:jc w:val="both"/>
        <w:rPr>
          <w:rFonts w:ascii="Arial" w:hAnsi="Arial" w:cs="Arial"/>
          <w:lang w:val="hr-HR"/>
        </w:rPr>
      </w:pPr>
    </w:p>
    <w:p w:rsidR="004A4031" w:rsidRPr="00722DF4" w:rsidRDefault="004A4031" w:rsidP="00722DF4">
      <w:pPr>
        <w:pStyle w:val="NoSpacing"/>
        <w:spacing w:line="276" w:lineRule="auto"/>
        <w:jc w:val="both"/>
        <w:rPr>
          <w:rFonts w:ascii="Arial" w:hAnsi="Arial" w:cs="Arial"/>
          <w:lang w:val="hr-HR"/>
        </w:rPr>
      </w:pPr>
    </w:p>
    <w:p w:rsidR="004A4031" w:rsidRPr="007806FD" w:rsidRDefault="004A4031" w:rsidP="00D6443E">
      <w:pPr>
        <w:pStyle w:val="NoSpacing"/>
        <w:spacing w:line="276" w:lineRule="auto"/>
        <w:rPr>
          <w:rFonts w:ascii="Arial" w:hAnsi="Arial" w:cs="Arial"/>
          <w:sz w:val="22"/>
          <w:szCs w:val="22"/>
          <w:lang w:val="hr-HR"/>
        </w:rPr>
      </w:pPr>
      <w:r w:rsidRPr="007806FD">
        <w:rPr>
          <w:rFonts w:ascii="Arial" w:hAnsi="Arial" w:cs="Arial"/>
          <w:b/>
          <w:sz w:val="22"/>
          <w:szCs w:val="22"/>
          <w:lang w:val="hr-HR"/>
        </w:rPr>
        <w:t>Tabela 2.</w:t>
      </w:r>
      <w:r w:rsidR="00D6443E" w:rsidRPr="007806FD">
        <w:rPr>
          <w:rFonts w:ascii="Arial" w:hAnsi="Arial" w:cs="Arial"/>
          <w:b/>
          <w:sz w:val="22"/>
          <w:szCs w:val="22"/>
          <w:lang w:val="hr-HR"/>
        </w:rPr>
        <w:t>7</w:t>
      </w:r>
      <w:r w:rsidRPr="007806FD">
        <w:rPr>
          <w:rFonts w:ascii="Arial" w:hAnsi="Arial" w:cs="Arial"/>
          <w:b/>
          <w:sz w:val="22"/>
          <w:szCs w:val="22"/>
          <w:lang w:val="hr-HR"/>
        </w:rPr>
        <w:t xml:space="preserve">. </w:t>
      </w:r>
      <w:r w:rsidRPr="007806FD">
        <w:rPr>
          <w:rFonts w:ascii="Arial" w:hAnsi="Arial" w:cs="Arial"/>
          <w:sz w:val="22"/>
          <w:szCs w:val="22"/>
          <w:lang w:val="hr-HR"/>
        </w:rPr>
        <w:t>Ekosistemi i staništa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4"/>
        <w:gridCol w:w="1724"/>
        <w:gridCol w:w="5742"/>
      </w:tblGrid>
      <w:tr w:rsidR="004A4031" w:rsidRPr="00722DF4" w:rsidTr="00CA2879">
        <w:tc>
          <w:tcPr>
            <w:tcW w:w="1815" w:type="dxa"/>
            <w:vMerge w:val="restart"/>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 xml:space="preserve">Ekosistemi  </w:t>
            </w:r>
          </w:p>
        </w:tc>
        <w:tc>
          <w:tcPr>
            <w:tcW w:w="1549" w:type="dxa"/>
          </w:tcPr>
          <w:p w:rsidR="004A4031" w:rsidRPr="00722DF4" w:rsidRDefault="004A4031" w:rsidP="00722DF4">
            <w:pPr>
              <w:pStyle w:val="NoSpacing"/>
              <w:spacing w:line="276" w:lineRule="auto"/>
              <w:jc w:val="both"/>
              <w:rPr>
                <w:rFonts w:ascii="Arial" w:hAnsi="Arial" w:cs="Arial"/>
                <w:lang w:val="hr-HR"/>
              </w:rPr>
            </w:pPr>
            <w:r w:rsidRPr="00722DF4">
              <w:rPr>
                <w:rFonts w:ascii="Arial" w:hAnsi="Arial" w:cs="Arial"/>
                <w:lang w:val="hr-HR"/>
              </w:rPr>
              <w:t xml:space="preserve">Planinski </w:t>
            </w:r>
          </w:p>
        </w:tc>
        <w:tc>
          <w:tcPr>
            <w:tcW w:w="6212"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Visokoplaninsko područje kontinentalnog dijela Crne Gore.</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Dominantni planinski vrhovi: Durmitor (2 523 m), Komovi (2 461 m), Prokletije (2 536 m), Sinjajevina (2 277 m), Bjelasica (2 037 m).</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lastRenderedPageBreak/>
              <w:t>Primorske planine: Orjen (1 893 m), Lovćen (1 749 m), Rumija (1 586 m)</w:t>
            </w:r>
          </w:p>
          <w:p w:rsidR="004A4031" w:rsidRPr="00722DF4" w:rsidRDefault="004A4031" w:rsidP="00722DF4">
            <w:pPr>
              <w:pStyle w:val="NoSpacing"/>
              <w:spacing w:line="276" w:lineRule="auto"/>
              <w:jc w:val="both"/>
              <w:rPr>
                <w:rFonts w:ascii="Arial" w:hAnsi="Arial" w:cs="Arial"/>
                <w:lang w:val="hr-HR"/>
              </w:rPr>
            </w:pPr>
            <w:r w:rsidRPr="00722DF4">
              <w:rPr>
                <w:rFonts w:ascii="Arial" w:hAnsi="Arial" w:cs="Arial"/>
                <w:lang w:val="en-GB"/>
              </w:rPr>
              <w:t>Glavni tipovi staništa: planinski pašnjaci, kamenite stijene i litice, goleti s rijetkom vegetacijom i točila.</w:t>
            </w:r>
          </w:p>
        </w:tc>
      </w:tr>
      <w:tr w:rsidR="004A4031" w:rsidRPr="00722DF4" w:rsidTr="00CA2879">
        <w:tc>
          <w:tcPr>
            <w:tcW w:w="1815" w:type="dxa"/>
            <w:vMerge/>
            <w:shd w:val="clear" w:color="auto" w:fill="548DD4"/>
          </w:tcPr>
          <w:p w:rsidR="004A4031" w:rsidRPr="00722DF4" w:rsidRDefault="004A4031" w:rsidP="00722DF4">
            <w:pPr>
              <w:pStyle w:val="NoSpacing"/>
              <w:spacing w:line="276" w:lineRule="auto"/>
              <w:jc w:val="both"/>
              <w:rPr>
                <w:rFonts w:ascii="Arial" w:hAnsi="Arial" w:cs="Arial"/>
                <w:lang w:val="hr-HR"/>
              </w:rPr>
            </w:pPr>
          </w:p>
        </w:tc>
        <w:tc>
          <w:tcPr>
            <w:tcW w:w="1549" w:type="dxa"/>
          </w:tcPr>
          <w:p w:rsidR="004A4031" w:rsidRPr="00722DF4" w:rsidRDefault="004A4031" w:rsidP="00722DF4">
            <w:pPr>
              <w:pStyle w:val="NoSpacing"/>
              <w:spacing w:line="276" w:lineRule="auto"/>
              <w:jc w:val="both"/>
              <w:rPr>
                <w:rFonts w:ascii="Arial" w:hAnsi="Arial" w:cs="Arial"/>
                <w:lang w:val="hr-HR"/>
              </w:rPr>
            </w:pPr>
            <w:r w:rsidRPr="00722DF4">
              <w:rPr>
                <w:rFonts w:ascii="Arial" w:hAnsi="Arial" w:cs="Arial"/>
                <w:lang w:val="hr-HR"/>
              </w:rPr>
              <w:t xml:space="preserve">Šumski </w:t>
            </w:r>
          </w:p>
        </w:tc>
        <w:tc>
          <w:tcPr>
            <w:tcW w:w="6212" w:type="dxa"/>
          </w:tcPr>
          <w:p w:rsidR="004A4031" w:rsidRPr="00722DF4" w:rsidRDefault="004A4031" w:rsidP="00722DF4">
            <w:pPr>
              <w:pStyle w:val="NoSpacing"/>
              <w:spacing w:line="276" w:lineRule="auto"/>
              <w:jc w:val="both"/>
              <w:rPr>
                <w:rFonts w:ascii="Arial" w:hAnsi="Arial" w:cs="Arial"/>
                <w:lang w:val="hr-HR"/>
              </w:rPr>
            </w:pPr>
            <w:r w:rsidRPr="00722DF4">
              <w:rPr>
                <w:rFonts w:ascii="Arial" w:hAnsi="Arial" w:cs="Arial"/>
                <w:lang w:val="en-GB"/>
              </w:rPr>
              <w:t>Po površini zauzimaju najveće područje (54%), a 45% zauzimaju prirodne šume.</w:t>
            </w:r>
          </w:p>
        </w:tc>
      </w:tr>
      <w:tr w:rsidR="004A4031" w:rsidRPr="00722DF4" w:rsidTr="00CA2879">
        <w:tc>
          <w:tcPr>
            <w:tcW w:w="1815" w:type="dxa"/>
            <w:vMerge/>
            <w:shd w:val="clear" w:color="auto" w:fill="548DD4"/>
          </w:tcPr>
          <w:p w:rsidR="004A4031" w:rsidRPr="00722DF4" w:rsidRDefault="004A4031" w:rsidP="00722DF4">
            <w:pPr>
              <w:pStyle w:val="NoSpacing"/>
              <w:spacing w:line="276" w:lineRule="auto"/>
              <w:jc w:val="both"/>
              <w:rPr>
                <w:rFonts w:ascii="Arial" w:hAnsi="Arial" w:cs="Arial"/>
                <w:lang w:val="hr-HR"/>
              </w:rPr>
            </w:pPr>
          </w:p>
        </w:tc>
        <w:tc>
          <w:tcPr>
            <w:tcW w:w="1549"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Stepski</w:t>
            </w:r>
          </w:p>
        </w:tc>
        <w:tc>
          <w:tcPr>
            <w:tcW w:w="6212"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Rijetki, uglavnom na aluvijalnom zemljištu (Ćemovsko polje, Karabuško, Tuško i Dinoško polje i niži djelovi kanjonske doline rijeke Cijevne).</w:t>
            </w:r>
          </w:p>
        </w:tc>
      </w:tr>
      <w:tr w:rsidR="004A4031" w:rsidRPr="00722DF4" w:rsidTr="00CA2879">
        <w:tc>
          <w:tcPr>
            <w:tcW w:w="1815" w:type="dxa"/>
            <w:vMerge w:val="restart"/>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Ekosistemi</w:t>
            </w:r>
          </w:p>
        </w:tc>
        <w:tc>
          <w:tcPr>
            <w:tcW w:w="1549"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Slatkovodni</w:t>
            </w:r>
          </w:p>
        </w:tc>
        <w:tc>
          <w:tcPr>
            <w:tcW w:w="6212"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Vlažna staništa uglavnom u ravnicama i na primorju.</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Skadarsko jezero (najveće jezero, vrlo velika bioraznolikost ‒ posebno je važno prisustvo velikog broja reliktnih i endemičnih vrsta);</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Šasko jezero;</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Hladna visokoplaninska glacijalna jezera na sjeveru Crne Gore, posebno u okviru nacionalnih parkova „Durmitor“, „Biogradska gora“ i „Prokletije“.</w:t>
            </w:r>
          </w:p>
        </w:tc>
      </w:tr>
      <w:tr w:rsidR="004A4031" w:rsidRPr="00722DF4" w:rsidTr="00CA2879">
        <w:tc>
          <w:tcPr>
            <w:tcW w:w="1815" w:type="dxa"/>
            <w:vMerge/>
            <w:tcBorders>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lang w:val="hr-HR"/>
              </w:rPr>
            </w:pPr>
          </w:p>
        </w:tc>
        <w:tc>
          <w:tcPr>
            <w:tcW w:w="1549" w:type="dxa"/>
            <w:tcBorders>
              <w:bottom w:val="single" w:sz="12" w:space="0" w:color="auto"/>
            </w:tcBorders>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Morski</w:t>
            </w:r>
          </w:p>
        </w:tc>
        <w:tc>
          <w:tcPr>
            <w:tcW w:w="6212" w:type="dxa"/>
            <w:tcBorders>
              <w:bottom w:val="single" w:sz="12" w:space="0" w:color="auto"/>
            </w:tcBorders>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Preko 300 vrsta algi, 40 vrsta sunđera, 150 vrsta rakova, 340 vrsta mekušaca, 400 vrsta riba, 3 vrste morskih kornjača i 4 vrste delfina.</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Po važnosti za bioraznovrsnost izdvajaju se Bokokotorski zaliv i ušće Bojane.</w:t>
            </w:r>
          </w:p>
        </w:tc>
      </w:tr>
      <w:tr w:rsidR="004A4031" w:rsidRPr="00722DF4" w:rsidTr="00CA2879">
        <w:tc>
          <w:tcPr>
            <w:tcW w:w="1815" w:type="dxa"/>
            <w:vMerge w:val="restart"/>
            <w:tcBorders>
              <w:top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 xml:space="preserve">Staništa </w:t>
            </w:r>
          </w:p>
        </w:tc>
        <w:tc>
          <w:tcPr>
            <w:tcW w:w="1549" w:type="dxa"/>
            <w:tcBorders>
              <w:top w:val="single" w:sz="12" w:space="0" w:color="auto"/>
            </w:tcBorders>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Obalna</w:t>
            </w:r>
          </w:p>
        </w:tc>
        <w:tc>
          <w:tcPr>
            <w:tcW w:w="6212" w:type="dxa"/>
            <w:tcBorders>
              <w:top w:val="single" w:sz="12" w:space="0" w:color="auto"/>
            </w:tcBorders>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Morska obalska linija duga je 313 km;</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Stjenovite obale (hridi), prirodne pješčane plaže i osam manjih ostrva;</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Velika ulcinjska plaža ‒ na pješčanim dinama prisutna je jedinstvena halofitska/slatinska vegetacija;</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Na južnim padinama primorskih planina razvijena je tipična mediteranska vegetacija makija i gariga;</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Na nižim terenima i obali ‒ slatinska vegetacija, kao i kultivisana zemljišta (masline i voćnjaci);</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Tivatska solila i Ulcinjska solana‒ značajne za boravak i zimovanje ptica močvarica.</w:t>
            </w:r>
          </w:p>
        </w:tc>
      </w:tr>
      <w:tr w:rsidR="004A4031" w:rsidRPr="00722DF4" w:rsidTr="00CA2879">
        <w:tc>
          <w:tcPr>
            <w:tcW w:w="1815" w:type="dxa"/>
            <w:vMerge/>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p>
        </w:tc>
        <w:tc>
          <w:tcPr>
            <w:tcW w:w="1549"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Pećine</w:t>
            </w:r>
          </w:p>
        </w:tc>
        <w:tc>
          <w:tcPr>
            <w:tcW w:w="6212"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Lipska pećina, Đalovica pećina;</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Jame među najdubljim na Balkanu (Jama na Vjetrenim brdima i Durmitoru, Duboki do na Lovćenu).</w:t>
            </w:r>
          </w:p>
        </w:tc>
      </w:tr>
      <w:tr w:rsidR="004A4031" w:rsidRPr="00722DF4" w:rsidTr="00CA2879">
        <w:tc>
          <w:tcPr>
            <w:tcW w:w="1815" w:type="dxa"/>
            <w:vMerge/>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p>
        </w:tc>
        <w:tc>
          <w:tcPr>
            <w:tcW w:w="1549"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Kanjoni</w:t>
            </w:r>
          </w:p>
        </w:tc>
        <w:tc>
          <w:tcPr>
            <w:tcW w:w="6212" w:type="dxa"/>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Dio pod uticajem mediteranske klime (Kanjoni Morače i Cijevne);</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Dio pod uticajem hladne kontinentalne klime (kanjon rijeke Tare, ostaci kanjona Pive i Komarnice, klisure poput Ibarske, Tifranske i Đalovića).</w:t>
            </w:r>
          </w:p>
        </w:tc>
      </w:tr>
      <w:tr w:rsidR="004A4031" w:rsidRPr="00722DF4" w:rsidTr="00CA2879">
        <w:tc>
          <w:tcPr>
            <w:tcW w:w="1815" w:type="dxa"/>
            <w:vMerge/>
            <w:tcBorders>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lang w:val="hr-HR"/>
              </w:rPr>
            </w:pPr>
          </w:p>
        </w:tc>
        <w:tc>
          <w:tcPr>
            <w:tcW w:w="1549" w:type="dxa"/>
            <w:tcBorders>
              <w:bottom w:val="single" w:sz="12" w:space="0" w:color="auto"/>
            </w:tcBorders>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Kras (specifična geološka formacija)</w:t>
            </w:r>
          </w:p>
        </w:tc>
        <w:tc>
          <w:tcPr>
            <w:tcW w:w="6212" w:type="dxa"/>
            <w:tcBorders>
              <w:bottom w:val="single" w:sz="12" w:space="0" w:color="auto"/>
            </w:tcBorders>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Na visinama iznad 1 000 m nmv</w:t>
            </w:r>
          </w:p>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karakteristična vegetacija grmova.</w:t>
            </w:r>
          </w:p>
        </w:tc>
      </w:tr>
      <w:tr w:rsidR="004A4031" w:rsidRPr="00722DF4" w:rsidTr="00CA2879">
        <w:tc>
          <w:tcPr>
            <w:tcW w:w="9576" w:type="dxa"/>
            <w:gridSpan w:val="3"/>
            <w:tcBorders>
              <w:top w:val="single" w:sz="12" w:space="0" w:color="auto"/>
              <w:bottom w:val="single" w:sz="12" w:space="0" w:color="auto"/>
            </w:tcBorders>
            <w:shd w:val="clear" w:color="auto" w:fill="FFFFFF"/>
          </w:tcPr>
          <w:p w:rsidR="004A4031" w:rsidRPr="00722DF4" w:rsidRDefault="004A4031" w:rsidP="00722DF4">
            <w:pPr>
              <w:spacing w:after="0"/>
              <w:jc w:val="both"/>
              <w:rPr>
                <w:rFonts w:ascii="Arial" w:hAnsi="Arial" w:cs="Arial"/>
                <w:sz w:val="24"/>
                <w:szCs w:val="24"/>
                <w:lang w:val="en-GB"/>
              </w:rPr>
            </w:pPr>
            <w:r w:rsidRPr="00722DF4">
              <w:rPr>
                <w:rFonts w:ascii="Arial" w:hAnsi="Arial" w:cs="Arial"/>
                <w:sz w:val="24"/>
                <w:szCs w:val="24"/>
                <w:lang w:val="en-GB"/>
              </w:rPr>
              <w:t>Prioritetna staništa: negativne posljedice najviše su izražene na vodenim i šumskim ekosistemima</w:t>
            </w:r>
          </w:p>
        </w:tc>
      </w:tr>
      <w:tr w:rsidR="004A4031" w:rsidRPr="00722DF4" w:rsidTr="00CA2879">
        <w:tc>
          <w:tcPr>
            <w:tcW w:w="1815" w:type="dxa"/>
            <w:tcBorders>
              <w:top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 xml:space="preserve">Alge </w:t>
            </w:r>
          </w:p>
        </w:tc>
        <w:tc>
          <w:tcPr>
            <w:tcW w:w="1549"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Slatkovodne alge</w:t>
            </w:r>
          </w:p>
        </w:tc>
        <w:tc>
          <w:tcPr>
            <w:tcW w:w="6212"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Do sada je opisano 1200 vrsta i varijeteta, među kojima preovladavaju grupe silikatnih (Bacillariophyta) i zelenih algi.</w:t>
            </w:r>
          </w:p>
          <w:p w:rsidR="004A4031" w:rsidRPr="00722DF4" w:rsidRDefault="004A4031" w:rsidP="00722DF4">
            <w:pPr>
              <w:pStyle w:val="TableTextNoSpace"/>
              <w:spacing w:line="276" w:lineRule="auto"/>
              <w:jc w:val="both"/>
              <w:rPr>
                <w:sz w:val="24"/>
                <w:szCs w:val="24"/>
              </w:rPr>
            </w:pPr>
            <w:r w:rsidRPr="00722DF4">
              <w:rPr>
                <w:sz w:val="24"/>
                <w:szCs w:val="24"/>
              </w:rPr>
              <w:t>Na sjeveru preovladavaju oligotrofni  slatkovodni ekosistemi s relativno malo zastupljenih vrsta.</w:t>
            </w:r>
          </w:p>
          <w:p w:rsidR="004A4031" w:rsidRPr="00722DF4" w:rsidRDefault="004A4031" w:rsidP="00722DF4">
            <w:pPr>
              <w:pStyle w:val="TableTextNoSpace"/>
              <w:spacing w:line="276" w:lineRule="auto"/>
              <w:jc w:val="both"/>
              <w:rPr>
                <w:sz w:val="24"/>
                <w:szCs w:val="24"/>
              </w:rPr>
            </w:pPr>
            <w:r w:rsidRPr="00722DF4">
              <w:rPr>
                <w:sz w:val="24"/>
                <w:szCs w:val="24"/>
              </w:rPr>
              <w:t>Na jugu preovladavaju mezotrofni i eutropni ekosistemi s većim brojem vrsta.</w:t>
            </w:r>
          </w:p>
          <w:p w:rsidR="004A4031" w:rsidRPr="00722DF4" w:rsidRDefault="004A4031" w:rsidP="00722DF4">
            <w:pPr>
              <w:pStyle w:val="TableTextNoSpace"/>
              <w:spacing w:line="276" w:lineRule="auto"/>
              <w:jc w:val="both"/>
              <w:rPr>
                <w:sz w:val="24"/>
                <w:szCs w:val="24"/>
              </w:rPr>
            </w:pPr>
            <w:r w:rsidRPr="00722DF4">
              <w:rPr>
                <w:sz w:val="24"/>
                <w:szCs w:val="24"/>
              </w:rPr>
              <w:t>Najznačajnija lokacija je Skadarsko jezero (endemska vrsta Cyclotela skadariensis).</w:t>
            </w:r>
          </w:p>
        </w:tc>
      </w:tr>
      <w:tr w:rsidR="004A4031" w:rsidRPr="00722DF4" w:rsidTr="00CA2879">
        <w:tc>
          <w:tcPr>
            <w:tcW w:w="1815" w:type="dxa"/>
            <w:vMerge w:val="restart"/>
            <w:tcBorders>
              <w:top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Alge</w:t>
            </w:r>
          </w:p>
        </w:tc>
        <w:tc>
          <w:tcPr>
            <w:tcW w:w="1549" w:type="dxa"/>
            <w:tcBorders>
              <w:top w:val="single" w:sz="12" w:space="0" w:color="auto"/>
            </w:tcBorders>
          </w:tcPr>
          <w:p w:rsidR="004A4031" w:rsidRPr="00722DF4" w:rsidRDefault="004A4031" w:rsidP="00722DF4">
            <w:pPr>
              <w:pStyle w:val="TableTextNoSpace"/>
              <w:spacing w:line="276" w:lineRule="auto"/>
              <w:jc w:val="both"/>
              <w:rPr>
                <w:sz w:val="24"/>
                <w:szCs w:val="24"/>
              </w:rPr>
            </w:pPr>
          </w:p>
        </w:tc>
        <w:tc>
          <w:tcPr>
            <w:tcW w:w="6212"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Ostale značajne lokacije: Crno jezero, Bukumirsko, Ridsko, Plavsko, Zminje, Šasko, Veliko i Malo stabanjsko jezero, kao i vještačko Krupačko jezero</w:t>
            </w:r>
          </w:p>
        </w:tc>
      </w:tr>
      <w:tr w:rsidR="004A4031" w:rsidRPr="00722DF4" w:rsidTr="00CA2879">
        <w:tc>
          <w:tcPr>
            <w:tcW w:w="1815" w:type="dxa"/>
            <w:vMerge/>
            <w:shd w:val="clear" w:color="auto" w:fill="548DD4"/>
          </w:tcPr>
          <w:p w:rsidR="004A4031" w:rsidRPr="00722DF4" w:rsidRDefault="004A4031" w:rsidP="00722DF4">
            <w:pPr>
              <w:pStyle w:val="NoSpacing"/>
              <w:spacing w:line="276" w:lineRule="auto"/>
              <w:jc w:val="both"/>
              <w:rPr>
                <w:rFonts w:ascii="Arial" w:hAnsi="Arial" w:cs="Arial"/>
                <w:lang w:val="hr-HR"/>
              </w:rPr>
            </w:pPr>
          </w:p>
        </w:tc>
        <w:tc>
          <w:tcPr>
            <w:tcW w:w="1549" w:type="dxa"/>
          </w:tcPr>
          <w:p w:rsidR="004A4031" w:rsidRPr="00722DF4" w:rsidRDefault="004A4031" w:rsidP="00722DF4">
            <w:pPr>
              <w:pStyle w:val="TableTextNoSpace"/>
              <w:spacing w:line="276" w:lineRule="auto"/>
              <w:jc w:val="both"/>
              <w:rPr>
                <w:sz w:val="24"/>
                <w:szCs w:val="24"/>
              </w:rPr>
            </w:pPr>
            <w:r w:rsidRPr="00722DF4">
              <w:rPr>
                <w:sz w:val="24"/>
                <w:szCs w:val="24"/>
              </w:rPr>
              <w:t>Morske alge</w:t>
            </w:r>
          </w:p>
        </w:tc>
        <w:tc>
          <w:tcPr>
            <w:tcW w:w="6212" w:type="dxa"/>
          </w:tcPr>
          <w:p w:rsidR="004A4031" w:rsidRPr="00722DF4" w:rsidRDefault="004A4031" w:rsidP="00722DF4">
            <w:pPr>
              <w:pStyle w:val="TableTextNoSpace"/>
              <w:spacing w:line="276" w:lineRule="auto"/>
              <w:jc w:val="both"/>
              <w:rPr>
                <w:sz w:val="24"/>
                <w:szCs w:val="24"/>
              </w:rPr>
            </w:pPr>
            <w:r w:rsidRPr="00722DF4">
              <w:rPr>
                <w:sz w:val="24"/>
                <w:szCs w:val="24"/>
              </w:rPr>
              <w:t>Preko 300 vrsta makroalgi, od kojih su većina crvene alge (Rhodophyta).</w:t>
            </w:r>
          </w:p>
          <w:p w:rsidR="004A4031" w:rsidRPr="00722DF4" w:rsidRDefault="004A4031" w:rsidP="00722DF4">
            <w:pPr>
              <w:pStyle w:val="TableTextNoSpace"/>
              <w:spacing w:line="276" w:lineRule="auto"/>
              <w:jc w:val="both"/>
              <w:rPr>
                <w:sz w:val="24"/>
                <w:szCs w:val="24"/>
              </w:rPr>
            </w:pPr>
            <w:r w:rsidRPr="00722DF4">
              <w:rPr>
                <w:sz w:val="24"/>
                <w:szCs w:val="24"/>
              </w:rPr>
              <w:t>Većina vrsta široko je rasprostranjena u Jadranskom i Mediteranskom moru.</w:t>
            </w:r>
          </w:p>
        </w:tc>
      </w:tr>
      <w:tr w:rsidR="004A4031" w:rsidRPr="00722DF4" w:rsidTr="00CA2879">
        <w:tc>
          <w:tcPr>
            <w:tcW w:w="1815" w:type="dxa"/>
            <w:vMerge w:val="restart"/>
            <w:tcBorders>
              <w:top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Mahovine i lišajevi</w:t>
            </w:r>
          </w:p>
        </w:tc>
        <w:tc>
          <w:tcPr>
            <w:tcW w:w="1549"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Mahovine</w:t>
            </w:r>
          </w:p>
        </w:tc>
        <w:tc>
          <w:tcPr>
            <w:tcW w:w="6212"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Trenutno je zabilježeno 589 vrsta (istraživanja su ograničena, pa je stvaran broj vjerovatno veći);</w:t>
            </w:r>
          </w:p>
          <w:p w:rsidR="004A4031" w:rsidRPr="00722DF4" w:rsidRDefault="004A4031" w:rsidP="00722DF4">
            <w:pPr>
              <w:pStyle w:val="TableTextNoSpace"/>
              <w:spacing w:line="276" w:lineRule="auto"/>
              <w:jc w:val="both"/>
              <w:rPr>
                <w:sz w:val="24"/>
                <w:szCs w:val="24"/>
              </w:rPr>
            </w:pPr>
            <w:r w:rsidRPr="00722DF4">
              <w:rPr>
                <w:sz w:val="24"/>
                <w:szCs w:val="24"/>
              </w:rPr>
              <w:t>Najveći broj vrsta vezan je za šume bukve, graba, hrasta i javora. Brojnost vrsta smanjuje se s porastom nadmorske visine, a time i šumskih ekosistema;</w:t>
            </w:r>
          </w:p>
          <w:p w:rsidR="004A4031" w:rsidRPr="00722DF4" w:rsidRDefault="004A4031" w:rsidP="00722DF4">
            <w:pPr>
              <w:pStyle w:val="TableTextNoSpace"/>
              <w:spacing w:line="276" w:lineRule="auto"/>
              <w:jc w:val="both"/>
              <w:rPr>
                <w:sz w:val="24"/>
                <w:szCs w:val="24"/>
              </w:rPr>
            </w:pPr>
            <w:r w:rsidRPr="00722DF4">
              <w:rPr>
                <w:sz w:val="24"/>
                <w:szCs w:val="24"/>
              </w:rPr>
              <w:t>Vezane su za vodene tokove i tresetišta (Barno jezero, Prokletije).</w:t>
            </w:r>
          </w:p>
        </w:tc>
      </w:tr>
      <w:tr w:rsidR="004A4031" w:rsidRPr="00722DF4" w:rsidTr="00CA2879">
        <w:tc>
          <w:tcPr>
            <w:tcW w:w="1815" w:type="dxa"/>
            <w:vMerge/>
            <w:tcBorders>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lang w:val="hr-HR"/>
              </w:rPr>
            </w:pPr>
          </w:p>
        </w:tc>
        <w:tc>
          <w:tcPr>
            <w:tcW w:w="1549" w:type="dxa"/>
            <w:tcBorders>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Lišajevi</w:t>
            </w:r>
          </w:p>
        </w:tc>
        <w:tc>
          <w:tcPr>
            <w:tcW w:w="6212" w:type="dxa"/>
            <w:tcBorders>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 xml:space="preserve">Zabilježene </w:t>
            </w:r>
            <w:r w:rsidR="00DA1678">
              <w:rPr>
                <w:sz w:val="24"/>
                <w:szCs w:val="24"/>
              </w:rPr>
              <w:t xml:space="preserve">702 </w:t>
            </w:r>
            <w:r w:rsidRPr="00722DF4">
              <w:rPr>
                <w:sz w:val="24"/>
                <w:szCs w:val="24"/>
              </w:rPr>
              <w:t xml:space="preserve"> vrste.</w:t>
            </w:r>
          </w:p>
        </w:tc>
      </w:tr>
      <w:tr w:rsidR="004A4031" w:rsidRPr="00722DF4" w:rsidTr="00CA2879">
        <w:tc>
          <w:tcPr>
            <w:tcW w:w="1815" w:type="dxa"/>
            <w:tcBorders>
              <w:top w:val="single" w:sz="12" w:space="0" w:color="auto"/>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lastRenderedPageBreak/>
              <w:t>Vaskularna flora</w:t>
            </w:r>
          </w:p>
        </w:tc>
        <w:tc>
          <w:tcPr>
            <w:tcW w:w="1549"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p>
        </w:tc>
        <w:tc>
          <w:tcPr>
            <w:tcW w:w="6212"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 xml:space="preserve">Oko </w:t>
            </w:r>
            <w:r w:rsidR="00281851">
              <w:rPr>
                <w:sz w:val="24"/>
                <w:szCs w:val="24"/>
              </w:rPr>
              <w:t xml:space="preserve">3600 vrsta i podvrsta, pri čemu se brojnošću izdvajaju familije </w:t>
            </w:r>
            <w:r w:rsidRPr="00722DF4">
              <w:rPr>
                <w:sz w:val="24"/>
                <w:szCs w:val="24"/>
              </w:rPr>
              <w:t>Asteraceae, Poaceae, Fabaceae  i Caryophyllaceae.</w:t>
            </w:r>
          </w:p>
          <w:p w:rsidR="004A4031" w:rsidRPr="00722DF4" w:rsidRDefault="004A4031" w:rsidP="00722DF4">
            <w:pPr>
              <w:pStyle w:val="TableTextNoSpace"/>
              <w:spacing w:line="276" w:lineRule="auto"/>
              <w:jc w:val="both"/>
              <w:rPr>
                <w:sz w:val="24"/>
                <w:szCs w:val="24"/>
              </w:rPr>
            </w:pPr>
            <w:r w:rsidRPr="00722DF4">
              <w:rPr>
                <w:sz w:val="24"/>
                <w:szCs w:val="24"/>
              </w:rPr>
              <w:t xml:space="preserve">Velik značaj ima visokoplaninska flora. </w:t>
            </w:r>
          </w:p>
          <w:p w:rsidR="004A4031" w:rsidRPr="00722DF4" w:rsidRDefault="004A4031" w:rsidP="00722DF4">
            <w:pPr>
              <w:pStyle w:val="TableTextNoSpace"/>
              <w:spacing w:line="276" w:lineRule="auto"/>
              <w:jc w:val="both"/>
              <w:rPr>
                <w:sz w:val="24"/>
                <w:szCs w:val="24"/>
              </w:rPr>
            </w:pPr>
            <w:r w:rsidRPr="00722DF4">
              <w:rPr>
                <w:sz w:val="24"/>
                <w:szCs w:val="24"/>
              </w:rPr>
              <w:t>Centri bioraznovrsnosti vaskularne flore: Durmitor i kanjonima rijeka Tare, Pive i Sušice; Bjelasica, Komovi i Prokletije sa Visitorom, Žijovom i Humom Orahovskim, kanjon rijeke Cijevne, kanjon Mrtvice; Skadarsko jezero i sjeverne padine planine Rumije.</w:t>
            </w:r>
          </w:p>
          <w:p w:rsidR="004A4031" w:rsidRPr="00722DF4" w:rsidRDefault="004A4031" w:rsidP="00722DF4">
            <w:pPr>
              <w:pStyle w:val="TableTextNoSpace"/>
              <w:spacing w:line="276" w:lineRule="auto"/>
              <w:jc w:val="both"/>
              <w:rPr>
                <w:sz w:val="24"/>
                <w:szCs w:val="24"/>
              </w:rPr>
            </w:pPr>
            <w:r w:rsidRPr="00722DF4">
              <w:rPr>
                <w:sz w:val="24"/>
                <w:szCs w:val="24"/>
              </w:rPr>
              <w:t xml:space="preserve">Centri endemizma vaskularnih biljaka: masiv Prokletija, </w:t>
            </w:r>
            <w:r w:rsidR="004A5455">
              <w:rPr>
                <w:sz w:val="24"/>
                <w:szCs w:val="24"/>
              </w:rPr>
              <w:t xml:space="preserve">Durmitor, </w:t>
            </w:r>
            <w:r w:rsidRPr="00722DF4">
              <w:rPr>
                <w:sz w:val="24"/>
                <w:szCs w:val="24"/>
              </w:rPr>
              <w:t>Moračke planine, Bjelasica i Komovi.</w:t>
            </w:r>
          </w:p>
        </w:tc>
      </w:tr>
      <w:tr w:rsidR="004A4031" w:rsidRPr="00722DF4" w:rsidTr="00CA2879">
        <w:tc>
          <w:tcPr>
            <w:tcW w:w="1815" w:type="dxa"/>
            <w:tcBorders>
              <w:top w:val="single" w:sz="12" w:space="0" w:color="auto"/>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 xml:space="preserve">Gljive </w:t>
            </w:r>
          </w:p>
        </w:tc>
        <w:tc>
          <w:tcPr>
            <w:tcW w:w="1549"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p>
        </w:tc>
        <w:tc>
          <w:tcPr>
            <w:tcW w:w="6212"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Oko 2000 vrsta gljiva.</w:t>
            </w:r>
          </w:p>
        </w:tc>
      </w:tr>
      <w:tr w:rsidR="004A4031" w:rsidRPr="00722DF4" w:rsidTr="00CA2879">
        <w:tc>
          <w:tcPr>
            <w:tcW w:w="1815" w:type="dxa"/>
            <w:vMerge w:val="restart"/>
            <w:tcBorders>
              <w:top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Beskičmenjaci</w:t>
            </w:r>
          </w:p>
        </w:tc>
        <w:tc>
          <w:tcPr>
            <w:tcW w:w="1549"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Kopneni i slatkovodni beskičmenjaci</w:t>
            </w:r>
          </w:p>
        </w:tc>
        <w:tc>
          <w:tcPr>
            <w:tcW w:w="6212"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w:t>
            </w:r>
            <w:r w:rsidR="004A5455">
              <w:rPr>
                <w:sz w:val="24"/>
                <w:szCs w:val="24"/>
              </w:rPr>
              <w:t xml:space="preserve"> Istražene su samo neke grupe beskičmenjaka.</w:t>
            </w:r>
          </w:p>
          <w:p w:rsidR="004A4031" w:rsidRPr="00722DF4" w:rsidRDefault="004A4031" w:rsidP="00722DF4">
            <w:pPr>
              <w:pStyle w:val="TableTextNoSpace"/>
              <w:spacing w:line="276" w:lineRule="auto"/>
              <w:jc w:val="both"/>
              <w:rPr>
                <w:sz w:val="24"/>
                <w:szCs w:val="24"/>
              </w:rPr>
            </w:pPr>
            <w:r w:rsidRPr="00722DF4">
              <w:rPr>
                <w:sz w:val="24"/>
                <w:szCs w:val="24"/>
              </w:rPr>
              <w:t>Mnoge vrste su reliktne, posebno iz tercijara (Congeria kusceri‒jedina poznata podzemna školjka).</w:t>
            </w:r>
          </w:p>
          <w:p w:rsidR="004A4031" w:rsidRPr="00722DF4" w:rsidRDefault="004A4031" w:rsidP="00722DF4">
            <w:pPr>
              <w:pStyle w:val="TableTextNoSpace"/>
              <w:spacing w:line="276" w:lineRule="auto"/>
              <w:jc w:val="both"/>
              <w:rPr>
                <w:sz w:val="24"/>
                <w:szCs w:val="24"/>
              </w:rPr>
            </w:pPr>
            <w:r w:rsidRPr="00722DF4">
              <w:rPr>
                <w:sz w:val="24"/>
                <w:szCs w:val="24"/>
              </w:rPr>
              <w:t>Značajne pećine: Lipska pećina (endemski rodovi amfipoda Typhlogammarus, endemske vrste puževa i kopepoda), Babotuša pećina blizu Trnova (endemska vrsta kopepoda, kosaca (Opiliones) i tvrdokrilci, Obodska pećina (endemske vrste tvrdokrilaca, amfipoda i puževa) i Magara, pećina blizu Podgorice (endemska vrsta tvdrokrilaca i kosaca).</w:t>
            </w:r>
          </w:p>
        </w:tc>
      </w:tr>
      <w:tr w:rsidR="004A4031" w:rsidRPr="00722DF4" w:rsidTr="00CA2879">
        <w:tc>
          <w:tcPr>
            <w:tcW w:w="1815" w:type="dxa"/>
            <w:vMerge/>
            <w:tcBorders>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p>
        </w:tc>
        <w:tc>
          <w:tcPr>
            <w:tcW w:w="1549" w:type="dxa"/>
            <w:tcBorders>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Morski beskičmenjaci</w:t>
            </w:r>
          </w:p>
        </w:tc>
        <w:tc>
          <w:tcPr>
            <w:tcW w:w="6212" w:type="dxa"/>
            <w:tcBorders>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Vrlo velika brojnost vrsta, mali stepen endemizma.</w:t>
            </w:r>
          </w:p>
          <w:p w:rsidR="004A4031" w:rsidRPr="00722DF4" w:rsidRDefault="004A4031" w:rsidP="00722DF4">
            <w:pPr>
              <w:pStyle w:val="TableTextNoSpace"/>
              <w:spacing w:line="276" w:lineRule="auto"/>
              <w:jc w:val="both"/>
              <w:rPr>
                <w:sz w:val="24"/>
                <w:szCs w:val="24"/>
              </w:rPr>
            </w:pPr>
            <w:r w:rsidRPr="00722DF4">
              <w:rPr>
                <w:sz w:val="24"/>
                <w:szCs w:val="24"/>
              </w:rPr>
              <w:t>Slabo istražena grupa.</w:t>
            </w:r>
          </w:p>
        </w:tc>
      </w:tr>
      <w:tr w:rsidR="004A4031" w:rsidRPr="00722DF4" w:rsidTr="00CA2879">
        <w:tc>
          <w:tcPr>
            <w:tcW w:w="1815" w:type="dxa"/>
            <w:tcBorders>
              <w:top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 xml:space="preserve">Ribe </w:t>
            </w:r>
          </w:p>
        </w:tc>
        <w:tc>
          <w:tcPr>
            <w:tcW w:w="1549"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Slatkovodne ribe</w:t>
            </w:r>
          </w:p>
        </w:tc>
        <w:tc>
          <w:tcPr>
            <w:tcW w:w="6212"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Na području jadranskog sliva zabilježeno je oko 60 vrsta, a na području crnomorskog oko 30 (razlike usljed geološke prošlosti).</w:t>
            </w:r>
          </w:p>
          <w:p w:rsidR="004A4031" w:rsidRPr="00722DF4" w:rsidRDefault="004A4031" w:rsidP="00722DF4">
            <w:pPr>
              <w:pStyle w:val="TableTextNoSpace"/>
              <w:spacing w:line="276" w:lineRule="auto"/>
              <w:jc w:val="both"/>
              <w:rPr>
                <w:sz w:val="24"/>
                <w:szCs w:val="24"/>
              </w:rPr>
            </w:pPr>
            <w:r w:rsidRPr="00722DF4">
              <w:rPr>
                <w:sz w:val="24"/>
                <w:szCs w:val="24"/>
              </w:rPr>
              <w:t>Salmonidne vrste karakteristične su za brze planinske rijeke (uz nekoliko ciprinidnih vrsta).</w:t>
            </w:r>
          </w:p>
          <w:p w:rsidR="004A4031" w:rsidRPr="00722DF4" w:rsidRDefault="004A4031" w:rsidP="00722DF4">
            <w:pPr>
              <w:pStyle w:val="TableTextNoSpace"/>
              <w:spacing w:line="276" w:lineRule="auto"/>
              <w:jc w:val="both"/>
              <w:rPr>
                <w:sz w:val="24"/>
                <w:szCs w:val="24"/>
              </w:rPr>
            </w:pPr>
            <w:r w:rsidRPr="00722DF4">
              <w:rPr>
                <w:sz w:val="24"/>
                <w:szCs w:val="24"/>
              </w:rPr>
              <w:t>Ciprinidne vrste dominiraju u umjereno brzim rijekama (uz manju prisutnost salmonidnih vrsta), te u stajačicama.</w:t>
            </w:r>
          </w:p>
        </w:tc>
      </w:tr>
      <w:tr w:rsidR="004A4031" w:rsidRPr="00722DF4" w:rsidTr="00CA2879">
        <w:tc>
          <w:tcPr>
            <w:tcW w:w="1815" w:type="dxa"/>
            <w:vMerge w:val="restart"/>
            <w:tcBorders>
              <w:top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Ribe</w:t>
            </w:r>
          </w:p>
        </w:tc>
        <w:tc>
          <w:tcPr>
            <w:tcW w:w="1549" w:type="dxa"/>
            <w:tcBorders>
              <w:top w:val="single" w:sz="12" w:space="0" w:color="auto"/>
            </w:tcBorders>
          </w:tcPr>
          <w:p w:rsidR="004A4031" w:rsidRPr="00722DF4" w:rsidRDefault="004A4031" w:rsidP="00722DF4">
            <w:pPr>
              <w:pStyle w:val="TableTextNoSpace"/>
              <w:spacing w:line="276" w:lineRule="auto"/>
              <w:jc w:val="both"/>
              <w:rPr>
                <w:sz w:val="24"/>
                <w:szCs w:val="24"/>
              </w:rPr>
            </w:pPr>
          </w:p>
        </w:tc>
        <w:tc>
          <w:tcPr>
            <w:tcW w:w="6212" w:type="dxa"/>
            <w:tcBorders>
              <w:top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 xml:space="preserve">Među najznačajnijim područjima koja nastanjuju slatkovodne ribe je Skadarsko jezero, gdje je </w:t>
            </w:r>
            <w:r w:rsidRPr="00722DF4">
              <w:rPr>
                <w:sz w:val="24"/>
                <w:szCs w:val="24"/>
              </w:rPr>
              <w:lastRenderedPageBreak/>
              <w:t>registrovano preko 40 vrsta riba, uključujući vrste koje migriraju iz morskog u slatkovodni ekosistem.</w:t>
            </w:r>
          </w:p>
        </w:tc>
      </w:tr>
      <w:tr w:rsidR="004A4031" w:rsidRPr="00722DF4" w:rsidTr="00CA2879">
        <w:tc>
          <w:tcPr>
            <w:tcW w:w="1815" w:type="dxa"/>
            <w:vMerge/>
            <w:tcBorders>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lang w:val="hr-HR"/>
              </w:rPr>
            </w:pPr>
          </w:p>
        </w:tc>
        <w:tc>
          <w:tcPr>
            <w:tcW w:w="1549" w:type="dxa"/>
            <w:tcBorders>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Morske ribe</w:t>
            </w:r>
          </w:p>
        </w:tc>
        <w:tc>
          <w:tcPr>
            <w:tcW w:w="6212" w:type="dxa"/>
            <w:tcBorders>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Zabilježeno je oko 400 vrsta unutar 117 porodica;</w:t>
            </w:r>
          </w:p>
          <w:p w:rsidR="004A4031" w:rsidRPr="00722DF4" w:rsidRDefault="004A4031" w:rsidP="00722DF4">
            <w:pPr>
              <w:pStyle w:val="TableTextNoSpace"/>
              <w:spacing w:line="276" w:lineRule="auto"/>
              <w:jc w:val="both"/>
              <w:rPr>
                <w:sz w:val="24"/>
                <w:szCs w:val="24"/>
              </w:rPr>
            </w:pPr>
            <w:r w:rsidRPr="00722DF4">
              <w:rPr>
                <w:sz w:val="24"/>
                <w:szCs w:val="24"/>
              </w:rPr>
              <w:t>Slabo istraženo;</w:t>
            </w:r>
          </w:p>
          <w:p w:rsidR="004A4031" w:rsidRPr="00722DF4" w:rsidRDefault="004A4031" w:rsidP="00722DF4">
            <w:pPr>
              <w:pStyle w:val="TableTextNoSpace"/>
              <w:spacing w:line="276" w:lineRule="auto"/>
              <w:jc w:val="both"/>
              <w:rPr>
                <w:sz w:val="24"/>
                <w:szCs w:val="24"/>
              </w:rPr>
            </w:pPr>
            <w:r w:rsidRPr="00722DF4">
              <w:rPr>
                <w:sz w:val="24"/>
                <w:szCs w:val="24"/>
              </w:rPr>
              <w:t>Staništa najbogatija ribljim vrstama su litice i grebeni priobalnih zona u blizini obale;</w:t>
            </w:r>
          </w:p>
          <w:p w:rsidR="004A4031" w:rsidRPr="00722DF4" w:rsidRDefault="004A4031" w:rsidP="00722DF4">
            <w:pPr>
              <w:pStyle w:val="TableTextNoSpace"/>
              <w:spacing w:line="276" w:lineRule="auto"/>
              <w:jc w:val="both"/>
              <w:rPr>
                <w:sz w:val="24"/>
                <w:szCs w:val="24"/>
              </w:rPr>
            </w:pPr>
            <w:r w:rsidRPr="00722DF4">
              <w:rPr>
                <w:sz w:val="24"/>
                <w:szCs w:val="24"/>
              </w:rPr>
              <w:t>Pješčana dna, kao ono na ušću rijeke Bojane, relativno su siromašna ribljim vrstama, iako livada morske trave Posidonia, trave plitkih voda, predstavlja značajno mrestilište.</w:t>
            </w:r>
          </w:p>
        </w:tc>
      </w:tr>
      <w:tr w:rsidR="004A4031" w:rsidRPr="00722DF4" w:rsidTr="00CA2879">
        <w:tc>
          <w:tcPr>
            <w:tcW w:w="1815" w:type="dxa"/>
            <w:tcBorders>
              <w:top w:val="single" w:sz="12" w:space="0" w:color="auto"/>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Gmizavci i vodozemci</w:t>
            </w:r>
          </w:p>
        </w:tc>
        <w:tc>
          <w:tcPr>
            <w:tcW w:w="1549"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p>
        </w:tc>
        <w:tc>
          <w:tcPr>
            <w:tcW w:w="6212"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Poznato je 18 vrsta vodozemaca i 38 vrsta gmizavaca, a 69 podvrsta.</w:t>
            </w:r>
          </w:p>
          <w:p w:rsidR="004A4031" w:rsidRPr="00722DF4" w:rsidRDefault="004A4031" w:rsidP="00722DF4">
            <w:pPr>
              <w:pStyle w:val="TableTextNoSpace"/>
              <w:spacing w:line="276" w:lineRule="auto"/>
              <w:jc w:val="both"/>
              <w:rPr>
                <w:sz w:val="24"/>
                <w:szCs w:val="24"/>
              </w:rPr>
            </w:pPr>
            <w:r w:rsidRPr="00722DF4">
              <w:rPr>
                <w:sz w:val="24"/>
                <w:szCs w:val="24"/>
              </w:rPr>
              <w:t>Centri bioraznovrsnosti vodozemaca i gmizavaca: primorska regija Crne Gore i njeno zaleđe, Skadarsko jezero, Lovćen (vodena staništa) i Prokletije (Bukumirsko i Ridsko jezero).</w:t>
            </w:r>
          </w:p>
          <w:p w:rsidR="004A4031" w:rsidRPr="00722DF4" w:rsidRDefault="004A4031" w:rsidP="00722DF4">
            <w:pPr>
              <w:pStyle w:val="TableTextNoSpace"/>
              <w:spacing w:line="276" w:lineRule="auto"/>
              <w:jc w:val="both"/>
              <w:rPr>
                <w:sz w:val="24"/>
                <w:szCs w:val="24"/>
              </w:rPr>
            </w:pPr>
            <w:r w:rsidRPr="00722DF4">
              <w:rPr>
                <w:sz w:val="24"/>
                <w:szCs w:val="24"/>
              </w:rPr>
              <w:t>Ostale značajne lokacije: Pošćenska jezera, kanjon Komarnice, od Skakavice do ispod sela Duži, Zminičko jezero, dio kanjona rijeke Tare (Ćelije‒Borovi), Kotorski‒risanski zaliv, Platamuni, ostrvo Katici, kanjon rijeke Cijevne, Ćemovsko polje, Buljarica, kanjoj Mrtvice, Ada Bojana, kanjon Male rijeke, Rumija, Tivatska solila.</w:t>
            </w:r>
          </w:p>
        </w:tc>
      </w:tr>
      <w:tr w:rsidR="004A4031" w:rsidRPr="00722DF4" w:rsidTr="00CA2879">
        <w:tc>
          <w:tcPr>
            <w:tcW w:w="1815" w:type="dxa"/>
            <w:tcBorders>
              <w:top w:val="single" w:sz="12" w:space="0" w:color="auto"/>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Ptice</w:t>
            </w:r>
          </w:p>
        </w:tc>
        <w:tc>
          <w:tcPr>
            <w:tcW w:w="1549"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p>
        </w:tc>
        <w:tc>
          <w:tcPr>
            <w:tcW w:w="6212"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Pretpostavlja se da je u Crnoj Gori redovno prisutno 333 vrsta, od kojih je 204 gnjezdarica.</w:t>
            </w:r>
          </w:p>
          <w:p w:rsidR="004A4031" w:rsidRPr="00722DF4" w:rsidRDefault="004A4031" w:rsidP="00722DF4">
            <w:pPr>
              <w:pStyle w:val="TableTextNoSpace"/>
              <w:spacing w:line="276" w:lineRule="auto"/>
              <w:jc w:val="both"/>
              <w:rPr>
                <w:sz w:val="24"/>
                <w:szCs w:val="24"/>
              </w:rPr>
            </w:pPr>
            <w:r w:rsidRPr="00722DF4">
              <w:rPr>
                <w:sz w:val="24"/>
                <w:szCs w:val="24"/>
              </w:rPr>
              <w:t>Velika brojnost vrste, uključujući mnoge grabljivice, šumske i močvarne vrste; Predstavlja značajno sklonište za niz rijetkih i ugroženih vrsta ornitofaune, uključujući kudravog pelikana, Pelecanus crispus i fendaka, Phalacrocorax pygmeus;</w:t>
            </w:r>
          </w:p>
          <w:p w:rsidR="004A4031" w:rsidRPr="00722DF4" w:rsidRDefault="004A4031" w:rsidP="00722DF4">
            <w:pPr>
              <w:pStyle w:val="TableTextNoSpace"/>
              <w:spacing w:line="276" w:lineRule="auto"/>
              <w:jc w:val="both"/>
              <w:rPr>
                <w:sz w:val="24"/>
                <w:szCs w:val="24"/>
              </w:rPr>
            </w:pPr>
            <w:r w:rsidRPr="00722DF4">
              <w:rPr>
                <w:sz w:val="24"/>
                <w:szCs w:val="24"/>
              </w:rPr>
              <w:t>Veliki migracioni koridor;</w:t>
            </w:r>
          </w:p>
          <w:p w:rsidR="004A4031" w:rsidRPr="00722DF4" w:rsidRDefault="004A4031" w:rsidP="00722DF4">
            <w:pPr>
              <w:pStyle w:val="TableTextNoSpace"/>
              <w:spacing w:line="276" w:lineRule="auto"/>
              <w:jc w:val="both"/>
              <w:rPr>
                <w:sz w:val="24"/>
                <w:szCs w:val="24"/>
              </w:rPr>
            </w:pPr>
            <w:r w:rsidRPr="00722DF4">
              <w:rPr>
                <w:sz w:val="24"/>
                <w:szCs w:val="24"/>
              </w:rPr>
              <w:t>Centri bioraznovrsnosti ptica: područje Skadarskog jezera i Ulcinja, planinski masivi Prokletija i Durmitora;</w:t>
            </w:r>
          </w:p>
          <w:p w:rsidR="004A4031" w:rsidRPr="00722DF4" w:rsidRDefault="004A4031" w:rsidP="00722DF4">
            <w:pPr>
              <w:pStyle w:val="TableTextNoSpace"/>
              <w:spacing w:line="276" w:lineRule="auto"/>
              <w:jc w:val="both"/>
              <w:rPr>
                <w:sz w:val="24"/>
                <w:szCs w:val="24"/>
              </w:rPr>
            </w:pPr>
            <w:r w:rsidRPr="00722DF4">
              <w:rPr>
                <w:sz w:val="24"/>
                <w:szCs w:val="24"/>
              </w:rPr>
              <w:t xml:space="preserve">Ostale značajne lokacije ptica uključuju: Buljaricu, Veliku plažu, Adu Bojanu, Tivat i ulcinjsku solanu, Šasko jezero u mediteranskom regionu, pašnjake i poplavljene močvare uz rijeku Bojanu i, dalje u </w:t>
            </w:r>
            <w:r w:rsidRPr="00722DF4">
              <w:rPr>
                <w:sz w:val="24"/>
                <w:szCs w:val="24"/>
              </w:rPr>
              <w:lastRenderedPageBreak/>
              <w:t>unutrašnjosti, Durmitor, Bjelasicu, Komove i kanjone Pive, Tare, Morače i Cijevne, Maglić i Prokletije.</w:t>
            </w:r>
          </w:p>
        </w:tc>
      </w:tr>
      <w:tr w:rsidR="004A4031" w:rsidRPr="00722DF4" w:rsidTr="00CA2879">
        <w:tc>
          <w:tcPr>
            <w:tcW w:w="1815" w:type="dxa"/>
            <w:tcBorders>
              <w:top w:val="single" w:sz="12" w:space="0" w:color="auto"/>
              <w:bottom w:val="single" w:sz="12" w:space="0" w:color="auto"/>
            </w:tcBorders>
            <w:shd w:val="clear" w:color="auto" w:fill="548DD4"/>
          </w:tcPr>
          <w:p w:rsidR="004A4031" w:rsidRPr="00722DF4" w:rsidRDefault="004A4031" w:rsidP="00722DF4">
            <w:pPr>
              <w:pStyle w:val="NoSpacing"/>
              <w:spacing w:line="276" w:lineRule="auto"/>
              <w:jc w:val="both"/>
              <w:rPr>
                <w:rFonts w:ascii="Arial" w:hAnsi="Arial" w:cs="Arial"/>
                <w:b/>
                <w:color w:val="FFFFFF"/>
                <w:lang w:val="hr-HR"/>
              </w:rPr>
            </w:pPr>
            <w:r w:rsidRPr="00722DF4">
              <w:rPr>
                <w:rFonts w:ascii="Arial" w:hAnsi="Arial" w:cs="Arial"/>
                <w:b/>
                <w:color w:val="FFFFFF"/>
                <w:lang w:val="hr-HR"/>
              </w:rPr>
              <w:t>Sisari</w:t>
            </w:r>
          </w:p>
        </w:tc>
        <w:tc>
          <w:tcPr>
            <w:tcW w:w="1549"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p>
        </w:tc>
        <w:tc>
          <w:tcPr>
            <w:tcW w:w="6212" w:type="dxa"/>
            <w:tcBorders>
              <w:top w:val="single" w:sz="12" w:space="0" w:color="auto"/>
              <w:bottom w:val="single" w:sz="12" w:space="0" w:color="auto"/>
            </w:tcBorders>
          </w:tcPr>
          <w:p w:rsidR="004A4031" w:rsidRPr="00722DF4" w:rsidRDefault="004A4031" w:rsidP="00722DF4">
            <w:pPr>
              <w:pStyle w:val="TableTextNoSpace"/>
              <w:spacing w:line="276" w:lineRule="auto"/>
              <w:jc w:val="both"/>
              <w:rPr>
                <w:sz w:val="24"/>
                <w:szCs w:val="24"/>
              </w:rPr>
            </w:pPr>
            <w:r w:rsidRPr="00722DF4">
              <w:rPr>
                <w:sz w:val="24"/>
                <w:szCs w:val="24"/>
              </w:rPr>
              <w:t>Bogata fauna sisara, međutim, ne postoje sistematizovani podaci o brojnosti i veličini populacija;</w:t>
            </w:r>
          </w:p>
          <w:p w:rsidR="004A4031" w:rsidRPr="00722DF4" w:rsidRDefault="004A4031" w:rsidP="00722DF4">
            <w:pPr>
              <w:pStyle w:val="TableTextNoSpace"/>
              <w:spacing w:line="276" w:lineRule="auto"/>
              <w:jc w:val="both"/>
              <w:rPr>
                <w:sz w:val="24"/>
                <w:szCs w:val="24"/>
              </w:rPr>
            </w:pPr>
            <w:r w:rsidRPr="00722DF4">
              <w:rPr>
                <w:sz w:val="24"/>
                <w:szCs w:val="24"/>
              </w:rPr>
              <w:t>Najveći broj vrsta javlja se u šumskom planinskom području na sjeveru;</w:t>
            </w:r>
          </w:p>
          <w:p w:rsidR="004A4031" w:rsidRPr="00722DF4" w:rsidRDefault="004A4031" w:rsidP="00722DF4">
            <w:pPr>
              <w:pStyle w:val="TableTextNoSpace"/>
              <w:spacing w:line="276" w:lineRule="auto"/>
              <w:jc w:val="both"/>
              <w:rPr>
                <w:sz w:val="24"/>
                <w:szCs w:val="24"/>
              </w:rPr>
            </w:pPr>
            <w:r w:rsidRPr="00722DF4">
              <w:rPr>
                <w:sz w:val="24"/>
                <w:szCs w:val="24"/>
              </w:rPr>
              <w:t>Centri bioraznovrsnosti sisara: planinski masivi Durmitora, Sinjajevine, zapadnog dijela Prokletija, Komovi i Bjelasica; manje koncentracije u istočnom dijelu Prokletija, centralnim djelovima Crne Gore, sjevernim djelovima Boke i Orjena i primorskim Dinaridima (Lovćen, Rumija sa Skadarskim jezerom).</w:t>
            </w:r>
          </w:p>
        </w:tc>
      </w:tr>
    </w:tbl>
    <w:p w:rsidR="00E9755F" w:rsidRPr="00722DF4" w:rsidRDefault="00E9755F" w:rsidP="00722DF4">
      <w:pPr>
        <w:pStyle w:val="NoSpacing"/>
        <w:spacing w:line="276" w:lineRule="auto"/>
        <w:jc w:val="both"/>
        <w:rPr>
          <w:rFonts w:ascii="Arial" w:hAnsi="Arial" w:cs="Arial"/>
          <w:lang w:val="hr-HR"/>
        </w:rPr>
      </w:pPr>
    </w:p>
    <w:p w:rsidR="00EB5D29" w:rsidRDefault="00EB5D29" w:rsidP="00722DF4">
      <w:pPr>
        <w:pStyle w:val="BodyText"/>
        <w:spacing w:after="0" w:line="276" w:lineRule="auto"/>
        <w:jc w:val="both"/>
        <w:rPr>
          <w:rFonts w:cs="Arial"/>
          <w:sz w:val="24"/>
          <w:szCs w:val="24"/>
          <w:lang w:val="hr-HR"/>
        </w:rPr>
      </w:pPr>
      <w:r w:rsidRPr="00722DF4">
        <w:rPr>
          <w:rFonts w:cs="Arial"/>
          <w:sz w:val="24"/>
          <w:szCs w:val="24"/>
          <w:lang w:val="hr-HR"/>
        </w:rPr>
        <w:t>U  Crnoj Gori nalaze se brojna područja od međunarodnog značaja sa rijetkim, endemskim i ugroženim vrstama, uključujući 13 IBA područja, koja su značajna za boravak ptica (plus sedam potencijalnih IBA područja) i 22 IPA područja, koja su značajna za biljke</w:t>
      </w:r>
      <w:r w:rsidRPr="00722DF4">
        <w:rPr>
          <w:rFonts w:cs="Arial"/>
          <w:sz w:val="24"/>
          <w:szCs w:val="24"/>
          <w:vertAlign w:val="superscript"/>
          <w:lang w:val="hr-HR"/>
        </w:rPr>
        <w:footnoteReference w:id="4"/>
      </w:r>
      <w:r w:rsidRPr="00722DF4">
        <w:rPr>
          <w:rFonts w:cs="Arial"/>
          <w:sz w:val="24"/>
          <w:szCs w:val="24"/>
          <w:lang w:val="hr-HR"/>
        </w:rPr>
        <w:t xml:space="preserve">. </w:t>
      </w:r>
    </w:p>
    <w:p w:rsidR="00D6443E" w:rsidRPr="00722DF4" w:rsidRDefault="00D6443E" w:rsidP="00722DF4">
      <w:pPr>
        <w:pStyle w:val="BodyText"/>
        <w:spacing w:after="0" w:line="276" w:lineRule="auto"/>
        <w:jc w:val="both"/>
        <w:rPr>
          <w:rFonts w:cs="Arial"/>
          <w:sz w:val="24"/>
          <w:szCs w:val="24"/>
          <w:lang w:val="hr-HR"/>
        </w:rPr>
      </w:pPr>
    </w:p>
    <w:p w:rsidR="00E9755F" w:rsidRPr="007806FD" w:rsidRDefault="00E9755F" w:rsidP="00722DF4">
      <w:pPr>
        <w:pStyle w:val="BodyText"/>
        <w:spacing w:after="0" w:line="276" w:lineRule="auto"/>
        <w:jc w:val="both"/>
        <w:rPr>
          <w:rFonts w:cs="Arial"/>
          <w:i/>
          <w:sz w:val="22"/>
          <w:szCs w:val="22"/>
          <w:lang w:val="hr-HR"/>
        </w:rPr>
      </w:pPr>
      <w:r w:rsidRPr="007806FD">
        <w:rPr>
          <w:rFonts w:cs="Arial"/>
          <w:b/>
          <w:sz w:val="22"/>
          <w:szCs w:val="22"/>
          <w:lang w:val="hr-HR"/>
        </w:rPr>
        <w:t>Tabela 2.</w:t>
      </w:r>
      <w:r w:rsidR="00D6443E" w:rsidRPr="007806FD">
        <w:rPr>
          <w:rFonts w:cs="Arial"/>
          <w:b/>
          <w:sz w:val="22"/>
          <w:szCs w:val="22"/>
          <w:lang w:val="hr-HR"/>
        </w:rPr>
        <w:t>8</w:t>
      </w:r>
      <w:r w:rsidRPr="007806FD">
        <w:rPr>
          <w:rFonts w:cs="Arial"/>
          <w:b/>
          <w:sz w:val="22"/>
          <w:szCs w:val="22"/>
          <w:lang w:val="hr-HR"/>
        </w:rPr>
        <w:t>.</w:t>
      </w:r>
      <w:r w:rsidRPr="007806FD">
        <w:rPr>
          <w:rFonts w:cs="Arial"/>
          <w:sz w:val="22"/>
          <w:szCs w:val="22"/>
          <w:lang w:val="hr-HR"/>
        </w:rPr>
        <w:t>Područja međunarodnog značaja</w:t>
      </w:r>
    </w:p>
    <w:tbl>
      <w:tblPr>
        <w:tblW w:w="4942"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4110"/>
        <w:gridCol w:w="5126"/>
      </w:tblGrid>
      <w:tr w:rsidR="00EB5D29" w:rsidRPr="00722DF4" w:rsidTr="00CA2879">
        <w:trPr>
          <w:trHeight w:val="21"/>
        </w:trPr>
        <w:tc>
          <w:tcPr>
            <w:tcW w:w="2225" w:type="pct"/>
            <w:tcBorders>
              <w:top w:val="single" w:sz="6" w:space="0" w:color="FFFFFF"/>
              <w:left w:val="single" w:sz="6" w:space="0" w:color="FFFFFF"/>
              <w:bottom w:val="single" w:sz="6" w:space="0" w:color="FFFFFF"/>
              <w:right w:val="single" w:sz="6" w:space="0" w:color="FFFFFF"/>
            </w:tcBorders>
            <w:shd w:val="clear" w:color="auto" w:fill="004B9C"/>
            <w:noWrap/>
          </w:tcPr>
          <w:p w:rsidR="00EB5D29" w:rsidRPr="00722DF4" w:rsidRDefault="00EB5D29" w:rsidP="00722DF4">
            <w:pPr>
              <w:pStyle w:val="TableTextNoSpace"/>
              <w:spacing w:line="276" w:lineRule="auto"/>
              <w:jc w:val="both"/>
              <w:rPr>
                <w:b/>
                <w:bCs/>
                <w:color w:val="FFFFFF"/>
                <w:sz w:val="24"/>
                <w:szCs w:val="24"/>
                <w:lang w:val="hr-HR" w:eastAsia="en-US"/>
              </w:rPr>
            </w:pPr>
            <w:r w:rsidRPr="00722DF4">
              <w:rPr>
                <w:b/>
                <w:bCs/>
                <w:color w:val="FFFFFF"/>
                <w:sz w:val="24"/>
                <w:szCs w:val="24"/>
                <w:lang w:val="hr-HR" w:eastAsia="en-US"/>
              </w:rPr>
              <w:t>Tip područja međunarodnog značaja</w:t>
            </w:r>
          </w:p>
        </w:tc>
        <w:tc>
          <w:tcPr>
            <w:tcW w:w="2775" w:type="pct"/>
            <w:tcBorders>
              <w:top w:val="single" w:sz="6" w:space="0" w:color="FFFFFF"/>
              <w:left w:val="single" w:sz="6" w:space="0" w:color="FFFFFF"/>
              <w:bottom w:val="single" w:sz="6" w:space="0" w:color="FFFFFF"/>
              <w:right w:val="single" w:sz="6" w:space="0" w:color="FFFFFF"/>
            </w:tcBorders>
            <w:shd w:val="clear" w:color="auto" w:fill="004B9C"/>
          </w:tcPr>
          <w:p w:rsidR="00EB5D29" w:rsidRPr="00722DF4" w:rsidRDefault="00EB5D29" w:rsidP="00722DF4">
            <w:pPr>
              <w:pStyle w:val="TableTextNoSpace"/>
              <w:spacing w:line="276" w:lineRule="auto"/>
              <w:jc w:val="both"/>
              <w:rPr>
                <w:b/>
                <w:bCs/>
                <w:color w:val="FFFFFF"/>
                <w:sz w:val="24"/>
                <w:szCs w:val="24"/>
                <w:lang w:val="hr-HR"/>
              </w:rPr>
            </w:pPr>
            <w:r w:rsidRPr="00722DF4">
              <w:rPr>
                <w:b/>
                <w:bCs/>
                <w:color w:val="FFFFFF"/>
                <w:sz w:val="24"/>
                <w:szCs w:val="24"/>
                <w:lang w:val="hr-HR"/>
              </w:rPr>
              <w:t>Lokacije</w:t>
            </w:r>
          </w:p>
        </w:tc>
      </w:tr>
      <w:tr w:rsidR="00EB5D29" w:rsidRPr="00722DF4" w:rsidTr="00CA2879">
        <w:trPr>
          <w:trHeight w:val="21"/>
        </w:trPr>
        <w:tc>
          <w:tcPr>
            <w:tcW w:w="2225" w:type="pct"/>
            <w:shd w:val="clear" w:color="auto" w:fill="auto"/>
            <w:noWrap/>
          </w:tcPr>
          <w:p w:rsidR="00EB5D29" w:rsidRPr="00722DF4" w:rsidRDefault="00EB5D29" w:rsidP="00722DF4">
            <w:pPr>
              <w:pStyle w:val="TableTextNoSpace"/>
              <w:spacing w:line="276" w:lineRule="auto"/>
              <w:jc w:val="both"/>
              <w:rPr>
                <w:sz w:val="24"/>
                <w:szCs w:val="24"/>
                <w:lang w:val="hr-HR" w:eastAsia="en-US"/>
              </w:rPr>
            </w:pPr>
            <w:r w:rsidRPr="00722DF4">
              <w:rPr>
                <w:sz w:val="24"/>
                <w:szCs w:val="24"/>
                <w:lang w:val="hr-HR"/>
              </w:rPr>
              <w:t>IBA područja</w:t>
            </w:r>
          </w:p>
        </w:tc>
        <w:tc>
          <w:tcPr>
            <w:tcW w:w="2775" w:type="pct"/>
            <w:shd w:val="clear" w:color="auto" w:fill="auto"/>
          </w:tcPr>
          <w:p w:rsidR="00EB5D29" w:rsidRPr="00722DF4" w:rsidRDefault="00EB5D29" w:rsidP="00722DF4">
            <w:pPr>
              <w:pStyle w:val="TableTextNoSpace"/>
              <w:spacing w:line="276" w:lineRule="auto"/>
              <w:jc w:val="both"/>
              <w:rPr>
                <w:sz w:val="24"/>
                <w:szCs w:val="24"/>
                <w:lang w:val="hr-HR"/>
              </w:rPr>
            </w:pPr>
            <w:r w:rsidRPr="00722DF4">
              <w:rPr>
                <w:sz w:val="24"/>
                <w:szCs w:val="24"/>
                <w:lang w:val="hr-HR"/>
              </w:rPr>
              <w:t>Delta rijeke Bojane, planina Rumija, Skadarsko jezero, Plavsko jezero sa plavnim područjima, Tivatska solila, Ćemovsko polje, planinski lanac Prokletije, akumulaciona jezera kod Nikšića, planina Hajla, Biogradska gora, Durmitor, kanjon Cijevne, dolina rijeke Zete*, Kučke planine*, Visitorske planine*, Komovi*, Golija*, Pivske planine*, planina Ljubišnja*.</w:t>
            </w:r>
          </w:p>
        </w:tc>
      </w:tr>
      <w:tr w:rsidR="00EB5D29" w:rsidRPr="00722DF4" w:rsidTr="00CA2879">
        <w:trPr>
          <w:trHeight w:val="21"/>
        </w:trPr>
        <w:tc>
          <w:tcPr>
            <w:tcW w:w="2225" w:type="pct"/>
            <w:shd w:val="clear" w:color="auto" w:fill="auto"/>
            <w:noWrap/>
          </w:tcPr>
          <w:p w:rsidR="00EB5D29" w:rsidRPr="00722DF4" w:rsidRDefault="00EB5D29" w:rsidP="00722DF4">
            <w:pPr>
              <w:pStyle w:val="TableTextNoSpace"/>
              <w:spacing w:line="276" w:lineRule="auto"/>
              <w:jc w:val="both"/>
              <w:rPr>
                <w:sz w:val="24"/>
                <w:szCs w:val="24"/>
                <w:lang w:val="hr-HR" w:eastAsia="hr-HR"/>
              </w:rPr>
            </w:pPr>
            <w:r w:rsidRPr="00722DF4">
              <w:rPr>
                <w:sz w:val="24"/>
                <w:szCs w:val="24"/>
                <w:lang w:val="hr-HR" w:eastAsia="hr-HR"/>
              </w:rPr>
              <w:t>IPA područja</w:t>
            </w:r>
          </w:p>
        </w:tc>
        <w:tc>
          <w:tcPr>
            <w:tcW w:w="2775" w:type="pct"/>
            <w:shd w:val="clear" w:color="auto" w:fill="auto"/>
          </w:tcPr>
          <w:p w:rsidR="00EB5D29" w:rsidRPr="00722DF4" w:rsidRDefault="00EB5D29" w:rsidP="00722DF4">
            <w:pPr>
              <w:pStyle w:val="TableTextNoSpace"/>
              <w:spacing w:line="276" w:lineRule="auto"/>
              <w:jc w:val="both"/>
              <w:rPr>
                <w:sz w:val="24"/>
                <w:szCs w:val="24"/>
                <w:lang w:val="hr-HR"/>
              </w:rPr>
            </w:pPr>
            <w:r w:rsidRPr="00722DF4">
              <w:rPr>
                <w:sz w:val="24"/>
                <w:szCs w:val="24"/>
                <w:lang w:val="hr-HR"/>
              </w:rPr>
              <w:t xml:space="preserve">Jerinja glava, Lukavica, Trebjesa, Starac, Bogićevica, Visitor, Hajla, Orjen, Lovćen, Rumija, Babji zub (planina Sinjajevina), Komovi, Durmitor, Biogradska gora, Skadarsko jezero, Velika plaža u Ulcinju, </w:t>
            </w:r>
            <w:r w:rsidRPr="00722DF4">
              <w:rPr>
                <w:sz w:val="24"/>
                <w:szCs w:val="24"/>
                <w:lang w:val="hr-HR"/>
              </w:rPr>
              <w:lastRenderedPageBreak/>
              <w:t>kanjoni rijeka Pive, Tare, Komarnice, Mrtvice, Cijevne i Lima.</w:t>
            </w:r>
          </w:p>
        </w:tc>
      </w:tr>
      <w:tr w:rsidR="00EB5D29" w:rsidRPr="00722DF4" w:rsidTr="00CA2879">
        <w:trPr>
          <w:trHeight w:val="21"/>
        </w:trPr>
        <w:tc>
          <w:tcPr>
            <w:tcW w:w="5000" w:type="pct"/>
            <w:gridSpan w:val="2"/>
            <w:shd w:val="clear" w:color="auto" w:fill="auto"/>
            <w:noWrap/>
          </w:tcPr>
          <w:p w:rsidR="00EB5D29" w:rsidRPr="00722DF4" w:rsidRDefault="00EB5D29" w:rsidP="00722DF4">
            <w:pPr>
              <w:pStyle w:val="TableTextNoSpace"/>
              <w:spacing w:line="276" w:lineRule="auto"/>
              <w:jc w:val="both"/>
              <w:rPr>
                <w:sz w:val="24"/>
                <w:szCs w:val="24"/>
                <w:lang w:val="hr-HR"/>
              </w:rPr>
            </w:pPr>
            <w:r w:rsidRPr="00722DF4">
              <w:rPr>
                <w:sz w:val="24"/>
                <w:szCs w:val="24"/>
                <w:lang w:val="hr-HR"/>
              </w:rPr>
              <w:t>* potencijalno značajni lokaliteti</w:t>
            </w:r>
          </w:p>
        </w:tc>
      </w:tr>
    </w:tbl>
    <w:p w:rsidR="00E9755F" w:rsidRPr="00722DF4" w:rsidRDefault="00E9755F" w:rsidP="00722DF4">
      <w:pPr>
        <w:spacing w:after="0"/>
        <w:jc w:val="both"/>
        <w:rPr>
          <w:rFonts w:ascii="Arial" w:eastAsia="Times New Roman" w:hAnsi="Arial" w:cs="Arial"/>
          <w:sz w:val="24"/>
          <w:szCs w:val="24"/>
          <w:lang w:val="hr-HR" w:eastAsia="da-DK"/>
        </w:rPr>
      </w:pPr>
    </w:p>
    <w:p w:rsidR="00EB5D29" w:rsidRPr="00722DF4" w:rsidRDefault="00EB5D29"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Zakon o zaštiti prirode osigurava stavljanje pod zaštitu endemskih, rijetkih i ugroženih biljnih i životinjskih vrsta. Posebnim Rješenjem o stavljanju pod zaštitu pojedinih biljnih i životinjskih vrsta (Sl. RCG 76/06), 873 vrste stavljene su pod zaštitu.</w:t>
      </w:r>
    </w:p>
    <w:p w:rsidR="00C836AD" w:rsidRDefault="00C836AD" w:rsidP="00722DF4">
      <w:pPr>
        <w:spacing w:after="0"/>
        <w:ind w:left="1276" w:hanging="1276"/>
        <w:jc w:val="both"/>
        <w:rPr>
          <w:rFonts w:ascii="Arial" w:eastAsia="Times New Roman" w:hAnsi="Arial" w:cs="Arial"/>
          <w:b/>
          <w:sz w:val="24"/>
          <w:szCs w:val="24"/>
          <w:lang w:val="hr-HR" w:eastAsia="da-DK"/>
        </w:rPr>
      </w:pPr>
    </w:p>
    <w:p w:rsidR="00401F68" w:rsidRPr="007806FD" w:rsidRDefault="00EB5D29" w:rsidP="00722DF4">
      <w:pPr>
        <w:spacing w:after="0"/>
        <w:ind w:left="1276" w:hanging="1276"/>
        <w:jc w:val="both"/>
        <w:rPr>
          <w:rFonts w:ascii="Arial" w:eastAsia="Times New Roman" w:hAnsi="Arial" w:cs="Arial"/>
          <w:i/>
          <w:lang w:val="hr-HR" w:eastAsia="da-DK"/>
        </w:rPr>
      </w:pPr>
      <w:r w:rsidRPr="007806FD">
        <w:rPr>
          <w:rFonts w:ascii="Arial" w:eastAsia="Times New Roman" w:hAnsi="Arial" w:cs="Arial"/>
          <w:b/>
          <w:lang w:val="hr-HR" w:eastAsia="da-DK"/>
        </w:rPr>
        <w:t xml:space="preserve">Tabela </w:t>
      </w:r>
      <w:r w:rsidR="00E9755F" w:rsidRPr="007806FD">
        <w:rPr>
          <w:rFonts w:ascii="Arial" w:eastAsia="Times New Roman" w:hAnsi="Arial" w:cs="Arial"/>
          <w:b/>
          <w:lang w:val="hr-HR" w:eastAsia="da-DK"/>
        </w:rPr>
        <w:t>2.</w:t>
      </w:r>
      <w:r w:rsidR="00D6443E" w:rsidRPr="007806FD">
        <w:rPr>
          <w:rFonts w:ascii="Arial" w:eastAsia="Times New Roman" w:hAnsi="Arial" w:cs="Arial"/>
          <w:b/>
          <w:lang w:val="hr-HR" w:eastAsia="da-DK"/>
        </w:rPr>
        <w:t>9</w:t>
      </w:r>
      <w:r w:rsidR="00E9755F" w:rsidRPr="007806FD">
        <w:rPr>
          <w:rFonts w:ascii="Arial" w:eastAsia="Times New Roman" w:hAnsi="Arial" w:cs="Arial"/>
          <w:b/>
          <w:lang w:val="hr-HR" w:eastAsia="da-DK"/>
        </w:rPr>
        <w:t>.</w:t>
      </w:r>
      <w:r w:rsidR="00E9755F" w:rsidRPr="007806FD">
        <w:rPr>
          <w:rFonts w:ascii="Arial" w:eastAsia="Times New Roman" w:hAnsi="Arial" w:cs="Arial"/>
          <w:b/>
          <w:i/>
          <w:lang w:val="hr-HR" w:eastAsia="da-DK"/>
        </w:rPr>
        <w:t xml:space="preserve"> </w:t>
      </w:r>
      <w:r w:rsidR="00476353" w:rsidRPr="007806FD">
        <w:rPr>
          <w:rFonts w:ascii="Arial" w:eastAsia="Times New Roman" w:hAnsi="Arial" w:cs="Arial"/>
          <w:lang w:val="hr-HR" w:eastAsia="da-DK"/>
        </w:rPr>
        <w:t>Broj zaštićenih vrsta po taksonu</w:t>
      </w:r>
    </w:p>
    <w:tbl>
      <w:tblPr>
        <w:tblW w:w="4613"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815"/>
        <w:gridCol w:w="1935"/>
        <w:gridCol w:w="1935"/>
        <w:gridCol w:w="1936"/>
      </w:tblGrid>
      <w:tr w:rsidR="00EB5D29" w:rsidRPr="00722DF4" w:rsidTr="00CA2879">
        <w:trPr>
          <w:trHeight w:val="20"/>
        </w:trPr>
        <w:tc>
          <w:tcPr>
            <w:tcW w:w="1633" w:type="pct"/>
            <w:tcBorders>
              <w:top w:val="single" w:sz="6" w:space="0" w:color="FFFFFF"/>
              <w:left w:val="single" w:sz="6" w:space="0" w:color="FFFFFF"/>
              <w:bottom w:val="single" w:sz="6" w:space="0" w:color="FFFFFF"/>
              <w:right w:val="single" w:sz="6" w:space="0" w:color="FFFFFF"/>
            </w:tcBorders>
            <w:shd w:val="clear" w:color="auto" w:fill="004B9C"/>
            <w:noWrap/>
          </w:tcPr>
          <w:p w:rsidR="00EB5D29" w:rsidRPr="00722DF4" w:rsidRDefault="00EB5D29" w:rsidP="00722DF4">
            <w:pPr>
              <w:spacing w:after="0"/>
              <w:jc w:val="both"/>
              <w:rPr>
                <w:rFonts w:ascii="Arial" w:eastAsia="Times New Roman" w:hAnsi="Arial" w:cs="Arial"/>
                <w:b/>
                <w:bCs/>
                <w:color w:val="FFFFFF"/>
                <w:sz w:val="24"/>
                <w:szCs w:val="24"/>
                <w:lang w:val="en-GB" w:eastAsia="da-DK"/>
              </w:rPr>
            </w:pPr>
            <w:r w:rsidRPr="00722DF4">
              <w:rPr>
                <w:rFonts w:ascii="Arial" w:eastAsia="Times New Roman" w:hAnsi="Arial" w:cs="Arial"/>
                <w:b/>
                <w:bCs/>
                <w:color w:val="FFFFFF"/>
                <w:sz w:val="24"/>
                <w:szCs w:val="24"/>
                <w:lang w:val="en-GB" w:eastAsia="da-DK"/>
              </w:rPr>
              <w:t>Grupa</w:t>
            </w:r>
          </w:p>
        </w:tc>
        <w:tc>
          <w:tcPr>
            <w:tcW w:w="1122" w:type="pct"/>
            <w:tcBorders>
              <w:top w:val="single" w:sz="6" w:space="0" w:color="FFFFFF"/>
              <w:left w:val="single" w:sz="6" w:space="0" w:color="FFFFFF"/>
              <w:bottom w:val="single" w:sz="6" w:space="0" w:color="FFFFFF"/>
              <w:right w:val="single" w:sz="6" w:space="0" w:color="FFFFFF"/>
            </w:tcBorders>
            <w:shd w:val="clear" w:color="auto" w:fill="004B9C"/>
            <w:noWrap/>
          </w:tcPr>
          <w:p w:rsidR="00EB5D29" w:rsidRPr="00722DF4" w:rsidRDefault="00EB5D29" w:rsidP="00722DF4">
            <w:pPr>
              <w:spacing w:after="0"/>
              <w:jc w:val="both"/>
              <w:rPr>
                <w:rFonts w:ascii="Arial" w:eastAsia="Times New Roman" w:hAnsi="Arial" w:cs="Arial"/>
                <w:b/>
                <w:bCs/>
                <w:color w:val="FFFFFF"/>
                <w:sz w:val="24"/>
                <w:szCs w:val="24"/>
                <w:lang w:val="en-GB" w:eastAsia="da-DK"/>
              </w:rPr>
            </w:pPr>
            <w:r w:rsidRPr="00722DF4">
              <w:rPr>
                <w:rFonts w:ascii="Arial" w:eastAsia="Times New Roman" w:hAnsi="Arial" w:cs="Arial"/>
                <w:b/>
                <w:bCs/>
                <w:color w:val="FFFFFF"/>
                <w:sz w:val="24"/>
                <w:szCs w:val="24"/>
                <w:lang w:val="en-GB" w:eastAsia="da-DK"/>
              </w:rPr>
              <w:t>Broj zaštićenih vrsta</w:t>
            </w:r>
          </w:p>
        </w:tc>
        <w:tc>
          <w:tcPr>
            <w:tcW w:w="1122" w:type="pct"/>
            <w:tcBorders>
              <w:top w:val="single" w:sz="6" w:space="0" w:color="FFFFFF"/>
              <w:left w:val="single" w:sz="6" w:space="0" w:color="FFFFFF"/>
              <w:bottom w:val="single" w:sz="6" w:space="0" w:color="FFFFFF"/>
              <w:right w:val="single" w:sz="6" w:space="0" w:color="FFFFFF"/>
            </w:tcBorders>
            <w:shd w:val="clear" w:color="auto" w:fill="004B9C"/>
            <w:noWrap/>
          </w:tcPr>
          <w:p w:rsidR="00EB5D29" w:rsidRPr="00722DF4" w:rsidRDefault="00EB5D29" w:rsidP="00722DF4">
            <w:pPr>
              <w:spacing w:after="0"/>
              <w:jc w:val="both"/>
              <w:rPr>
                <w:rFonts w:ascii="Arial" w:eastAsia="Times New Roman" w:hAnsi="Arial" w:cs="Arial"/>
                <w:b/>
                <w:bCs/>
                <w:color w:val="FFFFFF"/>
                <w:sz w:val="24"/>
                <w:szCs w:val="24"/>
                <w:lang w:val="en-GB" w:eastAsia="da-DK"/>
              </w:rPr>
            </w:pPr>
            <w:r w:rsidRPr="00722DF4">
              <w:rPr>
                <w:rFonts w:ascii="Arial" w:eastAsia="Times New Roman" w:hAnsi="Arial" w:cs="Arial"/>
                <w:b/>
                <w:bCs/>
                <w:color w:val="FFFFFF"/>
                <w:sz w:val="24"/>
                <w:szCs w:val="24"/>
                <w:lang w:val="en-GB" w:eastAsia="da-DK"/>
              </w:rPr>
              <w:t>Grupa</w:t>
            </w:r>
          </w:p>
        </w:tc>
        <w:tc>
          <w:tcPr>
            <w:tcW w:w="1123" w:type="pct"/>
            <w:tcBorders>
              <w:top w:val="single" w:sz="6" w:space="0" w:color="FFFFFF"/>
              <w:left w:val="single" w:sz="6" w:space="0" w:color="FFFFFF"/>
              <w:bottom w:val="single" w:sz="6" w:space="0" w:color="FFFFFF"/>
              <w:right w:val="single" w:sz="6" w:space="0" w:color="FFFFFF"/>
            </w:tcBorders>
            <w:shd w:val="clear" w:color="auto" w:fill="004B9C"/>
          </w:tcPr>
          <w:p w:rsidR="00EB5D29" w:rsidRPr="00722DF4" w:rsidRDefault="00EB5D29" w:rsidP="00722DF4">
            <w:pPr>
              <w:spacing w:after="0"/>
              <w:jc w:val="both"/>
              <w:rPr>
                <w:rFonts w:ascii="Arial" w:eastAsia="Times New Roman" w:hAnsi="Arial" w:cs="Arial"/>
                <w:b/>
                <w:bCs/>
                <w:color w:val="FFFFFF"/>
                <w:sz w:val="24"/>
                <w:szCs w:val="24"/>
                <w:lang w:val="en-GB" w:eastAsia="da-DK"/>
              </w:rPr>
            </w:pPr>
            <w:r w:rsidRPr="00722DF4">
              <w:rPr>
                <w:rFonts w:ascii="Arial" w:eastAsia="Times New Roman" w:hAnsi="Arial" w:cs="Arial"/>
                <w:b/>
                <w:bCs/>
                <w:color w:val="FFFFFF"/>
                <w:sz w:val="24"/>
                <w:szCs w:val="24"/>
                <w:lang w:val="en-GB" w:eastAsia="da-DK"/>
              </w:rPr>
              <w:t>Broj zaštićenih vrsta</w:t>
            </w:r>
          </w:p>
        </w:tc>
      </w:tr>
      <w:tr w:rsidR="00EB5D29" w:rsidRPr="00722DF4" w:rsidTr="00CA2879">
        <w:trPr>
          <w:trHeight w:val="20"/>
        </w:trPr>
        <w:tc>
          <w:tcPr>
            <w:tcW w:w="1633"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 xml:space="preserve">Paprati </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2</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Sisari</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35</w:t>
            </w:r>
          </w:p>
        </w:tc>
      </w:tr>
      <w:tr w:rsidR="00EB5D29" w:rsidRPr="00722DF4" w:rsidTr="00CA2879">
        <w:trPr>
          <w:trHeight w:val="20"/>
        </w:trPr>
        <w:tc>
          <w:tcPr>
            <w:tcW w:w="1633" w:type="pct"/>
            <w:shd w:val="clear" w:color="auto" w:fill="auto"/>
            <w:noWrap/>
          </w:tcPr>
          <w:p w:rsidR="00EB5D29" w:rsidRPr="00722DF4" w:rsidRDefault="00E05D58" w:rsidP="00722DF4">
            <w:pPr>
              <w:spacing w:after="0"/>
              <w:jc w:val="both"/>
              <w:rPr>
                <w:rFonts w:ascii="Arial" w:eastAsia="Times New Roman" w:hAnsi="Arial" w:cs="Arial"/>
                <w:sz w:val="24"/>
                <w:szCs w:val="24"/>
                <w:lang w:val="en-GB" w:eastAsia="da-DK"/>
              </w:rPr>
            </w:pPr>
            <w:r>
              <w:rPr>
                <w:rFonts w:ascii="Arial" w:eastAsia="Times New Roman" w:hAnsi="Arial" w:cs="Arial"/>
                <w:sz w:val="24"/>
                <w:szCs w:val="24"/>
                <w:lang w:val="en-GB" w:eastAsia="da-DK"/>
              </w:rPr>
              <w:t xml:space="preserve">Vaskularne biljke </w:t>
            </w:r>
            <w:r w:rsidR="00EB5D29" w:rsidRPr="00722DF4">
              <w:rPr>
                <w:rFonts w:ascii="Arial" w:eastAsia="Times New Roman" w:hAnsi="Arial" w:cs="Arial"/>
                <w:sz w:val="24"/>
                <w:szCs w:val="24"/>
                <w:lang w:val="en-GB" w:eastAsia="da-DK"/>
              </w:rPr>
              <w:t xml:space="preserve">  </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272</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Ptice</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298</w:t>
            </w:r>
          </w:p>
        </w:tc>
      </w:tr>
      <w:tr w:rsidR="00EB5D29" w:rsidRPr="00722DF4" w:rsidTr="00CA2879">
        <w:trPr>
          <w:trHeight w:val="20"/>
        </w:trPr>
        <w:tc>
          <w:tcPr>
            <w:tcW w:w="1633"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Alge</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6</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Gmizavci</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26</w:t>
            </w:r>
          </w:p>
        </w:tc>
      </w:tr>
      <w:tr w:rsidR="00EB5D29" w:rsidRPr="00722DF4" w:rsidTr="00CA2879">
        <w:trPr>
          <w:trHeight w:val="20"/>
        </w:trPr>
        <w:tc>
          <w:tcPr>
            <w:tcW w:w="1633"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Mahovine</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27</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Vodozemci</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16</w:t>
            </w:r>
          </w:p>
        </w:tc>
      </w:tr>
      <w:tr w:rsidR="00EB5D29" w:rsidRPr="00722DF4" w:rsidTr="00CA2879">
        <w:trPr>
          <w:trHeight w:val="20"/>
        </w:trPr>
        <w:tc>
          <w:tcPr>
            <w:tcW w:w="1633"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Gjlive</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111</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Ribe</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11</w:t>
            </w:r>
          </w:p>
        </w:tc>
      </w:tr>
      <w:tr w:rsidR="00EB5D29" w:rsidRPr="00722DF4" w:rsidTr="00CA2879">
        <w:trPr>
          <w:trHeight w:val="20"/>
        </w:trPr>
        <w:tc>
          <w:tcPr>
            <w:tcW w:w="1633"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Korali</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7</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Mekušci</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18</w:t>
            </w:r>
          </w:p>
        </w:tc>
      </w:tr>
      <w:tr w:rsidR="00EB5D29" w:rsidRPr="00722DF4" w:rsidTr="00CA2879">
        <w:trPr>
          <w:trHeight w:val="20"/>
        </w:trPr>
        <w:tc>
          <w:tcPr>
            <w:tcW w:w="1633"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Sunđeri</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9</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Insekti</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14</w:t>
            </w:r>
          </w:p>
        </w:tc>
      </w:tr>
      <w:tr w:rsidR="00EB5D29" w:rsidRPr="00722DF4" w:rsidTr="00CA2879">
        <w:trPr>
          <w:trHeight w:val="20"/>
        </w:trPr>
        <w:tc>
          <w:tcPr>
            <w:tcW w:w="1633"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Člankoviti crvi</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6</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Paučnjaci</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5</w:t>
            </w:r>
          </w:p>
        </w:tc>
      </w:tr>
      <w:tr w:rsidR="00EB5D29" w:rsidRPr="00722DF4" w:rsidTr="00CA2879">
        <w:trPr>
          <w:trHeight w:val="20"/>
        </w:trPr>
        <w:tc>
          <w:tcPr>
            <w:tcW w:w="1633"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Bodljokošci</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6</w:t>
            </w:r>
          </w:p>
        </w:tc>
        <w:tc>
          <w:tcPr>
            <w:tcW w:w="1122" w:type="pct"/>
            <w:shd w:val="clear" w:color="auto" w:fill="auto"/>
            <w:noWrap/>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Rakovi</w:t>
            </w:r>
          </w:p>
        </w:tc>
        <w:tc>
          <w:tcPr>
            <w:tcW w:w="1123" w:type="pct"/>
            <w:shd w:val="clear" w:color="auto" w:fill="auto"/>
          </w:tcPr>
          <w:p w:rsidR="00EB5D29" w:rsidRPr="00722DF4" w:rsidRDefault="00EB5D29" w:rsidP="00722DF4">
            <w:pPr>
              <w:spacing w:after="0"/>
              <w:jc w:val="both"/>
              <w:rPr>
                <w:rFonts w:ascii="Arial" w:eastAsia="Times New Roman" w:hAnsi="Arial" w:cs="Arial"/>
                <w:sz w:val="24"/>
                <w:szCs w:val="24"/>
                <w:lang w:val="en-GB" w:eastAsia="da-DK"/>
              </w:rPr>
            </w:pPr>
            <w:r w:rsidRPr="00722DF4">
              <w:rPr>
                <w:rFonts w:ascii="Arial" w:eastAsia="Times New Roman" w:hAnsi="Arial" w:cs="Arial"/>
                <w:sz w:val="24"/>
                <w:szCs w:val="24"/>
                <w:lang w:val="en-GB" w:eastAsia="da-DK"/>
              </w:rPr>
              <w:t>4</w:t>
            </w:r>
          </w:p>
        </w:tc>
      </w:tr>
    </w:tbl>
    <w:p w:rsidR="00EB5D29" w:rsidRDefault="00EB5D29"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Izvor: Sl. RCG 76/06</w:t>
      </w:r>
    </w:p>
    <w:p w:rsidR="00D6443E" w:rsidRPr="00722DF4" w:rsidRDefault="00D6443E" w:rsidP="00722DF4">
      <w:pPr>
        <w:spacing w:after="0"/>
        <w:jc w:val="both"/>
        <w:rPr>
          <w:rFonts w:ascii="Arial" w:eastAsia="Times New Roman" w:hAnsi="Arial" w:cs="Arial"/>
          <w:sz w:val="24"/>
          <w:szCs w:val="24"/>
          <w:lang w:val="hr-HR" w:eastAsia="da-DK"/>
        </w:rPr>
      </w:pPr>
    </w:p>
    <w:p w:rsidR="00EB5D29" w:rsidRPr="00722DF4" w:rsidRDefault="00EB5D29" w:rsidP="00722DF4">
      <w:pPr>
        <w:pStyle w:val="BodyText"/>
        <w:spacing w:after="0" w:line="276" w:lineRule="auto"/>
        <w:jc w:val="both"/>
        <w:rPr>
          <w:rFonts w:cs="Arial"/>
          <w:sz w:val="24"/>
          <w:szCs w:val="24"/>
          <w:lang w:val="hr-HR"/>
        </w:rPr>
      </w:pPr>
      <w:r w:rsidRPr="00722DF4">
        <w:rPr>
          <w:rFonts w:cs="Arial"/>
          <w:sz w:val="24"/>
          <w:szCs w:val="24"/>
          <w:lang w:val="hr-HR"/>
        </w:rPr>
        <w:t>Gotovo svi planinski predjeli Crne Gore mogu se smatrati središtima raznolikosti vaskularne flore (posebno Durmitor, masiv Prokletija i primorske planine Orjen, Lovćen i Rumija). Regije sa 1200 do 1400 taksona (vrsta i podvrsta) su: Durmitor sa Biočem, uključujući kanjone rijeka Tare, Pive i Sušice; Bjelasica, Komovi i Prokletije sa Visitorom, Žijovom, Humom orahovskim, kanjonima rijeka Cijevne i Mrtvice; Skadarsko jezero sa sjevernim obroncima planine Rumije. Područje masiva Prokletija, Moračkih planina, Bjelasice i Komova priznato je kao središte endemske vaskularne flore.</w:t>
      </w:r>
    </w:p>
    <w:p w:rsidR="00D6443E" w:rsidRPr="00722DF4" w:rsidRDefault="00D6443E" w:rsidP="00722DF4">
      <w:pPr>
        <w:pStyle w:val="BodyText"/>
        <w:spacing w:after="0" w:line="276" w:lineRule="auto"/>
        <w:jc w:val="both"/>
        <w:rPr>
          <w:rFonts w:cs="Arial"/>
          <w:sz w:val="24"/>
          <w:szCs w:val="24"/>
          <w:lang w:val="hr-HR"/>
        </w:rPr>
      </w:pPr>
    </w:p>
    <w:p w:rsidR="00EB5D29" w:rsidRDefault="00EB5D29" w:rsidP="00722DF4">
      <w:pPr>
        <w:pStyle w:val="BodyText"/>
        <w:spacing w:after="0" w:line="276" w:lineRule="auto"/>
        <w:jc w:val="both"/>
        <w:rPr>
          <w:rFonts w:cs="Arial"/>
          <w:sz w:val="24"/>
          <w:szCs w:val="24"/>
          <w:lang w:val="hr-HR"/>
        </w:rPr>
      </w:pPr>
      <w:r w:rsidRPr="00722DF4">
        <w:rPr>
          <w:rFonts w:cs="Arial"/>
          <w:sz w:val="24"/>
          <w:szCs w:val="24"/>
          <w:lang w:val="hr-HR"/>
        </w:rPr>
        <w:t>Smatra se da su primorski dio Crne Gore sa zaleđem, Skadarsko jezero, Lovćen i Prokletije najvažnija središta raznolikosti gmizavaca i vodozemaca na Balkanu i u Evropi.</w:t>
      </w:r>
    </w:p>
    <w:p w:rsidR="00D6443E" w:rsidRPr="00722DF4" w:rsidRDefault="00D6443E" w:rsidP="00722DF4">
      <w:pPr>
        <w:pStyle w:val="BodyText"/>
        <w:spacing w:after="0" w:line="276" w:lineRule="auto"/>
        <w:jc w:val="both"/>
        <w:rPr>
          <w:rFonts w:cs="Arial"/>
          <w:sz w:val="24"/>
          <w:szCs w:val="24"/>
          <w:lang w:val="hr-HR"/>
        </w:rPr>
      </w:pPr>
    </w:p>
    <w:p w:rsidR="00EB5D29" w:rsidRPr="00722DF4" w:rsidRDefault="00EB5D29" w:rsidP="00722DF4">
      <w:pPr>
        <w:pStyle w:val="BodyText"/>
        <w:spacing w:after="0" w:line="276" w:lineRule="auto"/>
        <w:jc w:val="both"/>
        <w:rPr>
          <w:rFonts w:cs="Arial"/>
          <w:sz w:val="24"/>
          <w:szCs w:val="24"/>
          <w:lang w:val="hr-HR"/>
        </w:rPr>
      </w:pPr>
      <w:r w:rsidRPr="00722DF4">
        <w:rPr>
          <w:rFonts w:cs="Arial"/>
          <w:sz w:val="24"/>
          <w:szCs w:val="24"/>
          <w:lang w:val="hr-HR"/>
        </w:rPr>
        <w:t>Prema raspoloživim podacima</w:t>
      </w:r>
      <w:r w:rsidRPr="00722DF4">
        <w:rPr>
          <w:rStyle w:val="FootnoteReference"/>
          <w:rFonts w:cs="Arial"/>
          <w:sz w:val="24"/>
          <w:szCs w:val="24"/>
          <w:lang w:val="hr-HR"/>
        </w:rPr>
        <w:footnoteReference w:id="5"/>
      </w:r>
      <w:r w:rsidRPr="00722DF4">
        <w:rPr>
          <w:rFonts w:cs="Arial"/>
          <w:sz w:val="24"/>
          <w:szCs w:val="24"/>
          <w:lang w:val="hr-HR"/>
        </w:rPr>
        <w:t xml:space="preserve"> na samom području </w:t>
      </w:r>
      <w:r w:rsidRPr="009C0E0E">
        <w:rPr>
          <w:rFonts w:cs="Arial"/>
          <w:sz w:val="24"/>
          <w:szCs w:val="24"/>
          <w:lang w:val="hr-HR"/>
        </w:rPr>
        <w:t>Crnogorskog primorja</w:t>
      </w:r>
      <w:r w:rsidRPr="00722DF4">
        <w:rPr>
          <w:rFonts w:cs="Arial"/>
          <w:sz w:val="24"/>
          <w:szCs w:val="24"/>
          <w:lang w:val="hr-HR"/>
        </w:rPr>
        <w:t xml:space="preserve"> zabilježeno je 1540 biljnih vrsta, 113 lišajeva, 283 mahovine, 232 gljiva, 289 beskičmenjaka, 29 predstavnika ihtiofaune, 18 vodozemaca, 38 gmizavaca, 249 ptica i 69 sisara. Na osnovu </w:t>
      </w:r>
      <w:r w:rsidRPr="00722DF4">
        <w:rPr>
          <w:rFonts w:cs="Arial"/>
          <w:sz w:val="24"/>
          <w:szCs w:val="24"/>
          <w:lang w:val="hr-HR"/>
        </w:rPr>
        <w:lastRenderedPageBreak/>
        <w:t>zoogeografskih karakteristika u fauni Crnogorskog primorja razlikuju se kosmopolitske vrste ‒ široko rasprostranjene u čitavom svijetu; holarktičke vrste ‒ koje naseljavaju sjevernu zemljinu poluloptu; palearktičke vrste ‒ koje naseljavaju Evropu, Aziju i Sjevernu Afriku; mediteranske vrste ‒ koje se mogu smatrati mediteranskim endemima i endemične vrste ‒ koje naseljavaju manje ili više ograničen prostor (istočno/zapadno mediteranski endemi, jadranski, balkanski, dinarski, crnogorski…).</w:t>
      </w:r>
    </w:p>
    <w:p w:rsidR="00C541C6" w:rsidRDefault="00EB5D29" w:rsidP="00722DF4">
      <w:pPr>
        <w:pStyle w:val="BodyText"/>
        <w:spacing w:after="0" w:line="276" w:lineRule="auto"/>
        <w:jc w:val="both"/>
        <w:rPr>
          <w:rFonts w:cs="Arial"/>
          <w:sz w:val="24"/>
          <w:szCs w:val="24"/>
          <w:lang w:val="hr-HR"/>
        </w:rPr>
      </w:pPr>
      <w:r w:rsidRPr="00722DF4">
        <w:rPr>
          <w:rFonts w:cs="Arial"/>
          <w:sz w:val="24"/>
          <w:szCs w:val="24"/>
          <w:lang w:val="hr-HR"/>
        </w:rPr>
        <w:t xml:space="preserve">Jedno od najznačajnijih područja bioraznovrsnosti je Lovćen, koji je specifičan po brojnim endemskim i reliktnim vrstama. Na prostoru Lovćena nađeno je 1158 biljnih vrsta, koje su uključene u 476 rodova i 95 familija (Tomić–Stanković, 1970), od toga 12 taksona novih za ovo područje. Od endemskih i rijetkih biljnih vrsta na ovom području se nalaze: </w:t>
      </w:r>
      <w:r w:rsidRPr="00722DF4">
        <w:rPr>
          <w:rFonts w:cs="Arial"/>
          <w:i/>
          <w:sz w:val="24"/>
          <w:szCs w:val="24"/>
          <w:lang w:val="hr-HR"/>
        </w:rPr>
        <w:t>Silene tommasini, Lamium lovcenikum, Crepis pantocsekii, Micromeria dalmatica, Micromeria parviflora, Amphoricarpus neumayeri, Silene</w:t>
      </w:r>
      <w:r w:rsidR="00C541C6" w:rsidRPr="00722DF4">
        <w:rPr>
          <w:rFonts w:cs="Arial"/>
          <w:i/>
          <w:sz w:val="24"/>
          <w:szCs w:val="24"/>
          <w:lang w:val="hr-HR"/>
        </w:rPr>
        <w:t xml:space="preserve"> reichenbachii, Hieracium waldsteinii, Lilium cattaniae, Saxifraga federici augusti.</w:t>
      </w:r>
      <w:r w:rsidR="00C541C6" w:rsidRPr="00722DF4">
        <w:rPr>
          <w:rFonts w:cs="Arial"/>
          <w:sz w:val="24"/>
          <w:szCs w:val="24"/>
          <w:lang w:val="hr-HR"/>
        </w:rPr>
        <w:t xml:space="preserve"> Faunu Lovćena odlikuje prisustvo velikog broja vodozemaca i gmizavaca. Do sada je zabilježeno 16 taksona na ovim prostorima. Većina ima međunarodnu zaštitu, a zaštićena su i nacionalnim zakonodavstvom Crne Gore. Izraženo je prisustvo endemskih i reliktnih vrsta, poput </w:t>
      </w:r>
      <w:r w:rsidR="00C541C6" w:rsidRPr="00722DF4">
        <w:rPr>
          <w:rFonts w:cs="Arial"/>
          <w:i/>
          <w:sz w:val="24"/>
          <w:szCs w:val="24"/>
          <w:lang w:val="hr-HR"/>
        </w:rPr>
        <w:t>Sorex minutus, Lacerta mosorensis, L. oxycephala,  Natrix n. Persa, Podarcis muralis, Podarcis melisellensis</w:t>
      </w:r>
      <w:r w:rsidR="00C541C6" w:rsidRPr="00722DF4">
        <w:rPr>
          <w:rFonts w:cs="Arial"/>
          <w:sz w:val="24"/>
          <w:szCs w:val="24"/>
          <w:lang w:val="hr-HR"/>
        </w:rPr>
        <w:t xml:space="preserve"> i dr. (Đukić, 1995) </w:t>
      </w:r>
      <w:r w:rsidR="00C541C6" w:rsidRPr="00722DF4">
        <w:rPr>
          <w:rFonts w:cs="Arial"/>
          <w:sz w:val="24"/>
          <w:szCs w:val="24"/>
          <w:vertAlign w:val="superscript"/>
          <w:lang w:val="hr-HR"/>
        </w:rPr>
        <w:footnoteReference w:id="6"/>
      </w:r>
      <w:r w:rsidR="00C541C6" w:rsidRPr="00722DF4">
        <w:rPr>
          <w:rFonts w:cs="Arial"/>
          <w:sz w:val="24"/>
          <w:szCs w:val="24"/>
          <w:lang w:val="hr-HR"/>
        </w:rPr>
        <w:t>.</w:t>
      </w:r>
    </w:p>
    <w:p w:rsidR="00D6443E" w:rsidRPr="00722DF4" w:rsidRDefault="00D6443E" w:rsidP="00722DF4">
      <w:pPr>
        <w:pStyle w:val="BodyText"/>
        <w:spacing w:after="0" w:line="276" w:lineRule="auto"/>
        <w:jc w:val="both"/>
        <w:rPr>
          <w:rFonts w:cs="Arial"/>
          <w:sz w:val="24"/>
          <w:szCs w:val="24"/>
          <w:lang w:val="hr-HR"/>
        </w:rPr>
      </w:pPr>
    </w:p>
    <w:p w:rsidR="00C541C6" w:rsidRDefault="00C541C6"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Kras se u Crnoj Gori uglavnom nalazi na visinama od 1000 metara nadmorske visine, pa čak i na visini do 1900 metara (planina Orjen (1894 m), najviši planinski masiv između obalnih krednih lanaca). Vegetacija koju čine: šikare i grmlje, i zelena vegetacija (sa velikim prostranstvima kojim dominira kadulja (</w:t>
      </w:r>
      <w:r w:rsidRPr="00722DF4">
        <w:rPr>
          <w:rFonts w:ascii="Arial" w:eastAsia="Times New Roman" w:hAnsi="Arial" w:cs="Arial"/>
          <w:i/>
          <w:sz w:val="24"/>
          <w:szCs w:val="24"/>
          <w:lang w:val="hr-HR" w:eastAsia="da-DK"/>
        </w:rPr>
        <w:t>Salvia officinalis</w:t>
      </w:r>
      <w:r w:rsidRPr="00722DF4">
        <w:rPr>
          <w:rFonts w:ascii="Arial" w:eastAsia="Times New Roman" w:hAnsi="Arial" w:cs="Arial"/>
          <w:sz w:val="24"/>
          <w:szCs w:val="24"/>
          <w:lang w:val="hr-HR" w:eastAsia="da-DK"/>
        </w:rPr>
        <w:t>)) uglavnom je slaba, ali ima brojne endemske oblike. Na kraškom području najkarakterističnije životinje su gmizavci, koje karakteriše visoki stepen endemičnosti. Na ovom području prisutna je i specifična ornitofauna.</w:t>
      </w:r>
    </w:p>
    <w:p w:rsidR="00D6443E" w:rsidRPr="00722DF4" w:rsidRDefault="00D6443E" w:rsidP="00722DF4">
      <w:pPr>
        <w:spacing w:after="0"/>
        <w:jc w:val="both"/>
        <w:rPr>
          <w:rFonts w:ascii="Arial" w:eastAsia="Times New Roman" w:hAnsi="Arial" w:cs="Arial"/>
          <w:sz w:val="24"/>
          <w:szCs w:val="24"/>
          <w:lang w:val="hr-HR" w:eastAsia="da-DK"/>
        </w:rPr>
      </w:pPr>
    </w:p>
    <w:p w:rsidR="00C541C6" w:rsidRDefault="00C541C6"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Bioraznolikost krasa nije dovoljno istražena, pa nije moguće dati stvarnu procjenu stanja</w:t>
      </w:r>
      <w:r w:rsidRPr="00722DF4">
        <w:rPr>
          <w:rFonts w:ascii="Arial" w:eastAsia="Times New Roman" w:hAnsi="Arial" w:cs="Arial"/>
          <w:sz w:val="24"/>
          <w:szCs w:val="24"/>
          <w:vertAlign w:val="superscript"/>
          <w:lang w:val="hr-HR" w:eastAsia="da-DK"/>
        </w:rPr>
        <w:footnoteReference w:id="7"/>
      </w:r>
      <w:r w:rsidRPr="00722DF4">
        <w:rPr>
          <w:rFonts w:ascii="Arial" w:eastAsia="Times New Roman" w:hAnsi="Arial" w:cs="Arial"/>
          <w:sz w:val="24"/>
          <w:szCs w:val="24"/>
          <w:lang w:val="hr-HR" w:eastAsia="da-DK"/>
        </w:rPr>
        <w:t>.</w:t>
      </w:r>
    </w:p>
    <w:p w:rsidR="00D6443E" w:rsidRPr="00722DF4" w:rsidRDefault="00D6443E" w:rsidP="00722DF4">
      <w:pPr>
        <w:spacing w:after="0"/>
        <w:jc w:val="both"/>
        <w:rPr>
          <w:rFonts w:ascii="Arial" w:eastAsia="Times New Roman" w:hAnsi="Arial" w:cs="Arial"/>
          <w:sz w:val="24"/>
          <w:szCs w:val="24"/>
          <w:lang w:val="hr-HR" w:eastAsia="da-DK"/>
        </w:rPr>
      </w:pPr>
    </w:p>
    <w:p w:rsidR="00C541C6" w:rsidRDefault="00C541C6"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Crnogorski dio jugoistočnih Dinarskih planina i čini dio velikog biokoridora jugoistočnih Dinarskih planina („Dinarski luk“), koji se proteže od Alpa do Prokletija i Sarp-Pindor masiva. U području Prokletija, ovaj biokoridor takođe je povezan sa velikim regionalnim biokoridorom zvanim „Zeleni pojas“. Zbog specifičnog režima korišćenja ove zone u prošlosti, ona je postala važan koridor za bioraznovrsnost. Veći dio ekosistema uključen je u dva primarna ekološka koridora. Treći koridor utvrđen je u pravcu Orjen‒Pusti Lisac‒Maganik–Sinjajevina–Kovren.</w:t>
      </w:r>
    </w:p>
    <w:p w:rsidR="00D6443E" w:rsidRPr="00722DF4" w:rsidRDefault="00D6443E" w:rsidP="00722DF4">
      <w:pPr>
        <w:spacing w:after="0"/>
        <w:jc w:val="both"/>
        <w:rPr>
          <w:rFonts w:ascii="Arial" w:eastAsia="Times New Roman" w:hAnsi="Arial" w:cs="Arial"/>
          <w:sz w:val="24"/>
          <w:szCs w:val="24"/>
          <w:lang w:val="hr-HR" w:eastAsia="da-DK"/>
        </w:rPr>
      </w:pPr>
    </w:p>
    <w:p w:rsidR="00C541C6" w:rsidRDefault="00C541C6"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lastRenderedPageBreak/>
        <w:t>Sekundarni koridori, koji razdvajaju funkcionalne cjeline, poboljšavaju prirodnu otpornost ekosistema na negativne efekte ljudskih aktivnosti.</w:t>
      </w:r>
    </w:p>
    <w:p w:rsidR="00D6443E" w:rsidRPr="00722DF4" w:rsidRDefault="00D6443E" w:rsidP="00722DF4">
      <w:pPr>
        <w:spacing w:after="0"/>
        <w:jc w:val="both"/>
        <w:rPr>
          <w:rFonts w:ascii="Arial" w:eastAsia="Times New Roman" w:hAnsi="Arial" w:cs="Arial"/>
          <w:sz w:val="24"/>
          <w:szCs w:val="24"/>
          <w:lang w:val="hr-HR" w:eastAsia="da-DK"/>
        </w:rPr>
      </w:pPr>
    </w:p>
    <w:p w:rsidR="00C541C6" w:rsidRDefault="00C541C6" w:rsidP="00722DF4">
      <w:pPr>
        <w:pStyle w:val="BodyText"/>
        <w:spacing w:after="0" w:line="276" w:lineRule="auto"/>
        <w:jc w:val="both"/>
        <w:rPr>
          <w:rFonts w:cs="Arial"/>
          <w:sz w:val="24"/>
          <w:szCs w:val="24"/>
          <w:lang w:val="hr-HR"/>
        </w:rPr>
      </w:pPr>
      <w:r w:rsidRPr="00722DF4">
        <w:rPr>
          <w:rFonts w:cs="Arial"/>
          <w:sz w:val="24"/>
          <w:szCs w:val="24"/>
          <w:lang w:val="hr-HR"/>
        </w:rPr>
        <w:t>Agroekosistem Crne Gore takođe ima poseban značaj. Bioraznolikost i usluge ekosistema doprinose društveno-ekonomskom razvoju i dobrobiti ljudi na više načina. U Crnoj Gori, oni su važni faktori kod očuvanja kvaliteta vodnih resursa. Pojedini ekosistemi, poput močvarnih staništa duž sjeverne obale Skadarskog jezera ili uz obale rijeka, filtriraju i tako sprečavaju da različiti oblici zagađenja dođu u vodene ekosisteme. Uz močvarne, i šumski ekosistemi u slivnom području obavljaju tu funkciju, a oni takođe utiču i na rezerve podzemne slatke vode i tako doprinose njenoj dostupnosti za korišćenje. Takođe, doprinose zaštiti od prirodnih nepogoda kao što su poplave i erozija, te regulaciji klime. Istovremeno, doprinose proizvodnji hrane (ribolov, sakupljanje jestivih divljih vrsta, plodnost zemljišta, agroekosistem igraju značajnu ulogu u rekreaciji i održavanju privlačnosti zemlje - važnoj za razvoj turizma.</w:t>
      </w:r>
      <w:bookmarkStart w:id="35" w:name="_Toc460246488"/>
      <w:bookmarkStart w:id="36" w:name="_Toc461028584"/>
      <w:bookmarkEnd w:id="35"/>
      <w:bookmarkEnd w:id="36"/>
    </w:p>
    <w:p w:rsidR="00D6443E" w:rsidRPr="00722DF4" w:rsidRDefault="00D6443E" w:rsidP="00722DF4">
      <w:pPr>
        <w:pStyle w:val="BodyText"/>
        <w:spacing w:after="0" w:line="276" w:lineRule="auto"/>
        <w:jc w:val="both"/>
        <w:rPr>
          <w:rFonts w:cs="Arial"/>
          <w:sz w:val="24"/>
          <w:szCs w:val="24"/>
          <w:lang w:val="hr-HR"/>
        </w:rPr>
      </w:pPr>
    </w:p>
    <w:p w:rsidR="002A5679" w:rsidRDefault="3B4348E7" w:rsidP="00722DF4">
      <w:pPr>
        <w:pStyle w:val="Heading3"/>
        <w:numPr>
          <w:ilvl w:val="0"/>
          <w:numId w:val="0"/>
        </w:numPr>
        <w:spacing w:before="0"/>
        <w:jc w:val="both"/>
        <w:rPr>
          <w:rFonts w:cs="Arial"/>
          <w:szCs w:val="24"/>
          <w:lang w:val="sr-Latn-CS"/>
        </w:rPr>
      </w:pPr>
      <w:bookmarkStart w:id="37" w:name="_Toc6172826"/>
      <w:r w:rsidRPr="00722DF4">
        <w:rPr>
          <w:rFonts w:cs="Arial"/>
          <w:szCs w:val="24"/>
        </w:rPr>
        <w:t>2.6.2 Zaštićena područja</w:t>
      </w:r>
      <w:bookmarkEnd w:id="37"/>
      <w:r w:rsidRPr="00722DF4">
        <w:rPr>
          <w:rFonts w:cs="Arial"/>
          <w:szCs w:val="24"/>
        </w:rPr>
        <w:t xml:space="preserve"> </w:t>
      </w:r>
    </w:p>
    <w:p w:rsidR="00D6443E" w:rsidRPr="00D6443E" w:rsidRDefault="00D6443E" w:rsidP="00D6443E">
      <w:pPr>
        <w:rPr>
          <w:lang w:val="sr-Latn-CS"/>
        </w:rPr>
      </w:pPr>
    </w:p>
    <w:p w:rsidR="005D7F3A" w:rsidRDefault="3B4348E7" w:rsidP="00722DF4">
      <w:pPr>
        <w:spacing w:after="0"/>
        <w:jc w:val="both"/>
        <w:rPr>
          <w:rFonts w:ascii="Arial" w:hAnsi="Arial" w:cs="Arial"/>
          <w:sz w:val="24"/>
          <w:szCs w:val="24"/>
        </w:rPr>
      </w:pPr>
      <w:r w:rsidRPr="00722DF4">
        <w:rPr>
          <w:rFonts w:ascii="Arial" w:hAnsi="Arial" w:cs="Arial"/>
          <w:sz w:val="24"/>
          <w:szCs w:val="24"/>
        </w:rPr>
        <w:t>Nacionalna mreža zaštićenih područja trenutno pokriva oko 12.8% teritorije. Samo je 8,6% zaštićenih područja prirode na kopnu u odnosu na površinu obalnog područja, odnosno 0% zaštićenih područja u moru.</w:t>
      </w:r>
    </w:p>
    <w:p w:rsidR="00D6443E" w:rsidRPr="00722DF4" w:rsidRDefault="00D6443E" w:rsidP="00722DF4">
      <w:pPr>
        <w:spacing w:after="0"/>
        <w:jc w:val="both"/>
        <w:rPr>
          <w:rFonts w:ascii="Arial" w:hAnsi="Arial" w:cs="Arial"/>
          <w:sz w:val="24"/>
          <w:szCs w:val="24"/>
        </w:rPr>
      </w:pPr>
    </w:p>
    <w:p w:rsidR="007D57F9" w:rsidRPr="00722DF4"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Postojeća </w:t>
      </w:r>
      <w:r w:rsidRPr="00722DF4">
        <w:rPr>
          <w:rFonts w:ascii="Arial" w:hAnsi="Arial" w:cs="Arial"/>
          <w:b/>
          <w:sz w:val="24"/>
          <w:szCs w:val="24"/>
        </w:rPr>
        <w:t xml:space="preserve">zaštićena prirodna dobra </w:t>
      </w:r>
      <w:r w:rsidRPr="00722DF4">
        <w:rPr>
          <w:rFonts w:ascii="Arial" w:hAnsi="Arial" w:cs="Arial"/>
          <w:sz w:val="24"/>
          <w:szCs w:val="24"/>
        </w:rPr>
        <w:t xml:space="preserve">uključuju pet nacionalnih parkova: NP Biogradska gora, NP Durmitor, NP Lovćen, NP Skadarsko jezero i NP Prokletije, posebni rezervat prirode (Tivatska solila), više spomenika prirode, nekoliko predjela posebnih prirodnih odlika, kao i područje </w:t>
      </w:r>
      <w:r w:rsidR="005E12A3" w:rsidRPr="00722DF4">
        <w:rPr>
          <w:rFonts w:ascii="Arial" w:hAnsi="Arial" w:cs="Arial"/>
          <w:color w:val="000000"/>
          <w:sz w:val="24"/>
          <w:szCs w:val="24"/>
        </w:rPr>
        <w:t>prirodnog i kulturno – istorijskog područja Kotora</w:t>
      </w:r>
      <w:r w:rsidR="005E12A3" w:rsidRPr="00722DF4">
        <w:rPr>
          <w:rFonts w:ascii="Arial" w:hAnsi="Arial" w:cs="Arial"/>
          <w:sz w:val="24"/>
          <w:szCs w:val="24"/>
        </w:rPr>
        <w:t>.</w:t>
      </w:r>
    </w:p>
    <w:p w:rsidR="00E9755F" w:rsidRPr="00722DF4" w:rsidRDefault="00E9755F" w:rsidP="00722DF4">
      <w:pPr>
        <w:autoSpaceDE w:val="0"/>
        <w:autoSpaceDN w:val="0"/>
        <w:adjustRightInd w:val="0"/>
        <w:spacing w:after="0"/>
        <w:jc w:val="both"/>
        <w:rPr>
          <w:rFonts w:ascii="Arial" w:hAnsi="Arial" w:cs="Arial"/>
          <w:sz w:val="24"/>
          <w:szCs w:val="24"/>
        </w:rPr>
      </w:pPr>
    </w:p>
    <w:p w:rsidR="00C541C6" w:rsidRPr="007806FD" w:rsidRDefault="00E9755F" w:rsidP="00722DF4">
      <w:pPr>
        <w:autoSpaceDE w:val="0"/>
        <w:autoSpaceDN w:val="0"/>
        <w:adjustRightInd w:val="0"/>
        <w:spacing w:after="0"/>
        <w:jc w:val="both"/>
        <w:rPr>
          <w:rFonts w:ascii="Arial" w:hAnsi="Arial" w:cs="Arial"/>
        </w:rPr>
      </w:pPr>
      <w:r w:rsidRPr="007806FD">
        <w:rPr>
          <w:rFonts w:ascii="Arial" w:hAnsi="Arial" w:cs="Arial"/>
          <w:b/>
        </w:rPr>
        <w:t>Tabela 2.</w:t>
      </w:r>
      <w:r w:rsidR="00D6443E" w:rsidRPr="007806FD">
        <w:rPr>
          <w:rFonts w:ascii="Arial" w:hAnsi="Arial" w:cs="Arial"/>
          <w:b/>
        </w:rPr>
        <w:t>10</w:t>
      </w:r>
      <w:r w:rsidRPr="007806FD">
        <w:rPr>
          <w:rFonts w:ascii="Arial" w:hAnsi="Arial" w:cs="Arial"/>
          <w:b/>
        </w:rPr>
        <w:t xml:space="preserve">. </w:t>
      </w:r>
      <w:r w:rsidRPr="007806FD">
        <w:rPr>
          <w:rFonts w:ascii="Arial" w:hAnsi="Arial" w:cs="Arial"/>
        </w:rPr>
        <w:t>Zaštićena područja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blLook w:val="04A0" w:firstRow="1" w:lastRow="0" w:firstColumn="1" w:lastColumn="0" w:noHBand="0" w:noVBand="1"/>
      </w:tblPr>
      <w:tblGrid>
        <w:gridCol w:w="3259"/>
        <w:gridCol w:w="1543"/>
        <w:gridCol w:w="1402"/>
        <w:gridCol w:w="3126"/>
      </w:tblGrid>
      <w:tr w:rsidR="00E9755F" w:rsidRPr="00722DF4" w:rsidTr="00CA2879">
        <w:trPr>
          <w:jc w:val="center"/>
        </w:trPr>
        <w:tc>
          <w:tcPr>
            <w:tcW w:w="3369" w:type="dxa"/>
            <w:tcBorders>
              <w:top w:val="single" w:sz="12" w:space="0" w:color="auto"/>
              <w:left w:val="single" w:sz="12" w:space="0" w:color="auto"/>
              <w:bottom w:val="single" w:sz="12" w:space="0" w:color="auto"/>
              <w:right w:val="single" w:sz="12" w:space="0" w:color="auto"/>
            </w:tcBorders>
            <w:shd w:val="clear" w:color="auto" w:fill="548DD4"/>
            <w:vAlign w:val="center"/>
          </w:tcPr>
          <w:p w:rsidR="00E9755F" w:rsidRPr="00722DF4" w:rsidRDefault="00E9755F" w:rsidP="00722DF4">
            <w:pPr>
              <w:autoSpaceDE w:val="0"/>
              <w:autoSpaceDN w:val="0"/>
              <w:adjustRightInd w:val="0"/>
              <w:spacing w:after="0"/>
              <w:jc w:val="both"/>
              <w:rPr>
                <w:rFonts w:ascii="Arial" w:hAnsi="Arial" w:cs="Arial"/>
                <w:b/>
                <w:color w:val="FFFFFF"/>
                <w:sz w:val="24"/>
                <w:szCs w:val="24"/>
              </w:rPr>
            </w:pPr>
            <w:r w:rsidRPr="00722DF4">
              <w:rPr>
                <w:rFonts w:ascii="Arial" w:hAnsi="Arial" w:cs="Arial"/>
                <w:b/>
                <w:color w:val="FFFFFF"/>
                <w:sz w:val="24"/>
                <w:szCs w:val="24"/>
              </w:rPr>
              <w:t>Nazivi nacionalna kategorija</w:t>
            </w:r>
          </w:p>
        </w:tc>
        <w:tc>
          <w:tcPr>
            <w:tcW w:w="1559" w:type="dxa"/>
            <w:tcBorders>
              <w:top w:val="single" w:sz="12" w:space="0" w:color="auto"/>
              <w:left w:val="single" w:sz="12" w:space="0" w:color="auto"/>
              <w:bottom w:val="single" w:sz="12" w:space="0" w:color="auto"/>
              <w:right w:val="single" w:sz="12" w:space="0" w:color="auto"/>
            </w:tcBorders>
            <w:shd w:val="clear" w:color="auto" w:fill="548DD4"/>
            <w:vAlign w:val="center"/>
          </w:tcPr>
          <w:p w:rsidR="00E9755F" w:rsidRPr="00722DF4" w:rsidRDefault="00E9755F" w:rsidP="00722DF4">
            <w:pPr>
              <w:autoSpaceDE w:val="0"/>
              <w:autoSpaceDN w:val="0"/>
              <w:adjustRightInd w:val="0"/>
              <w:spacing w:after="0"/>
              <w:jc w:val="both"/>
              <w:rPr>
                <w:rFonts w:ascii="Arial" w:hAnsi="Arial" w:cs="Arial"/>
                <w:b/>
                <w:color w:val="FFFFFF"/>
                <w:sz w:val="24"/>
                <w:szCs w:val="24"/>
              </w:rPr>
            </w:pPr>
            <w:r w:rsidRPr="00722DF4">
              <w:rPr>
                <w:rFonts w:ascii="Arial" w:hAnsi="Arial" w:cs="Arial"/>
                <w:b/>
                <w:color w:val="FFFFFF"/>
                <w:sz w:val="24"/>
                <w:szCs w:val="24"/>
              </w:rPr>
              <w:t>IUCN</w:t>
            </w:r>
          </w:p>
          <w:p w:rsidR="00E9755F" w:rsidRPr="00722DF4" w:rsidRDefault="00E9755F" w:rsidP="00722DF4">
            <w:pPr>
              <w:autoSpaceDE w:val="0"/>
              <w:autoSpaceDN w:val="0"/>
              <w:adjustRightInd w:val="0"/>
              <w:spacing w:after="0"/>
              <w:jc w:val="both"/>
              <w:rPr>
                <w:rFonts w:ascii="Arial" w:hAnsi="Arial" w:cs="Arial"/>
                <w:b/>
                <w:color w:val="FFFFFF"/>
                <w:sz w:val="24"/>
                <w:szCs w:val="24"/>
              </w:rPr>
            </w:pPr>
            <w:r w:rsidRPr="00722DF4">
              <w:rPr>
                <w:rFonts w:ascii="Arial" w:hAnsi="Arial" w:cs="Arial"/>
                <w:b/>
                <w:color w:val="FFFFFF"/>
                <w:sz w:val="24"/>
                <w:szCs w:val="24"/>
              </w:rPr>
              <w:t>kategorija</w:t>
            </w:r>
          </w:p>
        </w:tc>
        <w:tc>
          <w:tcPr>
            <w:tcW w:w="1417" w:type="dxa"/>
            <w:tcBorders>
              <w:top w:val="single" w:sz="12" w:space="0" w:color="auto"/>
              <w:left w:val="single" w:sz="12" w:space="0" w:color="auto"/>
              <w:bottom w:val="single" w:sz="12" w:space="0" w:color="auto"/>
              <w:right w:val="single" w:sz="12" w:space="0" w:color="auto"/>
            </w:tcBorders>
            <w:shd w:val="clear" w:color="auto" w:fill="548DD4"/>
            <w:vAlign w:val="center"/>
          </w:tcPr>
          <w:p w:rsidR="00E9755F" w:rsidRPr="00722DF4" w:rsidRDefault="00E9755F" w:rsidP="00722DF4">
            <w:pPr>
              <w:autoSpaceDE w:val="0"/>
              <w:autoSpaceDN w:val="0"/>
              <w:adjustRightInd w:val="0"/>
              <w:spacing w:after="0"/>
              <w:jc w:val="both"/>
              <w:rPr>
                <w:rFonts w:ascii="Arial" w:hAnsi="Arial" w:cs="Arial"/>
                <w:b/>
                <w:color w:val="FFFFFF"/>
                <w:sz w:val="24"/>
                <w:szCs w:val="24"/>
              </w:rPr>
            </w:pPr>
            <w:r w:rsidRPr="00722DF4">
              <w:rPr>
                <w:rFonts w:ascii="Arial" w:hAnsi="Arial" w:cs="Arial"/>
                <w:b/>
                <w:color w:val="FFFFFF"/>
                <w:sz w:val="24"/>
                <w:szCs w:val="24"/>
              </w:rPr>
              <w:t>Površina</w:t>
            </w:r>
          </w:p>
          <w:p w:rsidR="00E9755F" w:rsidRPr="00722DF4" w:rsidRDefault="00E9755F" w:rsidP="00722DF4">
            <w:pPr>
              <w:autoSpaceDE w:val="0"/>
              <w:autoSpaceDN w:val="0"/>
              <w:adjustRightInd w:val="0"/>
              <w:spacing w:after="0"/>
              <w:jc w:val="both"/>
              <w:rPr>
                <w:rFonts w:ascii="Arial" w:hAnsi="Arial" w:cs="Arial"/>
                <w:b/>
                <w:color w:val="FFFFFF"/>
                <w:sz w:val="24"/>
                <w:szCs w:val="24"/>
              </w:rPr>
            </w:pPr>
            <w:r w:rsidRPr="00722DF4">
              <w:rPr>
                <w:rFonts w:ascii="Arial" w:hAnsi="Arial" w:cs="Arial"/>
                <w:b/>
                <w:color w:val="FFFFFF"/>
                <w:sz w:val="24"/>
                <w:szCs w:val="24"/>
              </w:rPr>
              <w:t>[ha]</w:t>
            </w:r>
          </w:p>
        </w:tc>
        <w:tc>
          <w:tcPr>
            <w:tcW w:w="3231" w:type="dxa"/>
            <w:tcBorders>
              <w:top w:val="single" w:sz="12" w:space="0" w:color="auto"/>
              <w:left w:val="single" w:sz="12" w:space="0" w:color="auto"/>
              <w:bottom w:val="single" w:sz="12" w:space="0" w:color="auto"/>
              <w:right w:val="single" w:sz="12" w:space="0" w:color="auto"/>
            </w:tcBorders>
            <w:shd w:val="clear" w:color="auto" w:fill="548DD4"/>
            <w:vAlign w:val="center"/>
          </w:tcPr>
          <w:p w:rsidR="00E9755F" w:rsidRPr="00722DF4" w:rsidRDefault="00E9755F" w:rsidP="00722DF4">
            <w:pPr>
              <w:autoSpaceDE w:val="0"/>
              <w:autoSpaceDN w:val="0"/>
              <w:adjustRightInd w:val="0"/>
              <w:spacing w:after="0"/>
              <w:jc w:val="both"/>
              <w:rPr>
                <w:rFonts w:ascii="Arial" w:hAnsi="Arial" w:cs="Arial"/>
                <w:b/>
                <w:color w:val="FFFFFF"/>
                <w:sz w:val="24"/>
                <w:szCs w:val="24"/>
              </w:rPr>
            </w:pPr>
            <w:r w:rsidRPr="00722DF4">
              <w:rPr>
                <w:rFonts w:ascii="Arial" w:hAnsi="Arial" w:cs="Arial"/>
                <w:b/>
                <w:color w:val="FFFFFF"/>
                <w:sz w:val="24"/>
                <w:szCs w:val="24"/>
              </w:rPr>
              <w:t>Godina uspostavljanja zaštite</w:t>
            </w:r>
          </w:p>
        </w:tc>
      </w:tr>
      <w:tr w:rsidR="00E9755F" w:rsidRPr="00722DF4" w:rsidTr="00CA2879">
        <w:trPr>
          <w:jc w:val="center"/>
        </w:trPr>
        <w:tc>
          <w:tcPr>
            <w:tcW w:w="9576" w:type="dxa"/>
            <w:gridSpan w:val="4"/>
            <w:tcBorders>
              <w:top w:val="single" w:sz="12" w:space="0" w:color="auto"/>
            </w:tcBorders>
            <w:shd w:val="clear" w:color="auto" w:fill="FFFFFF"/>
          </w:tcPr>
          <w:p w:rsidR="00E9755F" w:rsidRPr="00722DF4" w:rsidRDefault="00E9755F" w:rsidP="00722DF4">
            <w:pPr>
              <w:autoSpaceDE w:val="0"/>
              <w:autoSpaceDN w:val="0"/>
              <w:adjustRightInd w:val="0"/>
              <w:spacing w:after="0"/>
              <w:jc w:val="both"/>
              <w:rPr>
                <w:rFonts w:ascii="Arial" w:hAnsi="Arial" w:cs="Arial"/>
                <w:sz w:val="24"/>
                <w:szCs w:val="24"/>
              </w:rPr>
            </w:pPr>
            <w:r w:rsidRPr="00722DF4">
              <w:rPr>
                <w:rFonts w:ascii="Arial" w:hAnsi="Arial" w:cs="Arial"/>
                <w:b/>
                <w:sz w:val="24"/>
                <w:szCs w:val="24"/>
              </w:rPr>
              <w:t>Nacionalni  parkovi</w:t>
            </w:r>
          </w:p>
        </w:tc>
      </w:tr>
      <w:tr w:rsidR="00E9755F" w:rsidRPr="00722DF4" w:rsidTr="00CA2879">
        <w:trPr>
          <w:jc w:val="center"/>
        </w:trPr>
        <w:tc>
          <w:tcPr>
            <w:tcW w:w="3369"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NP "Skadarsko jezero"</w:t>
            </w:r>
          </w:p>
        </w:tc>
        <w:tc>
          <w:tcPr>
            <w:tcW w:w="1559"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II</w:t>
            </w:r>
          </w:p>
        </w:tc>
        <w:tc>
          <w:tcPr>
            <w:tcW w:w="1417"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40.000</w:t>
            </w:r>
          </w:p>
        </w:tc>
        <w:tc>
          <w:tcPr>
            <w:tcW w:w="3231"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1983, izmjene 1991.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NP "Lovćen"</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6.400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195., 1978, izmjene 1991.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NP "Durmitor"</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31.200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1952, 1978, izmjene 1991.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NP "Biogradska gora"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5.400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1952, 1978, izmjene 1991.</w:t>
            </w:r>
          </w:p>
        </w:tc>
      </w:tr>
      <w:tr w:rsidR="00E9755F" w:rsidRPr="00722DF4" w:rsidTr="00CA2879">
        <w:trPr>
          <w:jc w:val="center"/>
        </w:trPr>
        <w:tc>
          <w:tcPr>
            <w:tcW w:w="3369" w:type="dxa"/>
            <w:tcBorders>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NP "Prokletije"</w:t>
            </w:r>
          </w:p>
        </w:tc>
        <w:tc>
          <w:tcPr>
            <w:tcW w:w="1559" w:type="dxa"/>
            <w:tcBorders>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II</w:t>
            </w:r>
          </w:p>
        </w:tc>
        <w:tc>
          <w:tcPr>
            <w:tcW w:w="1417" w:type="dxa"/>
            <w:tcBorders>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21.000</w:t>
            </w:r>
          </w:p>
        </w:tc>
        <w:tc>
          <w:tcPr>
            <w:tcW w:w="3231" w:type="dxa"/>
            <w:tcBorders>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rPr>
              <w:t>2007.</w:t>
            </w:r>
          </w:p>
        </w:tc>
      </w:tr>
      <w:tr w:rsidR="00E9755F" w:rsidRPr="00722DF4" w:rsidTr="00CA2879">
        <w:trPr>
          <w:jc w:val="center"/>
        </w:trPr>
        <w:tc>
          <w:tcPr>
            <w:tcW w:w="9576" w:type="dxa"/>
            <w:gridSpan w:val="4"/>
            <w:tcBorders>
              <w:top w:val="single" w:sz="12" w:space="0" w:color="auto"/>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b/>
                <w:sz w:val="24"/>
                <w:szCs w:val="24"/>
                <w:lang w:val="hr-HR"/>
              </w:rPr>
              <w:t>Regionalni parkovi prirode</w:t>
            </w:r>
          </w:p>
        </w:tc>
      </w:tr>
      <w:tr w:rsidR="00E9755F" w:rsidRPr="00722DF4" w:rsidTr="00CA2879">
        <w:trPr>
          <w:jc w:val="center"/>
        </w:trPr>
        <w:tc>
          <w:tcPr>
            <w:tcW w:w="3369"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Piva</w:t>
            </w:r>
          </w:p>
        </w:tc>
        <w:tc>
          <w:tcPr>
            <w:tcW w:w="1559"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V</w:t>
            </w:r>
          </w:p>
        </w:tc>
        <w:tc>
          <w:tcPr>
            <w:tcW w:w="1417"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32.471</w:t>
            </w:r>
          </w:p>
        </w:tc>
        <w:tc>
          <w:tcPr>
            <w:tcW w:w="3231"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2011.</w:t>
            </w:r>
          </w:p>
        </w:tc>
      </w:tr>
      <w:tr w:rsidR="00E9755F" w:rsidRPr="00722DF4" w:rsidTr="00CA2879">
        <w:trPr>
          <w:jc w:val="center"/>
        </w:trPr>
        <w:tc>
          <w:tcPr>
            <w:tcW w:w="3369" w:type="dxa"/>
            <w:tcBorders>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Komovi</w:t>
            </w:r>
          </w:p>
        </w:tc>
        <w:tc>
          <w:tcPr>
            <w:tcW w:w="1559" w:type="dxa"/>
            <w:tcBorders>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V</w:t>
            </w:r>
          </w:p>
        </w:tc>
        <w:tc>
          <w:tcPr>
            <w:tcW w:w="1417" w:type="dxa"/>
            <w:tcBorders>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tcBorders>
              <w:bottom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2012.</w:t>
            </w:r>
          </w:p>
        </w:tc>
      </w:tr>
      <w:tr w:rsidR="00E9755F" w:rsidRPr="00722DF4" w:rsidTr="00CA2879">
        <w:trPr>
          <w:jc w:val="center"/>
        </w:trPr>
        <w:tc>
          <w:tcPr>
            <w:tcW w:w="9576" w:type="dxa"/>
            <w:gridSpan w:val="4"/>
            <w:tcBorders>
              <w:top w:val="single" w:sz="12" w:space="0" w:color="auto"/>
              <w:bottom w:val="single" w:sz="12" w:space="0" w:color="auto"/>
            </w:tcBorders>
            <w:shd w:val="clear" w:color="auto" w:fill="FFFFFF"/>
          </w:tcPr>
          <w:p w:rsidR="00E9755F" w:rsidRPr="00722DF4" w:rsidRDefault="00E9755F" w:rsidP="00722DF4">
            <w:pPr>
              <w:pStyle w:val="TableTextNoSpace"/>
              <w:spacing w:line="276" w:lineRule="auto"/>
              <w:jc w:val="both"/>
              <w:rPr>
                <w:b/>
                <w:sz w:val="24"/>
                <w:szCs w:val="24"/>
                <w:lang w:val="hr-HR"/>
              </w:rPr>
            </w:pPr>
            <w:r w:rsidRPr="00722DF4">
              <w:rPr>
                <w:b/>
                <w:sz w:val="24"/>
                <w:szCs w:val="24"/>
                <w:lang w:val="hr-HR"/>
              </w:rPr>
              <w:lastRenderedPageBreak/>
              <w:t>Spomenici prirode</w:t>
            </w:r>
          </w:p>
        </w:tc>
      </w:tr>
      <w:tr w:rsidR="00E9755F" w:rsidRPr="00722DF4" w:rsidTr="00CA2879">
        <w:trPr>
          <w:jc w:val="center"/>
        </w:trPr>
        <w:tc>
          <w:tcPr>
            <w:tcW w:w="3369"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Đalovića klisura</w:t>
            </w:r>
          </w:p>
        </w:tc>
        <w:tc>
          <w:tcPr>
            <w:tcW w:w="1559"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1.600</w:t>
            </w:r>
          </w:p>
        </w:tc>
        <w:tc>
          <w:tcPr>
            <w:tcW w:w="3231" w:type="dxa"/>
            <w:tcBorders>
              <w:top w:val="single" w:sz="12" w:space="0" w:color="auto"/>
            </w:tcBorders>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Lipska pećina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Pećina Magara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Pećina Globočica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Pećina Spila kod Trnova/Virpazar</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Pećina Babatuša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Novakovića pećina kod Tomaševa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Jama Duboki do u Njegušima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Kanjon rijeke Pive</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1.700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1969</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Kanjon rijeke Komarnice</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2300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1969</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Kanjon rijeke Tare</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III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Rk.br.01-172  01. 05. 1967.</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 xml:space="preserve">Zajednice bora krivulja (Pinetum mughi montenegrinum) na Ljubišnji </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r w:rsidRPr="00722DF4">
              <w:rPr>
                <w:sz w:val="24"/>
                <w:szCs w:val="24"/>
                <w:lang w:val="hr-HR" w:eastAsia="hr-HR"/>
              </w:rPr>
              <w:t>1.000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 xml:space="preserve">Zajednice bora krivulja (Pinetum mughi montenegrinum) na Durmitoru </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5.200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Zajdnica bora krivulja (Pinetum mughi montenegrinum) na Bjelasici</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400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Zajednica bora munike (Pinus heldraichii) na Orjenu</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300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Zajednica bora munike (Pinus heldraichii) na Lovćenu</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300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Zajednica bora munike (Pinus heldreichii) na Rumiji</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Plaže na obali Skadarskog jezera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 xml:space="preserve">Velika ulcinjska plaža </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600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Mala ulcinjska plaža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1,5</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Valdanos</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3</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Veliki pijesak</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0,5</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lastRenderedPageBreak/>
              <w:t>Plaža Topolica, Bar</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2</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Sutomore</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4</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 2011.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Lučice, Petrovac</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0,9</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Čanj</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3,5</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Pećin</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1,5</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Buljarica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4</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Petrovačka plaža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1,5</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 2011.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Drobni pijesak</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Sveti Stefan</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4</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Miločer</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Bečićka plaža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5</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 2011.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Slovenska plaža, Budva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4</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 2011.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Mogren</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2</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Jaz</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4</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 2011.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Plaža Pržno</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2</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Savinska Dubrava, Herceg Novi</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35,46</w:t>
            </w:r>
          </w:p>
        </w:tc>
        <w:tc>
          <w:tcPr>
            <w:tcW w:w="3231" w:type="dxa"/>
            <w:shd w:val="clear" w:color="auto" w:fill="FFFFFF"/>
          </w:tcPr>
          <w:p w:rsidR="00E9755F" w:rsidRPr="00722DF4" w:rsidRDefault="00E9755F" w:rsidP="00722DF4">
            <w:pPr>
              <w:pStyle w:val="TableTextNoSpace"/>
              <w:spacing w:line="276" w:lineRule="auto"/>
              <w:ind w:right="-138"/>
              <w:jc w:val="both"/>
              <w:rPr>
                <w:sz w:val="24"/>
                <w:szCs w:val="24"/>
                <w:lang w:val="hr-HR" w:eastAsia="hr-HR"/>
              </w:rPr>
            </w:pPr>
            <w:r w:rsidRPr="00722DF4">
              <w:rPr>
                <w:sz w:val="24"/>
                <w:szCs w:val="24"/>
                <w:lang w:val="hr-HR" w:eastAsia="hr-HR"/>
              </w:rPr>
              <w:t>Rj.br.01-307 22. 05.1968.    Rj.br.01-760 27. 06. 2000, 2014.</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Botanički rezervat lovora i oleandera iznad vrela Sopot kod Risna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40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Botanička bašta planinske flore u Kolašinu</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0,64</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Rj.br.01-78 21. 08. 1994.</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Botanička bašta generala Kovačevića u Grahovu</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0,93</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Rj.br.01-574/2 12. 06. 2000.</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Park "13 jul" i "Njegošev park" na Cetinju</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7,83</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Rj.br.01-300 28. 04. 1965. Rj.br.01-298 07. 05. 1965.</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Park kod Hotela „Boka“ u Herceg Novom</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1,2</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 br. 01-299 28. 04. 1965.</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Gradski park u Tivtu</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3</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 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Park Dvorca na Topolici</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III/V</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2</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Plavsko jezero</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2007.</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Posebni prirodni predjeli</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lastRenderedPageBreak/>
              <w:t>Brdo Spas iznad Budve</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131</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Rj.br.01-959 12. 12. 1968, 2009.</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Poluostrvo Ratac sa Žukotrlicom</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30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Ostrvo Stari Ulcinj</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2,5</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Brdo Trebjesa, Nikšić</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159</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Ostala područja ‒ opštinske odluke</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Kotorsko-risanski zaliv, opština Kotor</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15.000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Rezervati prirode:</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rPr>
            </w:pP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NP „Skadarsko jezero“: Manastirska tapija, Pančeva oka, Crni žar, Grmožur, Omerova gorica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1.420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Rj.br.01-959 12. 12. 1968.</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NP „Prokletije“: Hridsko jezero, Volušnica i Visitor</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2007.</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NP „Durmitor“: Crna poda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180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1952, 1978, izmjene 1991.</w:t>
            </w:r>
          </w:p>
        </w:tc>
      </w:tr>
      <w:tr w:rsidR="00E9755F" w:rsidRPr="00722DF4" w:rsidTr="00CA2879">
        <w:trPr>
          <w:jc w:val="center"/>
        </w:trPr>
        <w:tc>
          <w:tcPr>
            <w:tcW w:w="336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Tivatska solila</w:t>
            </w:r>
          </w:p>
        </w:tc>
        <w:tc>
          <w:tcPr>
            <w:tcW w:w="1559"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III</w:t>
            </w:r>
          </w:p>
        </w:tc>
        <w:tc>
          <w:tcPr>
            <w:tcW w:w="1417"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150</w:t>
            </w:r>
          </w:p>
        </w:tc>
        <w:tc>
          <w:tcPr>
            <w:tcW w:w="3231" w:type="dxa"/>
            <w:shd w:val="clear" w:color="auto" w:fill="FFFFFF"/>
          </w:tcPr>
          <w:p w:rsidR="00E9755F" w:rsidRPr="00722DF4" w:rsidRDefault="00E9755F" w:rsidP="00722DF4">
            <w:pPr>
              <w:pStyle w:val="TableTextNoSpace"/>
              <w:spacing w:line="276" w:lineRule="auto"/>
              <w:jc w:val="both"/>
              <w:rPr>
                <w:sz w:val="24"/>
                <w:szCs w:val="24"/>
                <w:lang w:val="hr-HR" w:eastAsia="hr-HR"/>
              </w:rPr>
            </w:pPr>
            <w:r w:rsidRPr="00722DF4">
              <w:rPr>
                <w:sz w:val="24"/>
                <w:szCs w:val="24"/>
                <w:lang w:val="hr-HR" w:eastAsia="hr-HR"/>
              </w:rPr>
              <w:t>Rj.br.01-12/2 12. 11. 2008.</w:t>
            </w:r>
          </w:p>
        </w:tc>
      </w:tr>
    </w:tbl>
    <w:p w:rsidR="00203D9F" w:rsidRPr="00722DF4" w:rsidRDefault="00203D9F" w:rsidP="00722DF4">
      <w:pPr>
        <w:autoSpaceDE w:val="0"/>
        <w:autoSpaceDN w:val="0"/>
        <w:adjustRightInd w:val="0"/>
        <w:spacing w:after="0"/>
        <w:jc w:val="both"/>
        <w:rPr>
          <w:rFonts w:ascii="Arial" w:hAnsi="Arial" w:cs="Arial"/>
          <w:sz w:val="24"/>
          <w:szCs w:val="24"/>
        </w:rPr>
      </w:pPr>
    </w:p>
    <w:p w:rsidR="00747EE9" w:rsidRPr="00722DF4" w:rsidRDefault="00FB6284"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Kao </w:t>
      </w:r>
      <w:r w:rsidR="005E12A3" w:rsidRPr="00722DF4">
        <w:rPr>
          <w:rFonts w:ascii="Arial" w:hAnsi="Arial" w:cs="Arial"/>
          <w:sz w:val="24"/>
          <w:szCs w:val="24"/>
        </w:rPr>
        <w:t>š</w:t>
      </w:r>
      <w:r w:rsidRPr="00722DF4">
        <w:rPr>
          <w:rFonts w:ascii="Arial" w:hAnsi="Arial" w:cs="Arial"/>
          <w:sz w:val="24"/>
          <w:szCs w:val="24"/>
        </w:rPr>
        <w:t>to je prethodno navedeno n</w:t>
      </w:r>
      <w:r w:rsidR="007D57F9" w:rsidRPr="00722DF4">
        <w:rPr>
          <w:rFonts w:ascii="Arial" w:hAnsi="Arial" w:cs="Arial"/>
          <w:sz w:val="24"/>
          <w:szCs w:val="24"/>
        </w:rPr>
        <w:t>acionalna mreža zaštićenih područja trenutno pokriva oko 12</w:t>
      </w:r>
      <w:r w:rsidRPr="00722DF4">
        <w:rPr>
          <w:rFonts w:ascii="Arial" w:hAnsi="Arial" w:cs="Arial"/>
          <w:sz w:val="24"/>
          <w:szCs w:val="24"/>
        </w:rPr>
        <w:t>.8</w:t>
      </w:r>
      <w:r w:rsidR="007D57F9" w:rsidRPr="00722DF4">
        <w:rPr>
          <w:rFonts w:ascii="Arial" w:hAnsi="Arial" w:cs="Arial"/>
          <w:sz w:val="24"/>
          <w:szCs w:val="24"/>
        </w:rPr>
        <w:t>% teritorije Crne Gore</w:t>
      </w:r>
      <w:r w:rsidR="002A5679" w:rsidRPr="00722DF4">
        <w:rPr>
          <w:rStyle w:val="FootnoteReference"/>
          <w:rFonts w:ascii="Arial" w:hAnsi="Arial" w:cs="Arial"/>
          <w:sz w:val="24"/>
          <w:szCs w:val="24"/>
        </w:rPr>
        <w:footnoteReference w:id="8"/>
      </w:r>
      <w:r w:rsidR="007D57F9" w:rsidRPr="00722DF4">
        <w:rPr>
          <w:rFonts w:ascii="Arial" w:hAnsi="Arial" w:cs="Arial"/>
          <w:sz w:val="24"/>
          <w:szCs w:val="24"/>
        </w:rPr>
        <w:t xml:space="preserve">, čime su ostvareni ciljevi NSOR iz 2007. </w:t>
      </w:r>
      <w:r w:rsidR="00245090" w:rsidRPr="00722DF4">
        <w:rPr>
          <w:rFonts w:ascii="Arial" w:hAnsi="Arial" w:cs="Arial"/>
          <w:sz w:val="24"/>
          <w:szCs w:val="24"/>
        </w:rPr>
        <w:t>g</w:t>
      </w:r>
      <w:r w:rsidR="007D57F9" w:rsidRPr="00722DF4">
        <w:rPr>
          <w:rFonts w:ascii="Arial" w:hAnsi="Arial" w:cs="Arial"/>
          <w:sz w:val="24"/>
          <w:szCs w:val="24"/>
        </w:rPr>
        <w:t>odine i Nacionalne strategije biodiverziteta iz 2010. godine o 10 % udjela zaštićenih područja prirode u ukupnoj površini države. Time je ujedno prevaziđena ciljna vrijednost indikatora koji se odnosi na udio površina zaštićenih radi očuvanja biološkog diverziteta, a u okviru sedmog Milenijumskog razvojnog cilja o obezbjeđivanju održivosti životne sredine</w:t>
      </w:r>
      <w:r w:rsidR="00245090" w:rsidRPr="00722DF4">
        <w:rPr>
          <w:rStyle w:val="FootnoteReference"/>
          <w:rFonts w:ascii="Arial" w:hAnsi="Arial" w:cs="Arial"/>
          <w:sz w:val="24"/>
          <w:szCs w:val="24"/>
        </w:rPr>
        <w:footnoteReference w:id="9"/>
      </w:r>
      <w:r w:rsidR="007D57F9" w:rsidRPr="00722DF4">
        <w:rPr>
          <w:rFonts w:ascii="Arial" w:hAnsi="Arial" w:cs="Arial"/>
          <w:sz w:val="24"/>
          <w:szCs w:val="24"/>
        </w:rPr>
        <w:t>. Tokom 2015. godine, proglašeni su Regionalni park Piva (Maglić, Volujak, Bioč), koji zauzima 32.471,2 ha, ili 2,35 % teritorije, i Regionalni park Komovi, u djelimičnom obuhvatu od 13.232 km</w:t>
      </w:r>
      <w:r w:rsidR="007D57F9" w:rsidRPr="00722DF4">
        <w:rPr>
          <w:rFonts w:ascii="Arial" w:hAnsi="Arial" w:cs="Arial"/>
          <w:sz w:val="24"/>
          <w:szCs w:val="24"/>
          <w:vertAlign w:val="superscript"/>
        </w:rPr>
        <w:t>2</w:t>
      </w:r>
      <w:r w:rsidR="007D57F9" w:rsidRPr="00722DF4">
        <w:rPr>
          <w:rFonts w:ascii="Arial" w:hAnsi="Arial" w:cs="Arial"/>
          <w:sz w:val="24"/>
          <w:szCs w:val="24"/>
        </w:rPr>
        <w:t xml:space="preserve">. Preduzimaju se početni koraci ka uspostavljanju ekološke mreže radi očuvanja značajnih stanišnih tipova i vrsta. Pri tom se misli na značaj kako za EU mrežu staništa i vrsta od interesa za zaštitu na evropskom nivou (Natura 2000), tako </w:t>
      </w:r>
      <w:r w:rsidR="007D57F9" w:rsidRPr="00722DF4">
        <w:rPr>
          <w:rFonts w:ascii="Arial" w:hAnsi="Arial" w:cs="Arial"/>
          <w:sz w:val="24"/>
          <w:szCs w:val="24"/>
        </w:rPr>
        <w:lastRenderedPageBreak/>
        <w:t>i za Crnu Goru. U planu je uspostavljanje Parka prirode Dragišnica i Komarnica, koji će obuhvatiti i kanjon Nevidio, površine 2.570,5 ha, ili oko 0,2% ukupne teritorije Crne Gore. Nacionalnom strategijom održivog razvoja iz 2007. godine i drugim strateškim i planskim dokumentima predviđeno je i proglašenje zaštićenih područja u moru. Ta područja još uvijek nijesu uspostavljena, ali su za veliki broj lokaliteta u moru</w:t>
      </w:r>
      <w:r w:rsidR="007D57F9" w:rsidRPr="00722DF4">
        <w:rPr>
          <w:rStyle w:val="FootnoteReference"/>
          <w:rFonts w:ascii="Arial" w:hAnsi="Arial" w:cs="Arial"/>
          <w:sz w:val="24"/>
          <w:szCs w:val="24"/>
        </w:rPr>
        <w:footnoteReference w:id="10"/>
      </w:r>
      <w:r w:rsidR="007D57F9" w:rsidRPr="00722DF4">
        <w:rPr>
          <w:rFonts w:ascii="Arial" w:hAnsi="Arial" w:cs="Arial"/>
          <w:sz w:val="24"/>
          <w:szCs w:val="24"/>
        </w:rPr>
        <w:t>obavljena bazična istraživanja.</w:t>
      </w:r>
    </w:p>
    <w:p w:rsidR="00D66987" w:rsidRPr="00722DF4" w:rsidRDefault="00D66987" w:rsidP="00722DF4">
      <w:pPr>
        <w:autoSpaceDE w:val="0"/>
        <w:autoSpaceDN w:val="0"/>
        <w:adjustRightInd w:val="0"/>
        <w:spacing w:after="0"/>
        <w:jc w:val="both"/>
        <w:rPr>
          <w:rFonts w:ascii="Arial" w:hAnsi="Arial" w:cs="Arial"/>
          <w:sz w:val="24"/>
          <w:szCs w:val="24"/>
        </w:rPr>
      </w:pPr>
    </w:p>
    <w:p w:rsidR="00D66987" w:rsidRPr="00722DF4" w:rsidRDefault="00D66987" w:rsidP="00722DF4">
      <w:pPr>
        <w:spacing w:after="0"/>
        <w:jc w:val="both"/>
        <w:rPr>
          <w:rFonts w:ascii="Arial" w:eastAsia="Times New Roman" w:hAnsi="Arial" w:cs="Arial"/>
          <w:b/>
          <w:sz w:val="24"/>
          <w:szCs w:val="24"/>
          <w:lang w:val="hr-HR" w:eastAsia="da-DK"/>
        </w:rPr>
      </w:pPr>
      <w:r w:rsidRPr="00722DF4">
        <w:rPr>
          <w:rFonts w:ascii="Arial" w:eastAsia="Times New Roman" w:hAnsi="Arial" w:cs="Arial"/>
          <w:b/>
          <w:sz w:val="24"/>
          <w:szCs w:val="24"/>
          <w:lang w:val="hr-HR" w:eastAsia="da-DK"/>
        </w:rPr>
        <w:t>Međunarodno zaštićena područja prirode</w:t>
      </w:r>
      <w:r w:rsidR="008D1716" w:rsidRPr="00722DF4">
        <w:rPr>
          <w:rFonts w:ascii="Arial" w:eastAsia="Times New Roman" w:hAnsi="Arial" w:cs="Arial"/>
          <w:b/>
          <w:sz w:val="24"/>
          <w:szCs w:val="24"/>
          <w:lang w:val="hr-HR" w:eastAsia="da-DK"/>
        </w:rPr>
        <w:t xml:space="preserve"> i kulture</w:t>
      </w:r>
      <w:r w:rsidRPr="00722DF4">
        <w:rPr>
          <w:rFonts w:ascii="Arial" w:eastAsia="Times New Roman" w:hAnsi="Arial" w:cs="Arial"/>
          <w:b/>
          <w:sz w:val="24"/>
          <w:szCs w:val="24"/>
          <w:lang w:val="hr-HR" w:eastAsia="da-DK"/>
        </w:rPr>
        <w:t xml:space="preserve"> su: </w:t>
      </w:r>
    </w:p>
    <w:p w:rsidR="00D66987" w:rsidRPr="00722DF4" w:rsidRDefault="005E12A3" w:rsidP="00663F7F">
      <w:pPr>
        <w:pStyle w:val="ColorfulList-Accent11"/>
        <w:numPr>
          <w:ilvl w:val="0"/>
          <w:numId w:val="12"/>
        </w:numPr>
        <w:tabs>
          <w:tab w:val="num" w:pos="425"/>
        </w:tabs>
        <w:spacing w:after="0"/>
        <w:jc w:val="both"/>
        <w:rPr>
          <w:rFonts w:ascii="Arial" w:eastAsia="Times New Roman" w:hAnsi="Arial" w:cs="Arial"/>
          <w:sz w:val="24"/>
          <w:szCs w:val="24"/>
          <w:lang w:val="hr-HR" w:eastAsia="da-DK"/>
        </w:rPr>
      </w:pPr>
      <w:r w:rsidRPr="00722DF4">
        <w:rPr>
          <w:rFonts w:ascii="Arial" w:hAnsi="Arial" w:cs="Arial"/>
          <w:color w:val="000000"/>
          <w:sz w:val="24"/>
          <w:szCs w:val="24"/>
        </w:rPr>
        <w:t>Prirodno i kulturno</w:t>
      </w:r>
      <w:r w:rsidR="008D1716" w:rsidRPr="00722DF4">
        <w:rPr>
          <w:rFonts w:ascii="Arial" w:hAnsi="Arial" w:cs="Arial"/>
          <w:color w:val="000000"/>
          <w:sz w:val="24"/>
          <w:szCs w:val="24"/>
        </w:rPr>
        <w:t xml:space="preserve"> – istorijsko </w:t>
      </w:r>
      <w:r w:rsidRPr="00722DF4">
        <w:rPr>
          <w:rFonts w:ascii="Arial" w:hAnsi="Arial" w:cs="Arial"/>
          <w:color w:val="000000"/>
          <w:sz w:val="24"/>
          <w:szCs w:val="24"/>
        </w:rPr>
        <w:t>područje</w:t>
      </w:r>
      <w:r w:rsidRPr="00722DF4">
        <w:rPr>
          <w:rFonts w:ascii="Arial" w:eastAsia="Times New Roman" w:hAnsi="Arial" w:cs="Arial"/>
          <w:sz w:val="24"/>
          <w:szCs w:val="24"/>
          <w:lang w:val="hr-HR" w:eastAsia="da-DK"/>
        </w:rPr>
        <w:t>basena</w:t>
      </w:r>
      <w:r w:rsidR="00D66987" w:rsidRPr="00722DF4">
        <w:rPr>
          <w:rFonts w:ascii="Arial" w:eastAsia="Times New Roman" w:hAnsi="Arial" w:cs="Arial"/>
          <w:sz w:val="24"/>
          <w:szCs w:val="24"/>
          <w:lang w:val="hr-HR" w:eastAsia="da-DK"/>
        </w:rPr>
        <w:t>rijeke Tare (Svjetski rezervat biosfere</w:t>
      </w:r>
      <w:r w:rsidRPr="00722DF4">
        <w:rPr>
          <w:rFonts w:ascii="Arial" w:eastAsia="Times New Roman" w:hAnsi="Arial" w:cs="Arial"/>
          <w:sz w:val="24"/>
          <w:szCs w:val="24"/>
          <w:lang w:val="hr-HR" w:eastAsia="da-DK"/>
        </w:rPr>
        <w:t xml:space="preserve"> u okviru </w:t>
      </w:r>
      <w:r w:rsidR="00C05BFF" w:rsidRPr="00722DF4">
        <w:rPr>
          <w:rFonts w:ascii="Arial" w:eastAsia="Times New Roman" w:hAnsi="Arial" w:cs="Arial"/>
          <w:sz w:val="24"/>
          <w:szCs w:val="24"/>
          <w:lang w:val="hr-HR" w:eastAsia="da-DK"/>
        </w:rPr>
        <w:t>UN</w:t>
      </w:r>
      <w:r w:rsidRPr="00722DF4">
        <w:rPr>
          <w:rFonts w:ascii="Arial" w:eastAsia="Times New Roman" w:hAnsi="Arial" w:cs="Arial"/>
          <w:sz w:val="24"/>
          <w:szCs w:val="24"/>
          <w:lang w:val="hr-HR" w:eastAsia="da-DK"/>
        </w:rPr>
        <w:t>ESCO programa Čovjek i biosfera</w:t>
      </w:r>
      <w:r w:rsidR="00D66987" w:rsidRPr="00722DF4">
        <w:rPr>
          <w:rFonts w:ascii="Arial" w:eastAsia="Times New Roman" w:hAnsi="Arial" w:cs="Arial"/>
          <w:sz w:val="24"/>
          <w:szCs w:val="24"/>
          <w:lang w:val="hr-HR" w:eastAsia="da-DK"/>
        </w:rPr>
        <w:t>, proglašen 1976),</w:t>
      </w:r>
    </w:p>
    <w:p w:rsidR="00D66987" w:rsidRPr="00722DF4" w:rsidRDefault="00D66987" w:rsidP="00663F7F">
      <w:pPr>
        <w:pStyle w:val="ColorfulList-Accent11"/>
        <w:numPr>
          <w:ilvl w:val="0"/>
          <w:numId w:val="12"/>
        </w:numPr>
        <w:tabs>
          <w:tab w:val="num" w:pos="425"/>
        </w:tabs>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Nacionalni park „Durmitor“</w:t>
      </w:r>
      <w:r w:rsidR="00D8003F" w:rsidRPr="00722DF4">
        <w:rPr>
          <w:rFonts w:ascii="Arial" w:eastAsia="Times New Roman" w:hAnsi="Arial" w:cs="Arial"/>
          <w:sz w:val="24"/>
          <w:szCs w:val="24"/>
          <w:lang w:val="hr-HR" w:eastAsia="da-DK"/>
        </w:rPr>
        <w:t xml:space="preserve">, koji je ujedno i </w:t>
      </w:r>
      <w:r w:rsidR="00D8003F" w:rsidRPr="00722DF4">
        <w:rPr>
          <w:rFonts w:ascii="Arial" w:hAnsi="Arial" w:cs="Arial"/>
          <w:color w:val="000000"/>
          <w:sz w:val="24"/>
          <w:szCs w:val="24"/>
        </w:rPr>
        <w:t>p</w:t>
      </w:r>
      <w:r w:rsidR="008D1716" w:rsidRPr="00722DF4">
        <w:rPr>
          <w:rFonts w:ascii="Arial" w:hAnsi="Arial" w:cs="Arial"/>
          <w:color w:val="000000"/>
          <w:sz w:val="24"/>
          <w:szCs w:val="24"/>
        </w:rPr>
        <w:t>rirodno i kulturno – istorijsko područje</w:t>
      </w:r>
      <w:r w:rsidR="00D8003F" w:rsidRPr="00722DF4">
        <w:rPr>
          <w:rFonts w:ascii="Arial" w:eastAsia="Times New Roman" w:hAnsi="Arial" w:cs="Arial"/>
          <w:sz w:val="24"/>
          <w:szCs w:val="24"/>
          <w:lang w:val="hr-HR" w:eastAsia="da-DK"/>
        </w:rPr>
        <w:t xml:space="preserve">,-UNESCO, </w:t>
      </w:r>
      <w:r w:rsidRPr="00722DF4">
        <w:rPr>
          <w:rFonts w:ascii="Arial" w:eastAsia="Times New Roman" w:hAnsi="Arial" w:cs="Arial"/>
          <w:sz w:val="24"/>
          <w:szCs w:val="24"/>
          <w:lang w:val="hr-HR" w:eastAsia="da-DK"/>
        </w:rPr>
        <w:t>proglašen 1980,</w:t>
      </w:r>
    </w:p>
    <w:p w:rsidR="00D66987" w:rsidRPr="00722DF4" w:rsidRDefault="00D66987" w:rsidP="00663F7F">
      <w:pPr>
        <w:pStyle w:val="ColorfulList-Accent11"/>
        <w:numPr>
          <w:ilvl w:val="0"/>
          <w:numId w:val="12"/>
        </w:numPr>
        <w:tabs>
          <w:tab w:val="num" w:pos="425"/>
        </w:tabs>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Skadarsko jezero (Ramsarsko područje, stanište ptica močvarica, proglašen 1995)</w:t>
      </w:r>
      <w:r w:rsidR="00D8003F" w:rsidRPr="00722DF4">
        <w:rPr>
          <w:rFonts w:ascii="Arial" w:eastAsia="Times New Roman" w:hAnsi="Arial" w:cs="Arial"/>
          <w:sz w:val="24"/>
          <w:szCs w:val="24"/>
          <w:lang w:val="hr-HR" w:eastAsia="da-DK"/>
        </w:rPr>
        <w:t>,</w:t>
      </w:r>
    </w:p>
    <w:p w:rsidR="00D66987" w:rsidRPr="00722DF4" w:rsidRDefault="00FB6284" w:rsidP="00663F7F">
      <w:pPr>
        <w:pStyle w:val="ColorfulList-Accent11"/>
        <w:numPr>
          <w:ilvl w:val="0"/>
          <w:numId w:val="12"/>
        </w:numPr>
        <w:tabs>
          <w:tab w:val="num" w:pos="425"/>
        </w:tabs>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Tivatska solila</w:t>
      </w:r>
      <w:r w:rsidR="00D66987" w:rsidRPr="00722DF4">
        <w:rPr>
          <w:rFonts w:ascii="Arial" w:eastAsia="Times New Roman" w:hAnsi="Arial" w:cs="Arial"/>
          <w:sz w:val="24"/>
          <w:szCs w:val="24"/>
          <w:lang w:val="hr-HR" w:eastAsia="da-DK"/>
        </w:rPr>
        <w:t>(Ramsarsko područje, stanište ptica močvarica, proglašen 2013)</w:t>
      </w:r>
      <w:r w:rsidR="00D8003F" w:rsidRPr="00722DF4">
        <w:rPr>
          <w:rFonts w:ascii="Arial" w:eastAsia="Times New Roman" w:hAnsi="Arial" w:cs="Arial"/>
          <w:sz w:val="24"/>
          <w:szCs w:val="24"/>
          <w:lang w:val="hr-HR" w:eastAsia="da-DK"/>
        </w:rPr>
        <w:t>,</w:t>
      </w:r>
    </w:p>
    <w:p w:rsidR="00D66987" w:rsidRPr="00722DF4" w:rsidRDefault="00D66987" w:rsidP="00663F7F">
      <w:pPr>
        <w:pStyle w:val="ColorfulList-Accent11"/>
        <w:numPr>
          <w:ilvl w:val="0"/>
          <w:numId w:val="12"/>
        </w:num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Područje Kotorsko-risanskog zaliva zaštićeno je  kao prirodna i kulturno-istorijska baština (UNESCO World Heritage List, proglašen 1979)</w:t>
      </w:r>
      <w:r w:rsidR="00D8003F" w:rsidRPr="00722DF4">
        <w:rPr>
          <w:rFonts w:ascii="Arial" w:eastAsia="Times New Roman" w:hAnsi="Arial" w:cs="Arial"/>
          <w:sz w:val="24"/>
          <w:szCs w:val="24"/>
          <w:lang w:val="hr-HR" w:eastAsia="da-DK"/>
        </w:rPr>
        <w:t>,</w:t>
      </w:r>
    </w:p>
    <w:p w:rsidR="001E0539" w:rsidRPr="00722DF4" w:rsidRDefault="001E0539" w:rsidP="00663F7F">
      <w:pPr>
        <w:pStyle w:val="ColorfulList-Accent11"/>
        <w:numPr>
          <w:ilvl w:val="0"/>
          <w:numId w:val="12"/>
        </w:num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Stećci –srednjevjekovna groblja upisana na UNESCO listu 2016</w:t>
      </w:r>
      <w:r w:rsidR="00D8003F" w:rsidRPr="00722DF4">
        <w:rPr>
          <w:rFonts w:ascii="Arial" w:eastAsia="Times New Roman" w:hAnsi="Arial" w:cs="Arial"/>
          <w:sz w:val="24"/>
          <w:szCs w:val="24"/>
          <w:lang w:val="hr-HR" w:eastAsia="da-DK"/>
        </w:rPr>
        <w:t>.</w:t>
      </w:r>
      <w:r w:rsidRPr="00722DF4">
        <w:rPr>
          <w:rFonts w:ascii="Arial" w:eastAsia="Times New Roman" w:hAnsi="Arial" w:cs="Arial"/>
          <w:sz w:val="24"/>
          <w:szCs w:val="24"/>
          <w:lang w:val="hr-HR" w:eastAsia="da-DK"/>
        </w:rPr>
        <w:t xml:space="preserve"> god.</w:t>
      </w:r>
    </w:p>
    <w:p w:rsidR="001E0539" w:rsidRDefault="001E0539" w:rsidP="00663F7F">
      <w:pPr>
        <w:pStyle w:val="ColorfulList-Accent11"/>
        <w:numPr>
          <w:ilvl w:val="0"/>
          <w:numId w:val="12"/>
        </w:num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Kotorska tvrđava u okviru Venecijanskih utvrđenja od XVI do XVII vijeka, upisano na UNESCO listu</w:t>
      </w:r>
      <w:r w:rsidR="00D8003F" w:rsidRPr="00722DF4">
        <w:rPr>
          <w:rFonts w:ascii="Arial" w:eastAsia="Times New Roman" w:hAnsi="Arial" w:cs="Arial"/>
          <w:sz w:val="24"/>
          <w:szCs w:val="24"/>
          <w:lang w:val="hr-HR" w:eastAsia="da-DK"/>
        </w:rPr>
        <w:t>.</w:t>
      </w:r>
    </w:p>
    <w:p w:rsidR="00D6443E" w:rsidRPr="00722DF4" w:rsidRDefault="00D6443E" w:rsidP="00D6443E">
      <w:pPr>
        <w:pStyle w:val="ColorfulList-Accent11"/>
        <w:spacing w:after="0"/>
        <w:jc w:val="both"/>
        <w:rPr>
          <w:rFonts w:ascii="Arial" w:eastAsia="Times New Roman" w:hAnsi="Arial" w:cs="Arial"/>
          <w:sz w:val="24"/>
          <w:szCs w:val="24"/>
          <w:lang w:val="hr-HR" w:eastAsia="da-DK"/>
        </w:rPr>
      </w:pPr>
    </w:p>
    <w:p w:rsidR="00D66987" w:rsidRPr="00722DF4" w:rsidRDefault="00D66987" w:rsidP="00722DF4">
      <w:pPr>
        <w:keepNext/>
        <w:keepLines/>
        <w:suppressAutoHyphens/>
        <w:spacing w:after="0"/>
        <w:jc w:val="both"/>
        <w:outlineLvl w:val="3"/>
        <w:rPr>
          <w:rFonts w:ascii="Arial" w:hAnsi="Arial" w:cs="Arial"/>
          <w:b/>
          <w:sz w:val="24"/>
          <w:szCs w:val="24"/>
          <w:lang w:val="hr-HR"/>
        </w:rPr>
      </w:pPr>
      <w:r w:rsidRPr="00722DF4">
        <w:rPr>
          <w:rFonts w:ascii="Arial" w:eastAsia="Times New Roman" w:hAnsi="Arial" w:cs="Arial"/>
          <w:b/>
          <w:sz w:val="24"/>
          <w:szCs w:val="24"/>
          <w:lang w:val="hr-HR" w:eastAsia="da-DK"/>
        </w:rPr>
        <w:t xml:space="preserve">Planirana zaštićena </w:t>
      </w:r>
      <w:r w:rsidRPr="00722DF4">
        <w:rPr>
          <w:rFonts w:ascii="Arial" w:hAnsi="Arial" w:cs="Arial"/>
          <w:b/>
          <w:sz w:val="24"/>
          <w:szCs w:val="24"/>
          <w:lang w:val="hr-HR"/>
        </w:rPr>
        <w:t>prirodna dobra</w:t>
      </w:r>
    </w:p>
    <w:p w:rsidR="00D66987" w:rsidRDefault="00D66987"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 xml:space="preserve">Prostornim planom Crne </w:t>
      </w:r>
      <w:r w:rsidR="007806FD">
        <w:rPr>
          <w:rFonts w:ascii="Arial" w:eastAsia="Times New Roman" w:hAnsi="Arial" w:cs="Arial"/>
          <w:sz w:val="24"/>
          <w:szCs w:val="24"/>
          <w:lang w:val="hr-HR" w:eastAsia="da-DK"/>
        </w:rPr>
        <w:t>Gore (2008</w:t>
      </w:r>
      <w:r w:rsidRPr="00722DF4">
        <w:rPr>
          <w:rFonts w:ascii="Arial" w:eastAsia="Times New Roman" w:hAnsi="Arial" w:cs="Arial"/>
          <w:sz w:val="24"/>
          <w:szCs w:val="24"/>
          <w:lang w:val="hr-HR" w:eastAsia="da-DK"/>
        </w:rPr>
        <w:t xml:space="preserve">), Nacionalnom strategijom biodiverziteta sa Akcionim planom za period 2010–2015, Nacionalnom strategijom održivog razvoja do 2030, te drugim lokalnim strateškim i planskim dokumentima planirano je stavljanje pod zaštitu novih područja prirode. Prema Nacrtu nacionalne strategije održivog razvoja do 2030. godine (NSOR), u toku su aktivnosti za povećanje obuhvata mreže zaštićenih prirodnih dobara. </w:t>
      </w:r>
    </w:p>
    <w:p w:rsidR="00D6443E" w:rsidRPr="00722DF4" w:rsidRDefault="00D6443E" w:rsidP="00722DF4">
      <w:pPr>
        <w:spacing w:after="0"/>
        <w:jc w:val="both"/>
        <w:rPr>
          <w:rFonts w:ascii="Arial" w:eastAsia="Times New Roman" w:hAnsi="Arial" w:cs="Arial"/>
          <w:sz w:val="24"/>
          <w:szCs w:val="24"/>
          <w:lang w:val="hr-HR" w:eastAsia="da-DK"/>
        </w:rPr>
      </w:pPr>
    </w:p>
    <w:p w:rsidR="00D66987" w:rsidRPr="00722DF4" w:rsidRDefault="00D66987" w:rsidP="00722DF4">
      <w:pPr>
        <w:spacing w:after="0"/>
        <w:jc w:val="both"/>
        <w:rPr>
          <w:rFonts w:ascii="Arial" w:eastAsia="Times New Roman" w:hAnsi="Arial" w:cs="Arial"/>
          <w:sz w:val="24"/>
          <w:szCs w:val="24"/>
          <w:lang w:val="hr-HR" w:eastAsia="da-DK"/>
        </w:rPr>
      </w:pPr>
      <w:r w:rsidRPr="00722DF4">
        <w:rPr>
          <w:rFonts w:ascii="Arial" w:hAnsi="Arial" w:cs="Arial"/>
          <w:sz w:val="24"/>
          <w:szCs w:val="24"/>
          <w:lang w:val="hr-HR"/>
        </w:rPr>
        <w:t xml:space="preserve">Područja </w:t>
      </w:r>
      <w:r w:rsidRPr="00722DF4">
        <w:rPr>
          <w:rFonts w:ascii="Arial" w:eastAsia="Times New Roman" w:hAnsi="Arial" w:cs="Arial"/>
          <w:sz w:val="24"/>
          <w:szCs w:val="24"/>
          <w:lang w:val="hr-HR" w:eastAsia="da-DK"/>
        </w:rPr>
        <w:t>planirana za zaštitu prostora obalnog područja Crne Gore  su:</w:t>
      </w:r>
    </w:p>
    <w:p w:rsidR="00D66987" w:rsidRPr="00722DF4" w:rsidRDefault="00D66987" w:rsidP="00722DF4">
      <w:pPr>
        <w:tabs>
          <w:tab w:val="num" w:pos="425"/>
        </w:tabs>
        <w:spacing w:after="0"/>
        <w:ind w:left="425" w:hanging="425"/>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Nacionalni park – Orjen,</w:t>
      </w:r>
    </w:p>
    <w:p w:rsidR="00D66987" w:rsidRPr="00722DF4" w:rsidRDefault="00D66987" w:rsidP="00722DF4">
      <w:pPr>
        <w:tabs>
          <w:tab w:val="num" w:pos="425"/>
        </w:tabs>
        <w:spacing w:after="0"/>
        <w:ind w:left="425" w:hanging="425"/>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 xml:space="preserve">Regionalni park – Rumija, brdo Vrmac,  </w:t>
      </w:r>
    </w:p>
    <w:p w:rsidR="00D66987" w:rsidRPr="00722DF4" w:rsidRDefault="00D66987" w:rsidP="00722DF4">
      <w:pPr>
        <w:tabs>
          <w:tab w:val="num" w:pos="425"/>
        </w:tabs>
        <w:spacing w:after="0"/>
        <w:ind w:left="425" w:hanging="425"/>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Spomenik prirode: Ada Bojana, Šasko jezero, Ulcinjs</w:t>
      </w:r>
      <w:r w:rsidR="00C836AD">
        <w:rPr>
          <w:rFonts w:ascii="Arial" w:eastAsia="Times New Roman" w:hAnsi="Arial" w:cs="Arial"/>
          <w:sz w:val="24"/>
          <w:szCs w:val="24"/>
          <w:lang w:val="hr-HR" w:eastAsia="da-DK"/>
        </w:rPr>
        <w:t xml:space="preserve">ka solana sa knetama, Morinjski </w:t>
      </w:r>
      <w:r w:rsidRPr="00722DF4">
        <w:rPr>
          <w:rFonts w:ascii="Arial" w:eastAsia="Times New Roman" w:hAnsi="Arial" w:cs="Arial"/>
          <w:sz w:val="24"/>
          <w:szCs w:val="24"/>
          <w:lang w:val="hr-HR" w:eastAsia="da-DK"/>
        </w:rPr>
        <w:t>zaliv,</w:t>
      </w:r>
    </w:p>
    <w:p w:rsidR="00673135" w:rsidRPr="00722DF4" w:rsidRDefault="00D66987" w:rsidP="00D6443E">
      <w:pPr>
        <w:tabs>
          <w:tab w:val="num" w:pos="0"/>
        </w:tabs>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lastRenderedPageBreak/>
        <w:t>Morska zaštićena prirodna dobra – lokaliteti: Luštica (o</w:t>
      </w:r>
      <w:r w:rsidR="00FB6284" w:rsidRPr="00722DF4">
        <w:rPr>
          <w:rFonts w:ascii="Arial" w:eastAsia="Times New Roman" w:hAnsi="Arial" w:cs="Arial"/>
          <w:sz w:val="24"/>
          <w:szCs w:val="24"/>
          <w:lang w:val="hr-HR" w:eastAsia="da-DK"/>
        </w:rPr>
        <w:t xml:space="preserve">d Mamule do rta Mačka); zona od </w:t>
      </w:r>
      <w:r w:rsidRPr="00722DF4">
        <w:rPr>
          <w:rFonts w:ascii="Arial" w:eastAsia="Times New Roman" w:hAnsi="Arial" w:cs="Arial"/>
          <w:sz w:val="24"/>
          <w:szCs w:val="24"/>
          <w:lang w:val="hr-HR" w:eastAsia="da-DK"/>
        </w:rPr>
        <w:t>rta Trašte do Platamuna (sa uskom zonom stroge zaštite od rta Žukovac do rta Kostovica); šira zona ostrva Katič; zona od rta Volujica do Dobrih voda; zona od rta Komina do rta kod ostrva Stari Ulcinj; zona uvale Valdanos do Velike uvale; Seka Đerane sa južnim dijelom zone ispred Velike plaže do ušća Bojane,</w:t>
      </w:r>
      <w:r w:rsidR="00D6443E">
        <w:rPr>
          <w:rFonts w:ascii="Arial" w:eastAsia="Times New Roman" w:hAnsi="Arial" w:cs="Arial"/>
          <w:sz w:val="24"/>
          <w:szCs w:val="24"/>
          <w:lang w:val="hr-HR" w:eastAsia="da-DK"/>
        </w:rPr>
        <w:t xml:space="preserve"> </w:t>
      </w:r>
      <w:r w:rsidRPr="00722DF4">
        <w:rPr>
          <w:rFonts w:ascii="Arial" w:eastAsia="Times New Roman" w:hAnsi="Arial" w:cs="Arial"/>
          <w:sz w:val="24"/>
          <w:szCs w:val="24"/>
          <w:lang w:val="hr-HR" w:eastAsia="da-DK"/>
        </w:rPr>
        <w:t>Posebni prirodni predio: Koštanjica (autohtona staništa koštanja i lovora Lauro-Castanetum sativae),</w:t>
      </w:r>
      <w:r w:rsidR="00D6443E">
        <w:rPr>
          <w:rFonts w:ascii="Arial" w:eastAsia="Times New Roman" w:hAnsi="Arial" w:cs="Arial"/>
          <w:sz w:val="24"/>
          <w:szCs w:val="24"/>
          <w:lang w:val="hr-HR" w:eastAsia="da-DK"/>
        </w:rPr>
        <w:t xml:space="preserve"> </w:t>
      </w:r>
      <w:r w:rsidRPr="00722DF4">
        <w:rPr>
          <w:rFonts w:ascii="Arial" w:eastAsia="Times New Roman" w:hAnsi="Arial" w:cs="Arial"/>
          <w:sz w:val="24"/>
          <w:szCs w:val="24"/>
          <w:lang w:val="hr-HR" w:eastAsia="da-DK"/>
        </w:rPr>
        <w:t>Pojedinačni dendrološki objekti: stablo crne topole (Populus nigra L).</w:t>
      </w:r>
    </w:p>
    <w:p w:rsidR="00E9755F" w:rsidRPr="00722DF4" w:rsidRDefault="00E9755F" w:rsidP="00722DF4">
      <w:pPr>
        <w:tabs>
          <w:tab w:val="num" w:pos="425"/>
        </w:tabs>
        <w:spacing w:after="0"/>
        <w:ind w:left="425" w:hanging="425"/>
        <w:jc w:val="both"/>
        <w:rPr>
          <w:rFonts w:ascii="Arial" w:eastAsia="Times New Roman" w:hAnsi="Arial" w:cs="Arial"/>
          <w:sz w:val="24"/>
          <w:szCs w:val="24"/>
          <w:lang w:val="hr-HR" w:eastAsia="da-DK"/>
        </w:rPr>
      </w:pPr>
    </w:p>
    <w:p w:rsidR="00747EE9"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4011295" cy="4666615"/>
            <wp:effectExtent l="19050" t="0" r="8255" b="0"/>
            <wp:docPr id="4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0" cstate="print"/>
                    <a:srcRect/>
                    <a:stretch>
                      <a:fillRect/>
                    </a:stretch>
                  </pic:blipFill>
                  <pic:spPr bwMode="auto">
                    <a:xfrm>
                      <a:off x="0" y="0"/>
                      <a:ext cx="4011295" cy="4666615"/>
                    </a:xfrm>
                    <a:prstGeom prst="rect">
                      <a:avLst/>
                    </a:prstGeom>
                    <a:noFill/>
                    <a:ln w="9525">
                      <a:noFill/>
                      <a:miter lim="800000"/>
                      <a:headEnd/>
                      <a:tailEnd/>
                    </a:ln>
                  </pic:spPr>
                </pic:pic>
              </a:graphicData>
            </a:graphic>
          </wp:inline>
        </w:drawing>
      </w:r>
    </w:p>
    <w:p w:rsidR="00D66987" w:rsidRPr="004D7972" w:rsidRDefault="00D66987" w:rsidP="00722DF4">
      <w:pPr>
        <w:spacing w:after="0"/>
        <w:ind w:left="1276" w:hanging="1276"/>
        <w:jc w:val="both"/>
        <w:rPr>
          <w:rFonts w:ascii="Arial" w:eastAsia="Times New Roman" w:hAnsi="Arial" w:cs="Arial"/>
          <w:lang w:val="hr-HR" w:eastAsia="da-DK"/>
        </w:rPr>
      </w:pPr>
      <w:r w:rsidRPr="004D7972">
        <w:rPr>
          <w:rFonts w:ascii="Arial" w:hAnsi="Arial" w:cs="Arial"/>
          <w:b/>
          <w:lang w:val="hr-HR"/>
        </w:rPr>
        <w:t>Slika</w:t>
      </w:r>
      <w:r w:rsidR="00D6443E" w:rsidRPr="004D7972">
        <w:rPr>
          <w:rFonts w:ascii="Arial" w:hAnsi="Arial" w:cs="Arial"/>
          <w:b/>
          <w:lang w:val="hr-HR"/>
        </w:rPr>
        <w:t xml:space="preserve"> 2.36</w:t>
      </w:r>
      <w:r w:rsidR="00A5077A" w:rsidRPr="004D7972">
        <w:rPr>
          <w:rFonts w:ascii="Arial" w:eastAsia="Times New Roman" w:hAnsi="Arial" w:cs="Arial"/>
          <w:b/>
          <w:lang w:val="hr-HR" w:eastAsia="da-DK"/>
        </w:rPr>
        <w:t>.</w:t>
      </w:r>
      <w:r w:rsidR="00907532" w:rsidRPr="004D7972">
        <w:rPr>
          <w:rFonts w:ascii="Arial" w:eastAsia="Times New Roman" w:hAnsi="Arial" w:cs="Arial"/>
          <w:b/>
          <w:lang w:val="hr-HR" w:eastAsia="da-DK"/>
        </w:rPr>
        <w:t xml:space="preserve"> </w:t>
      </w:r>
      <w:r w:rsidRPr="004D7972">
        <w:rPr>
          <w:rFonts w:ascii="Arial" w:eastAsia="Times New Roman" w:hAnsi="Arial" w:cs="Arial"/>
          <w:lang w:val="hr-HR" w:eastAsia="da-DK"/>
        </w:rPr>
        <w:t>Zaštićena područja Crne Gore</w:t>
      </w:r>
    </w:p>
    <w:p w:rsidR="00D6443E" w:rsidRPr="00722DF4" w:rsidRDefault="00D6443E" w:rsidP="00722DF4">
      <w:pPr>
        <w:spacing w:after="0"/>
        <w:ind w:left="1276" w:hanging="1276"/>
        <w:jc w:val="both"/>
        <w:rPr>
          <w:rFonts w:ascii="Arial" w:eastAsia="Times New Roman" w:hAnsi="Arial" w:cs="Arial"/>
          <w:sz w:val="24"/>
          <w:szCs w:val="24"/>
          <w:lang w:val="hr-HR" w:eastAsia="da-DK"/>
        </w:rPr>
      </w:pPr>
    </w:p>
    <w:p w:rsidR="00D66987" w:rsidRPr="00722DF4" w:rsidRDefault="00D66987" w:rsidP="00722DF4">
      <w:pPr>
        <w:keepNext/>
        <w:keepLines/>
        <w:suppressAutoHyphens/>
        <w:spacing w:after="0"/>
        <w:jc w:val="both"/>
        <w:outlineLvl w:val="3"/>
        <w:rPr>
          <w:rFonts w:ascii="Arial" w:eastAsia="Times New Roman" w:hAnsi="Arial" w:cs="Arial"/>
          <w:b/>
          <w:sz w:val="24"/>
          <w:szCs w:val="24"/>
          <w:lang w:val="hr-HR" w:eastAsia="da-DK"/>
        </w:rPr>
      </w:pPr>
      <w:r w:rsidRPr="00722DF4">
        <w:rPr>
          <w:rFonts w:ascii="Arial" w:eastAsia="Times New Roman" w:hAnsi="Arial" w:cs="Arial"/>
          <w:b/>
          <w:sz w:val="24"/>
          <w:szCs w:val="24"/>
          <w:lang w:val="hr-HR" w:eastAsia="da-DK"/>
        </w:rPr>
        <w:t>Ekološki značajna/osjetljiva područja</w:t>
      </w:r>
    </w:p>
    <w:p w:rsidR="00D66987" w:rsidRDefault="00D66987"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 xml:space="preserve">Aktivnosti na uspostavljanju mreže Natura 2000 započele su 2009. godine kroz saradnju između WWF, Zavoda za zaštitu prirode Crne Gore (koji je 2012. godine postao dio Agencije za zaštitu životne sredine) i Daphne Instituta za primijenjenu ekologiju. Kao rezultat aktivnosti projekta, izrađen je nacrt referentne liste staništa i vrsta Natura 2000 </w:t>
      </w:r>
      <w:r w:rsidRPr="00722DF4">
        <w:rPr>
          <w:rFonts w:ascii="Arial" w:hAnsi="Arial" w:cs="Arial"/>
          <w:sz w:val="24"/>
          <w:szCs w:val="24"/>
          <w:lang w:val="hr-HR"/>
        </w:rPr>
        <w:t>u Crnoj Gori</w:t>
      </w:r>
      <w:r w:rsidRPr="00722DF4">
        <w:rPr>
          <w:rFonts w:ascii="Arial" w:eastAsia="Times New Roman" w:hAnsi="Arial" w:cs="Arial"/>
          <w:sz w:val="24"/>
          <w:szCs w:val="24"/>
          <w:lang w:val="hr-HR" w:eastAsia="da-DK"/>
        </w:rPr>
        <w:t xml:space="preserve">, uz korišćenje ranijeg znanja iz projekta za identifikaciju EMERALD mreže i na </w:t>
      </w:r>
      <w:r w:rsidRPr="00722DF4">
        <w:rPr>
          <w:rFonts w:ascii="Arial" w:eastAsia="Times New Roman" w:hAnsi="Arial" w:cs="Arial"/>
          <w:sz w:val="24"/>
          <w:szCs w:val="24"/>
          <w:lang w:val="hr-HR" w:eastAsia="da-DK"/>
        </w:rPr>
        <w:lastRenderedPageBreak/>
        <w:t>osnovu analize postojećih podataka. Izrađen je i Nacrt kataloga staništa Natura 2000 za Crnu Goru, koji je korišćen za prvu obuku za pravljenje inventara na terenu i mapiranje ranije identifikovanih staništa Natura 2000. Uprkos preduzetim aktivnostima, rezultati nijesu omogućili punu identifikaciju i mapiranje lokaliteta Natura 2000.</w:t>
      </w:r>
    </w:p>
    <w:p w:rsidR="00D6443E" w:rsidRPr="00722DF4" w:rsidRDefault="00D6443E" w:rsidP="00722DF4">
      <w:pPr>
        <w:spacing w:after="0"/>
        <w:jc w:val="both"/>
        <w:rPr>
          <w:rFonts w:ascii="Arial" w:hAnsi="Arial" w:cs="Arial"/>
          <w:sz w:val="24"/>
          <w:szCs w:val="24"/>
          <w:lang w:val="hr-HR"/>
        </w:rPr>
      </w:pPr>
    </w:p>
    <w:p w:rsidR="00DA2DB1" w:rsidRPr="00722DF4" w:rsidRDefault="00D66987" w:rsidP="00722DF4">
      <w:pPr>
        <w:spacing w:after="0"/>
        <w:jc w:val="both"/>
        <w:rPr>
          <w:rFonts w:ascii="Arial" w:eastAsia="Times New Roman" w:hAnsi="Arial" w:cs="Arial"/>
          <w:sz w:val="24"/>
          <w:szCs w:val="24"/>
          <w:lang w:val="hr-HR" w:eastAsia="da-DK"/>
        </w:rPr>
      </w:pPr>
      <w:r w:rsidRPr="00722DF4">
        <w:rPr>
          <w:rFonts w:ascii="Arial" w:eastAsia="Times New Roman" w:hAnsi="Arial" w:cs="Arial"/>
          <w:sz w:val="24"/>
          <w:szCs w:val="24"/>
          <w:lang w:val="hr-HR" w:eastAsia="da-DK"/>
        </w:rPr>
        <w:t xml:space="preserve">Zone postojećih i planiranih zaštićenih prirodnih dobara se u značajnoj mjeri poklapaju sa zonama EMERALD područja, u okviru kojih se nalaze ekološki značajna staništa i vrste iz rezolucija 4 i 6 Bernske konvencije. </w:t>
      </w:r>
    </w:p>
    <w:p w:rsidR="00D6443E" w:rsidRPr="00722DF4" w:rsidRDefault="001210F4" w:rsidP="00722DF4">
      <w:pPr>
        <w:spacing w:after="0"/>
        <w:jc w:val="both"/>
        <w:rPr>
          <w:rFonts w:ascii="Arial" w:hAnsi="Arial" w:cs="Arial"/>
          <w:noProof/>
          <w:sz w:val="24"/>
          <w:szCs w:val="24"/>
        </w:rPr>
      </w:pPr>
      <w:r>
        <w:rPr>
          <w:rFonts w:ascii="Arial" w:hAnsi="Arial" w:cs="Arial"/>
          <w:noProof/>
          <w:sz w:val="24"/>
          <w:szCs w:val="24"/>
        </w:rPr>
        <w:drawing>
          <wp:inline distT="0" distB="0" distL="0" distR="0">
            <wp:extent cx="3977005" cy="4951730"/>
            <wp:effectExtent l="19050" t="0" r="4445" b="0"/>
            <wp:docPr id="4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1" cstate="print"/>
                    <a:srcRect/>
                    <a:stretch>
                      <a:fillRect/>
                    </a:stretch>
                  </pic:blipFill>
                  <pic:spPr bwMode="auto">
                    <a:xfrm>
                      <a:off x="0" y="0"/>
                      <a:ext cx="3977005" cy="4951730"/>
                    </a:xfrm>
                    <a:prstGeom prst="rect">
                      <a:avLst/>
                    </a:prstGeom>
                    <a:noFill/>
                    <a:ln w="9525">
                      <a:noFill/>
                      <a:miter lim="800000"/>
                      <a:headEnd/>
                      <a:tailEnd/>
                    </a:ln>
                  </pic:spPr>
                </pic:pic>
              </a:graphicData>
            </a:graphic>
          </wp:inline>
        </w:drawing>
      </w:r>
    </w:p>
    <w:p w:rsidR="00747EE9" w:rsidRPr="00722DF4" w:rsidRDefault="00747EE9" w:rsidP="00722DF4">
      <w:pPr>
        <w:spacing w:after="0"/>
        <w:jc w:val="both"/>
        <w:rPr>
          <w:rFonts w:ascii="Arial" w:hAnsi="Arial" w:cs="Arial"/>
          <w:sz w:val="24"/>
          <w:szCs w:val="24"/>
        </w:rPr>
      </w:pPr>
    </w:p>
    <w:p w:rsidR="00747EE9" w:rsidRPr="004D7972" w:rsidRDefault="00D66987" w:rsidP="00722DF4">
      <w:pPr>
        <w:spacing w:after="0"/>
        <w:ind w:left="1276" w:hanging="1276"/>
        <w:jc w:val="both"/>
        <w:rPr>
          <w:rFonts w:ascii="Arial" w:eastAsia="Times New Roman" w:hAnsi="Arial" w:cs="Arial"/>
          <w:lang w:val="hr-HR" w:eastAsia="da-DK"/>
        </w:rPr>
      </w:pPr>
      <w:r w:rsidRPr="004D7972">
        <w:rPr>
          <w:rFonts w:ascii="Arial" w:hAnsi="Arial" w:cs="Arial"/>
          <w:b/>
          <w:lang w:val="hr-HR"/>
        </w:rPr>
        <w:t xml:space="preserve">Slika </w:t>
      </w:r>
      <w:r w:rsidR="00DA2DB1" w:rsidRPr="004D7972">
        <w:rPr>
          <w:rFonts w:ascii="Arial" w:hAnsi="Arial" w:cs="Arial"/>
          <w:b/>
          <w:lang w:val="hr-HR"/>
        </w:rPr>
        <w:t>2.</w:t>
      </w:r>
      <w:r w:rsidR="00D6443E" w:rsidRPr="004D7972">
        <w:rPr>
          <w:rFonts w:ascii="Arial" w:eastAsia="Times New Roman" w:hAnsi="Arial" w:cs="Arial"/>
          <w:b/>
          <w:lang w:val="hr-HR" w:eastAsia="da-DK"/>
        </w:rPr>
        <w:t>37</w:t>
      </w:r>
      <w:r w:rsidR="00A5077A" w:rsidRPr="004D7972">
        <w:rPr>
          <w:rFonts w:ascii="Arial" w:eastAsia="Times New Roman" w:hAnsi="Arial" w:cs="Arial"/>
          <w:b/>
          <w:lang w:val="hr-HR" w:eastAsia="da-DK"/>
        </w:rPr>
        <w:t>.</w:t>
      </w:r>
      <w:r w:rsidRPr="004D7972">
        <w:rPr>
          <w:rFonts w:ascii="Arial" w:hAnsi="Arial" w:cs="Arial"/>
          <w:lang w:val="hr-HR"/>
        </w:rPr>
        <w:t xml:space="preserve">Emerald </w:t>
      </w:r>
      <w:r w:rsidRPr="004D7972">
        <w:rPr>
          <w:rFonts w:ascii="Arial" w:eastAsia="Times New Roman" w:hAnsi="Arial" w:cs="Arial"/>
          <w:lang w:val="hr-HR" w:eastAsia="da-DK"/>
        </w:rPr>
        <w:t>područja Crne Gore</w:t>
      </w:r>
    </w:p>
    <w:p w:rsidR="00D6443E" w:rsidRDefault="00D6443E" w:rsidP="00722DF4">
      <w:pPr>
        <w:spacing w:after="0"/>
        <w:ind w:left="1276" w:hanging="1276"/>
        <w:jc w:val="both"/>
        <w:rPr>
          <w:rFonts w:ascii="Arial" w:hAnsi="Arial" w:cs="Arial"/>
          <w:sz w:val="24"/>
          <w:szCs w:val="24"/>
          <w:lang w:val="hr-HR"/>
        </w:rPr>
      </w:pPr>
    </w:p>
    <w:p w:rsidR="00D6443E" w:rsidRPr="00722DF4" w:rsidRDefault="00D6443E" w:rsidP="00722DF4">
      <w:pPr>
        <w:spacing w:after="0"/>
        <w:ind w:left="1276" w:hanging="1276"/>
        <w:jc w:val="both"/>
        <w:rPr>
          <w:rFonts w:ascii="Arial" w:hAnsi="Arial" w:cs="Arial"/>
          <w:sz w:val="24"/>
          <w:szCs w:val="24"/>
          <w:lang w:val="hr-HR"/>
        </w:rPr>
      </w:pPr>
    </w:p>
    <w:p w:rsidR="00DA2DB1" w:rsidRPr="00722DF4" w:rsidRDefault="3B4348E7" w:rsidP="00722DF4">
      <w:pPr>
        <w:pStyle w:val="Heading2"/>
        <w:numPr>
          <w:ilvl w:val="0"/>
          <w:numId w:val="0"/>
        </w:numPr>
        <w:spacing w:before="0"/>
        <w:jc w:val="both"/>
        <w:rPr>
          <w:rFonts w:cs="Arial"/>
          <w:szCs w:val="24"/>
        </w:rPr>
      </w:pPr>
      <w:bookmarkStart w:id="38" w:name="_Toc6172827"/>
      <w:r w:rsidRPr="00722DF4">
        <w:rPr>
          <w:rFonts w:cs="Arial"/>
          <w:szCs w:val="24"/>
        </w:rPr>
        <w:t>2.7. Stanovništvo</w:t>
      </w:r>
      <w:bookmarkEnd w:id="38"/>
    </w:p>
    <w:p w:rsidR="00DA2DB1" w:rsidRPr="00722DF4" w:rsidRDefault="00DA2DB1" w:rsidP="00722DF4">
      <w:pPr>
        <w:spacing w:after="0"/>
        <w:jc w:val="both"/>
        <w:rPr>
          <w:rFonts w:ascii="Arial" w:hAnsi="Arial" w:cs="Arial"/>
          <w:sz w:val="24"/>
          <w:szCs w:val="24"/>
        </w:rPr>
      </w:pPr>
    </w:p>
    <w:p w:rsidR="00B5570A" w:rsidRPr="00722DF4"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lastRenderedPageBreak/>
        <w:t>Pre</w:t>
      </w:r>
      <w:r w:rsidR="007806FD">
        <w:rPr>
          <w:rFonts w:ascii="Arial" w:hAnsi="Arial" w:cs="Arial"/>
          <w:sz w:val="24"/>
          <w:szCs w:val="24"/>
        </w:rPr>
        <w:t xml:space="preserve">ma Popisu stanovništva iz 2011. </w:t>
      </w:r>
      <w:r w:rsidRPr="00722DF4">
        <w:rPr>
          <w:rFonts w:ascii="Arial" w:hAnsi="Arial" w:cs="Arial"/>
          <w:sz w:val="24"/>
          <w:szCs w:val="24"/>
        </w:rPr>
        <w:t>godine, Crna Gora ima ukupno 620 029 stanovnika, od kojih oko trećina živi u glavnom gradu, Podgorici. To je ili 1,3% više nego 2003. godine, u kojoj je obavljen prethodni popis stanovništva. Od ukupnog broja stanovnika u 2011, najveći broj je u Centralnoj regiji ‒ 293.509 (47,3%), zatim Sjevernoj regiji ‒ 177.837 (28,7%), dok je Primorska regija s najmanjim brojem stanovnika ‒ 148.683 (24,0%).</w:t>
      </w:r>
    </w:p>
    <w:p w:rsidR="00B5570A" w:rsidRPr="00722DF4" w:rsidRDefault="00B5570A" w:rsidP="00722DF4">
      <w:pPr>
        <w:tabs>
          <w:tab w:val="left" w:pos="1605"/>
        </w:tabs>
        <w:spacing w:after="0"/>
        <w:jc w:val="both"/>
        <w:rPr>
          <w:rFonts w:ascii="Arial" w:hAnsi="Arial" w:cs="Arial"/>
          <w:sz w:val="24"/>
          <w:szCs w:val="24"/>
        </w:rPr>
      </w:pPr>
    </w:p>
    <w:p w:rsidR="00B5570A" w:rsidRPr="00722DF4"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Prema dostupnim podacima, broj stanovnika Crne Gore povećan je za oko 63% u razdoblju između 1948. i 1991. godine. Porast broja stanovnika varira po regijama; najmanji porast zabilježen je u Sjevernoj regiji Crne Gore, a u Središnjoj i Primorskoj regiji broj stanovnika se udvostručio. Generalno, broj stanovnika na državnom nivou najviše se povećao u razdoblju 1991–2011. godine. Prema podacima iz Popisa stanovništva (2011) u području zahvata živi 444.049 stanovnika. Prosječna gustina naseljenosti u području zahvata (Primorska i Središnja regija) iznosi 67,48 stanovnika/km2. Najveća gustina naseljenosti zabilježena je u Primorskoj regiji (opština Tivat 307,64 stanovnika/km2). Poređenja radi, gustina naseljenosti u opštini Šavnik, u Sjevernoj regiji, iznosi 3,89 stanovnika/km2. Na području Crne Gore jedan od značajnijih procesa su unutrašnje migracije stanovnika. Tako su Primorska i Središnja regija područja intenzivne imigracije stanovnika iz sjevernih djelova države.</w:t>
      </w:r>
    </w:p>
    <w:p w:rsidR="00B5570A" w:rsidRPr="00722DF4" w:rsidRDefault="00B5570A" w:rsidP="00722DF4">
      <w:pPr>
        <w:tabs>
          <w:tab w:val="left" w:pos="1605"/>
        </w:tabs>
        <w:spacing w:after="0"/>
        <w:jc w:val="both"/>
        <w:rPr>
          <w:rFonts w:ascii="Arial" w:hAnsi="Arial" w:cs="Arial"/>
          <w:sz w:val="24"/>
          <w:szCs w:val="24"/>
        </w:rPr>
      </w:pPr>
    </w:p>
    <w:p w:rsidR="00B5570A" w:rsidRPr="004D7972" w:rsidRDefault="001210F4" w:rsidP="004D7972">
      <w:pPr>
        <w:spacing w:after="0"/>
        <w:jc w:val="both"/>
        <w:rPr>
          <w:rFonts w:ascii="Arial" w:hAnsi="Arial" w:cs="Arial"/>
          <w:sz w:val="24"/>
          <w:szCs w:val="24"/>
        </w:rPr>
      </w:pPr>
      <w:r>
        <w:rPr>
          <w:rFonts w:ascii="Arial" w:hAnsi="Arial" w:cs="Arial"/>
          <w:noProof/>
          <w:sz w:val="24"/>
          <w:szCs w:val="24"/>
        </w:rPr>
        <w:drawing>
          <wp:inline distT="0" distB="0" distL="0" distR="0">
            <wp:extent cx="5348605" cy="3079750"/>
            <wp:effectExtent l="19050" t="0" r="4445" b="0"/>
            <wp:docPr id="4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2" cstate="print"/>
                    <a:srcRect/>
                    <a:stretch>
                      <a:fillRect/>
                    </a:stretch>
                  </pic:blipFill>
                  <pic:spPr bwMode="auto">
                    <a:xfrm>
                      <a:off x="0" y="0"/>
                      <a:ext cx="5348605" cy="3079750"/>
                    </a:xfrm>
                    <a:prstGeom prst="rect">
                      <a:avLst/>
                    </a:prstGeom>
                    <a:noFill/>
                    <a:ln w="9525">
                      <a:noFill/>
                      <a:miter lim="800000"/>
                      <a:headEnd/>
                      <a:tailEnd/>
                    </a:ln>
                  </pic:spPr>
                </pic:pic>
              </a:graphicData>
            </a:graphic>
          </wp:inline>
        </w:drawing>
      </w:r>
    </w:p>
    <w:p w:rsidR="00B5570A" w:rsidRPr="00722DF4" w:rsidRDefault="3B4348E7" w:rsidP="00722DF4">
      <w:pPr>
        <w:tabs>
          <w:tab w:val="left" w:pos="1605"/>
        </w:tabs>
        <w:spacing w:after="0"/>
        <w:jc w:val="both"/>
        <w:rPr>
          <w:rFonts w:ascii="Arial" w:hAnsi="Arial" w:cs="Arial"/>
          <w:sz w:val="24"/>
          <w:szCs w:val="24"/>
        </w:rPr>
      </w:pPr>
      <w:r w:rsidRPr="004D7972">
        <w:rPr>
          <w:rFonts w:ascii="Arial" w:hAnsi="Arial" w:cs="Arial"/>
          <w:b/>
        </w:rPr>
        <w:t xml:space="preserve">Slika </w:t>
      </w:r>
      <w:r w:rsidR="0052311B" w:rsidRPr="004D7972">
        <w:rPr>
          <w:rFonts w:ascii="Arial" w:hAnsi="Arial" w:cs="Arial"/>
          <w:b/>
        </w:rPr>
        <w:t>2.</w:t>
      </w:r>
      <w:r w:rsidR="00D6443E" w:rsidRPr="004D7972">
        <w:rPr>
          <w:rFonts w:ascii="Arial" w:hAnsi="Arial" w:cs="Arial"/>
          <w:b/>
        </w:rPr>
        <w:t>38</w:t>
      </w:r>
      <w:r w:rsidRPr="004D7972">
        <w:rPr>
          <w:rFonts w:ascii="Arial" w:hAnsi="Arial" w:cs="Arial"/>
          <w:b/>
        </w:rPr>
        <w:t>.</w:t>
      </w:r>
      <w:r w:rsidRPr="004D7972">
        <w:rPr>
          <w:rFonts w:ascii="Arial" w:hAnsi="Arial" w:cs="Arial"/>
          <w:i/>
        </w:rPr>
        <w:t xml:space="preserve"> </w:t>
      </w:r>
      <w:r w:rsidRPr="004D7972">
        <w:rPr>
          <w:rFonts w:ascii="Arial" w:hAnsi="Arial" w:cs="Arial"/>
        </w:rPr>
        <w:t>Broj stanovnika u Crn</w:t>
      </w:r>
      <w:r w:rsidR="00A743F1" w:rsidRPr="004D7972">
        <w:rPr>
          <w:rFonts w:ascii="Arial" w:hAnsi="Arial" w:cs="Arial"/>
        </w:rPr>
        <w:t>oj Gori u razdoblju 1948–2011. g</w:t>
      </w:r>
      <w:r w:rsidRPr="004D7972">
        <w:rPr>
          <w:rFonts w:ascii="Arial" w:hAnsi="Arial" w:cs="Arial"/>
        </w:rPr>
        <w:t>odine</w:t>
      </w:r>
    </w:p>
    <w:p w:rsidR="0052311B" w:rsidRDefault="0052311B" w:rsidP="00722DF4">
      <w:pPr>
        <w:pStyle w:val="NoSpacing"/>
        <w:spacing w:line="276" w:lineRule="auto"/>
        <w:jc w:val="both"/>
        <w:rPr>
          <w:rFonts w:ascii="Arial" w:hAnsi="Arial" w:cs="Arial"/>
        </w:rPr>
      </w:pPr>
    </w:p>
    <w:p w:rsidR="004D7972" w:rsidRPr="00722DF4" w:rsidRDefault="004D7972" w:rsidP="00722DF4">
      <w:pPr>
        <w:pStyle w:val="NoSpacing"/>
        <w:spacing w:line="276" w:lineRule="auto"/>
        <w:jc w:val="both"/>
        <w:rPr>
          <w:rFonts w:ascii="Arial" w:hAnsi="Arial" w:cs="Arial"/>
        </w:rPr>
      </w:pPr>
    </w:p>
    <w:p w:rsidR="00C02EDF" w:rsidRPr="00722DF4" w:rsidRDefault="3B4348E7" w:rsidP="00722DF4">
      <w:pPr>
        <w:pStyle w:val="Heading2"/>
        <w:numPr>
          <w:ilvl w:val="0"/>
          <w:numId w:val="0"/>
        </w:numPr>
        <w:spacing w:before="0"/>
        <w:jc w:val="both"/>
        <w:rPr>
          <w:rFonts w:cs="Arial"/>
          <w:szCs w:val="24"/>
        </w:rPr>
      </w:pPr>
      <w:bookmarkStart w:id="39" w:name="_Toc6172828"/>
      <w:r w:rsidRPr="00722DF4">
        <w:rPr>
          <w:rFonts w:cs="Arial"/>
          <w:szCs w:val="24"/>
        </w:rPr>
        <w:t>2.8. Kulturna baština i predio</w:t>
      </w:r>
      <w:bookmarkEnd w:id="39"/>
      <w:r w:rsidRPr="00722DF4">
        <w:rPr>
          <w:rFonts w:cs="Arial"/>
          <w:szCs w:val="24"/>
        </w:rPr>
        <w:t xml:space="preserve"> </w:t>
      </w:r>
    </w:p>
    <w:p w:rsidR="00935C9C" w:rsidRPr="00722DF4" w:rsidRDefault="00935C9C" w:rsidP="00722DF4">
      <w:pPr>
        <w:autoSpaceDE w:val="0"/>
        <w:autoSpaceDN w:val="0"/>
        <w:adjustRightInd w:val="0"/>
        <w:spacing w:after="0"/>
        <w:jc w:val="both"/>
        <w:rPr>
          <w:rFonts w:ascii="Arial" w:hAnsi="Arial" w:cs="Arial"/>
          <w:b/>
          <w:color w:val="333333"/>
          <w:sz w:val="24"/>
          <w:szCs w:val="24"/>
        </w:rPr>
      </w:pPr>
    </w:p>
    <w:p w:rsidR="00935C9C" w:rsidRPr="00722DF4"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lastRenderedPageBreak/>
        <w:t>Crna Gora ima izuzetno bogatu kulturnu baštinu, a odlikuje se i raznovrsnošću predjela. Teritorijalno relativno mali, kulturni prostor Crne Gore formirao se kroz istoriju pod uticajem različitih civilizacija i kultura. Raznovrsnost nepokretnih kulturnih dobara, kao i bogatstvo muzejskih, arhivskih i bibliotečkih fondova, materijalni su dokazi o specifičnosti kulturološkog miljea Crne Gore.</w:t>
      </w:r>
    </w:p>
    <w:p w:rsidR="0088218B" w:rsidRPr="00722DF4" w:rsidRDefault="0088218B" w:rsidP="00722DF4">
      <w:pPr>
        <w:autoSpaceDE w:val="0"/>
        <w:autoSpaceDN w:val="0"/>
        <w:adjustRightInd w:val="0"/>
        <w:spacing w:after="0"/>
        <w:jc w:val="both"/>
        <w:rPr>
          <w:rFonts w:ascii="Arial" w:hAnsi="Arial" w:cs="Arial"/>
          <w:sz w:val="24"/>
          <w:szCs w:val="24"/>
        </w:rPr>
      </w:pPr>
    </w:p>
    <w:p w:rsidR="0088218B" w:rsidRPr="00722DF4"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Sa svojim bogatstvom, svojom raznovrsnošću, istorijskom zastupljenošću i očuvanošću, pokretna i nepokretna kulturna baština, kao i nematerijalna kulturna baština (način života, običaji, vjerovanja, odnos prema svijetu i prirodi, duhovne vrijednosti i sl.) na teritoriji Crne Gore, predstavljaju nedovoljno iskorišćen potencijal za razvoj. Podrška kulturnoj baštini još uvijek se u određenoj mjeri doživljava kao teret i izdatak za budžet – izostaje pravo razumijevanje značaja njene uloge u savremenom društvu i mogućnosti njene adekvatne valorizacije. Takav pristup, nažalost, reflektuje se u svim elementima sistema zaštite kulturnih dobara i upravljanja kulturnim dobrima.</w:t>
      </w:r>
    </w:p>
    <w:p w:rsidR="00166C87" w:rsidRPr="00722DF4" w:rsidRDefault="00166C87" w:rsidP="00722DF4">
      <w:pPr>
        <w:autoSpaceDE w:val="0"/>
        <w:autoSpaceDN w:val="0"/>
        <w:adjustRightInd w:val="0"/>
        <w:spacing w:after="0"/>
        <w:jc w:val="both"/>
        <w:rPr>
          <w:rFonts w:ascii="Arial" w:hAnsi="Arial" w:cs="Arial"/>
          <w:sz w:val="24"/>
          <w:szCs w:val="24"/>
        </w:rPr>
      </w:pPr>
    </w:p>
    <w:p w:rsidR="008C1E26" w:rsidRDefault="00166C8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Kulturna dobra, kao valorizovani dio kulturne baštine od opšteg interesa</w:t>
      </w:r>
      <w:r w:rsidRPr="00722DF4">
        <w:rPr>
          <w:rStyle w:val="FootnoteReference"/>
          <w:rFonts w:ascii="Arial" w:hAnsi="Arial" w:cs="Arial"/>
          <w:sz w:val="24"/>
          <w:szCs w:val="24"/>
        </w:rPr>
        <w:footnoteReference w:id="11"/>
      </w:r>
      <w:r w:rsidRPr="00722DF4">
        <w:rPr>
          <w:rFonts w:ascii="Arial" w:hAnsi="Arial" w:cs="Arial"/>
          <w:sz w:val="24"/>
          <w:szCs w:val="24"/>
        </w:rPr>
        <w:t xml:space="preserve">, </w:t>
      </w:r>
      <w:r w:rsidR="00C05BFF" w:rsidRPr="00722DF4">
        <w:rPr>
          <w:rFonts w:ascii="Arial" w:hAnsi="Arial" w:cs="Arial"/>
          <w:sz w:val="24"/>
          <w:szCs w:val="24"/>
        </w:rPr>
        <w:t xml:space="preserve">neophodno je </w:t>
      </w:r>
      <w:r w:rsidRPr="00722DF4">
        <w:rPr>
          <w:rFonts w:ascii="Arial" w:hAnsi="Arial" w:cs="Arial"/>
          <w:sz w:val="24"/>
          <w:szCs w:val="24"/>
        </w:rPr>
        <w:t>štit</w:t>
      </w:r>
      <w:r w:rsidR="00C05BFF" w:rsidRPr="00722DF4">
        <w:rPr>
          <w:rFonts w:ascii="Arial" w:hAnsi="Arial" w:cs="Arial"/>
          <w:sz w:val="24"/>
          <w:szCs w:val="24"/>
        </w:rPr>
        <w:t>i</w:t>
      </w:r>
      <w:r w:rsidRPr="00722DF4">
        <w:rPr>
          <w:rFonts w:ascii="Arial" w:hAnsi="Arial" w:cs="Arial"/>
          <w:sz w:val="24"/>
          <w:szCs w:val="24"/>
        </w:rPr>
        <w:t xml:space="preserve"> u skladu s</w:t>
      </w:r>
      <w:r w:rsidR="00C05BFF" w:rsidRPr="00722DF4">
        <w:rPr>
          <w:rFonts w:ascii="Arial" w:hAnsi="Arial" w:cs="Arial"/>
          <w:sz w:val="24"/>
          <w:szCs w:val="24"/>
        </w:rPr>
        <w:t>a</w:t>
      </w:r>
      <w:r w:rsidRPr="00722DF4">
        <w:rPr>
          <w:rFonts w:ascii="Arial" w:hAnsi="Arial" w:cs="Arial"/>
          <w:sz w:val="24"/>
          <w:szCs w:val="24"/>
        </w:rPr>
        <w:t xml:space="preserve"> nacionalnim zakonom i međunarodnim propisima</w:t>
      </w:r>
      <w:r w:rsidR="00C05BFF" w:rsidRPr="00722DF4">
        <w:rPr>
          <w:rFonts w:ascii="Arial" w:hAnsi="Arial" w:cs="Arial"/>
          <w:sz w:val="24"/>
          <w:szCs w:val="24"/>
        </w:rPr>
        <w:t>, kao i međunarodnim konvencijama koje se bave zaštitom kulturnih dobara, a ratifikovane su od strane Crne Gore,</w:t>
      </w:r>
      <w:r w:rsidRPr="00722DF4">
        <w:rPr>
          <w:rFonts w:ascii="Arial" w:hAnsi="Arial" w:cs="Arial"/>
          <w:sz w:val="24"/>
          <w:szCs w:val="24"/>
        </w:rPr>
        <w:t xml:space="preserve"> U Registar kulturnih dobara, koji Crna Gora ima od 1961. godine, do 2015. godine upisano je 1.900 kulturnih dobara</w:t>
      </w:r>
      <w:r w:rsidR="00343C8A" w:rsidRPr="00722DF4">
        <w:rPr>
          <w:rStyle w:val="FootnoteReference"/>
          <w:rFonts w:ascii="Arial" w:hAnsi="Arial" w:cs="Arial"/>
          <w:sz w:val="24"/>
          <w:szCs w:val="24"/>
        </w:rPr>
        <w:footnoteReference w:id="12"/>
      </w:r>
      <w:r w:rsidRPr="00722DF4">
        <w:rPr>
          <w:rFonts w:ascii="Arial" w:hAnsi="Arial" w:cs="Arial"/>
          <w:sz w:val="24"/>
          <w:szCs w:val="24"/>
        </w:rPr>
        <w:t xml:space="preserve">. </w:t>
      </w:r>
    </w:p>
    <w:p w:rsidR="00D6443E" w:rsidRDefault="00D6443E" w:rsidP="00722DF4">
      <w:pPr>
        <w:autoSpaceDE w:val="0"/>
        <w:autoSpaceDN w:val="0"/>
        <w:adjustRightInd w:val="0"/>
        <w:spacing w:after="0"/>
        <w:jc w:val="both"/>
        <w:rPr>
          <w:rFonts w:ascii="Arial" w:hAnsi="Arial" w:cs="Arial"/>
          <w:b/>
          <w:color w:val="333333"/>
          <w:sz w:val="24"/>
          <w:szCs w:val="24"/>
        </w:rPr>
      </w:pPr>
    </w:p>
    <w:p w:rsidR="004D7972" w:rsidRPr="00722DF4" w:rsidRDefault="004D7972" w:rsidP="00722DF4">
      <w:pPr>
        <w:autoSpaceDE w:val="0"/>
        <w:autoSpaceDN w:val="0"/>
        <w:adjustRightInd w:val="0"/>
        <w:spacing w:after="0"/>
        <w:jc w:val="both"/>
        <w:rPr>
          <w:rFonts w:ascii="Arial" w:hAnsi="Arial" w:cs="Arial"/>
          <w:b/>
          <w:color w:val="333333"/>
          <w:sz w:val="24"/>
          <w:szCs w:val="24"/>
        </w:rPr>
      </w:pPr>
    </w:p>
    <w:p w:rsidR="00C02EDF" w:rsidRPr="00722DF4" w:rsidRDefault="3B4348E7" w:rsidP="00722DF4">
      <w:pPr>
        <w:pStyle w:val="Heading2"/>
        <w:numPr>
          <w:ilvl w:val="0"/>
          <w:numId w:val="0"/>
        </w:numPr>
        <w:spacing w:before="0"/>
        <w:jc w:val="both"/>
        <w:rPr>
          <w:rFonts w:cs="Arial"/>
          <w:szCs w:val="24"/>
        </w:rPr>
      </w:pPr>
      <w:bookmarkStart w:id="40" w:name="_Toc6172829"/>
      <w:r w:rsidRPr="00722DF4">
        <w:rPr>
          <w:rFonts w:cs="Arial"/>
          <w:szCs w:val="24"/>
        </w:rPr>
        <w:t>2.9. Buka i vibracije</w:t>
      </w:r>
      <w:bookmarkEnd w:id="40"/>
    </w:p>
    <w:p w:rsidR="3B4348E7" w:rsidRPr="00722DF4" w:rsidRDefault="3B4348E7" w:rsidP="00722DF4">
      <w:pPr>
        <w:spacing w:after="0"/>
        <w:jc w:val="both"/>
        <w:rPr>
          <w:rFonts w:ascii="Arial" w:hAnsi="Arial" w:cs="Arial"/>
          <w:b/>
          <w:color w:val="333333"/>
          <w:sz w:val="24"/>
          <w:szCs w:val="24"/>
        </w:rPr>
      </w:pP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U skladu sa Zakonom o zaštiti od buke u životnoj sredini ("Sl. list Crne Gore", br. 28/11 od10.06.2011, 28/12 od 05.06.2012, 01/14 od 09.01.2014), buka u životnoj sredini je</w:t>
      </w:r>
      <w:r w:rsidR="0092013B" w:rsidRPr="00722DF4">
        <w:rPr>
          <w:rFonts w:ascii="Arial" w:hAnsi="Arial" w:cs="Arial"/>
          <w:sz w:val="24"/>
          <w:szCs w:val="24"/>
        </w:rPr>
        <w:t xml:space="preserve"> </w:t>
      </w:r>
      <w:r w:rsidRPr="00722DF4">
        <w:rPr>
          <w:rFonts w:ascii="Arial" w:hAnsi="Arial" w:cs="Arial"/>
          <w:sz w:val="24"/>
          <w:szCs w:val="24"/>
        </w:rPr>
        <w:t xml:space="preserve">nepoželjan ili štetan zvuk na otvorenom prostoru koji </w:t>
      </w:r>
      <w:r w:rsidR="00A743F1" w:rsidRPr="00722DF4">
        <w:rPr>
          <w:rFonts w:ascii="Arial" w:hAnsi="Arial" w:cs="Arial"/>
          <w:sz w:val="24"/>
          <w:szCs w:val="24"/>
        </w:rPr>
        <w:t xml:space="preserve">je izazvan ljudskom aktivnošću, </w:t>
      </w:r>
      <w:r w:rsidRPr="00722DF4">
        <w:rPr>
          <w:rFonts w:ascii="Arial" w:hAnsi="Arial" w:cs="Arial"/>
          <w:sz w:val="24"/>
          <w:szCs w:val="24"/>
        </w:rPr>
        <w:t>uključujući buku koja potiče iz drumskog, željezničkog i vazdušnog saobraćaja i od industrijskih postrojenja za koje se izdaje integrisana dozvola. Iz Zakona je proistekao Pravilnik o graničnim vrijednostima buke u životnoj sredini, načinu utvrđivanja indikatora</w:t>
      </w:r>
      <w:r w:rsidR="0092013B" w:rsidRPr="00722DF4">
        <w:rPr>
          <w:rFonts w:ascii="Arial" w:hAnsi="Arial" w:cs="Arial"/>
          <w:sz w:val="24"/>
          <w:szCs w:val="24"/>
        </w:rPr>
        <w:t xml:space="preserve"> </w:t>
      </w:r>
      <w:r w:rsidRPr="00722DF4">
        <w:rPr>
          <w:rFonts w:ascii="Arial" w:hAnsi="Arial" w:cs="Arial"/>
          <w:sz w:val="24"/>
          <w:szCs w:val="24"/>
        </w:rPr>
        <w:t>buke i akustičkih zona i metodama ocjenjivanja štetnih efekata buke (“Službeni list CG”, br.</w:t>
      </w:r>
      <w:r w:rsidR="007806FD">
        <w:rPr>
          <w:rFonts w:ascii="Arial" w:hAnsi="Arial" w:cs="Arial"/>
          <w:sz w:val="24"/>
          <w:szCs w:val="24"/>
        </w:rPr>
        <w:t xml:space="preserve"> </w:t>
      </w:r>
      <w:r w:rsidRPr="00722DF4">
        <w:rPr>
          <w:rFonts w:ascii="Arial" w:hAnsi="Arial" w:cs="Arial"/>
          <w:sz w:val="24"/>
          <w:szCs w:val="24"/>
        </w:rPr>
        <w:t>60/11).</w:t>
      </w:r>
    </w:p>
    <w:p w:rsidR="00A743F1" w:rsidRPr="00722DF4" w:rsidRDefault="00A743F1" w:rsidP="00722DF4">
      <w:pPr>
        <w:spacing w:after="0"/>
        <w:jc w:val="both"/>
        <w:rPr>
          <w:rFonts w:ascii="Arial" w:hAnsi="Arial" w:cs="Arial"/>
          <w:sz w:val="24"/>
          <w:szCs w:val="24"/>
        </w:rPr>
      </w:pP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Na osnovu gore navedene zakonske regulative, opštine</w:t>
      </w:r>
      <w:r w:rsidR="0092013B" w:rsidRPr="00722DF4">
        <w:rPr>
          <w:rFonts w:ascii="Arial" w:hAnsi="Arial" w:cs="Arial"/>
          <w:sz w:val="24"/>
          <w:szCs w:val="24"/>
        </w:rPr>
        <w:t xml:space="preserve"> su</w:t>
      </w:r>
      <w:r w:rsidRPr="00722DF4">
        <w:rPr>
          <w:rFonts w:ascii="Arial" w:hAnsi="Arial" w:cs="Arial"/>
          <w:sz w:val="24"/>
          <w:szCs w:val="24"/>
        </w:rPr>
        <w:t xml:space="preserve"> donijele Rješenja o akustičkom zoniranju svojih teritorija, što je osnovni uslov za implementaciju Pravilnika o </w:t>
      </w:r>
      <w:r w:rsidRPr="00722DF4">
        <w:rPr>
          <w:rFonts w:ascii="Arial" w:hAnsi="Arial" w:cs="Arial"/>
          <w:sz w:val="24"/>
          <w:szCs w:val="24"/>
        </w:rPr>
        <w:lastRenderedPageBreak/>
        <w:t>graničnim vrijednostima buke u životnoj sredini, načinu utvrđivanja indikatora buke i akustičkih zona i metodama ocjenjivanja štetnih efekata buke.</w:t>
      </w:r>
    </w:p>
    <w:p w:rsidR="0092013B" w:rsidRPr="00722DF4" w:rsidRDefault="0092013B" w:rsidP="00722DF4">
      <w:pPr>
        <w:spacing w:after="0"/>
        <w:jc w:val="both"/>
        <w:rPr>
          <w:rFonts w:ascii="Arial" w:hAnsi="Arial" w:cs="Arial"/>
          <w:sz w:val="24"/>
          <w:szCs w:val="24"/>
        </w:rPr>
      </w:pPr>
    </w:p>
    <w:p w:rsidR="00A743F1" w:rsidRPr="00722DF4" w:rsidRDefault="3B4348E7" w:rsidP="00722DF4">
      <w:pPr>
        <w:spacing w:after="0"/>
        <w:jc w:val="both"/>
        <w:rPr>
          <w:rFonts w:ascii="Arial" w:hAnsi="Arial" w:cs="Arial"/>
          <w:sz w:val="24"/>
          <w:szCs w:val="24"/>
        </w:rPr>
      </w:pPr>
      <w:r w:rsidRPr="00722DF4">
        <w:rPr>
          <w:rFonts w:ascii="Arial" w:hAnsi="Arial" w:cs="Arial"/>
          <w:sz w:val="24"/>
          <w:szCs w:val="24"/>
        </w:rPr>
        <w:t>Određivanjem akustičkih zona, propisane su granične vrijednosti za definisane djelove opštinske teritorije, što je od značaja za zaštitu od buke u životnoj sredini, a i za buduće planiranje izgradnje objekata i izdavanje dozvola za rad ugostiteljskim i drugim objektima. U tabeli 2.</w:t>
      </w:r>
      <w:r w:rsidR="0091045A" w:rsidRPr="00722DF4">
        <w:rPr>
          <w:rFonts w:ascii="Arial" w:hAnsi="Arial" w:cs="Arial"/>
          <w:sz w:val="24"/>
          <w:szCs w:val="24"/>
        </w:rPr>
        <w:t>9</w:t>
      </w:r>
      <w:r w:rsidRPr="00722DF4">
        <w:rPr>
          <w:rFonts w:ascii="Arial" w:hAnsi="Arial" w:cs="Arial"/>
          <w:sz w:val="24"/>
          <w:szCs w:val="24"/>
        </w:rPr>
        <w:t xml:space="preserve"> su prikazane granične vrijednosti nivoa buke</w:t>
      </w:r>
      <w:r w:rsidR="00BC65E4" w:rsidRPr="00722DF4">
        <w:rPr>
          <w:rFonts w:ascii="Arial" w:hAnsi="Arial" w:cs="Arial"/>
          <w:sz w:val="24"/>
          <w:szCs w:val="24"/>
        </w:rPr>
        <w:t xml:space="preserve"> koje su propisane Pravilnikom.</w:t>
      </w:r>
    </w:p>
    <w:p w:rsidR="00DA2DB1" w:rsidRPr="00722DF4" w:rsidRDefault="00DA2DB1" w:rsidP="00722DF4">
      <w:pPr>
        <w:spacing w:after="0"/>
        <w:jc w:val="both"/>
        <w:rPr>
          <w:rFonts w:ascii="Arial" w:hAnsi="Arial" w:cs="Arial"/>
          <w:b/>
          <w:sz w:val="24"/>
          <w:szCs w:val="24"/>
        </w:rPr>
      </w:pPr>
    </w:p>
    <w:p w:rsidR="3B4348E7" w:rsidRPr="007806FD" w:rsidRDefault="3B4348E7" w:rsidP="00722DF4">
      <w:pPr>
        <w:spacing w:after="0"/>
        <w:jc w:val="both"/>
        <w:rPr>
          <w:rFonts w:ascii="Arial" w:hAnsi="Arial" w:cs="Arial"/>
        </w:rPr>
      </w:pPr>
      <w:r w:rsidRPr="007806FD">
        <w:rPr>
          <w:rFonts w:ascii="Arial" w:hAnsi="Arial" w:cs="Arial"/>
          <w:b/>
        </w:rPr>
        <w:t>Tabela 2.</w:t>
      </w:r>
      <w:r w:rsidR="00D6443E" w:rsidRPr="007806FD">
        <w:rPr>
          <w:rFonts w:ascii="Arial" w:hAnsi="Arial" w:cs="Arial"/>
          <w:b/>
        </w:rPr>
        <w:t>11</w:t>
      </w:r>
      <w:r w:rsidRPr="007806FD">
        <w:rPr>
          <w:rFonts w:ascii="Arial" w:hAnsi="Arial" w:cs="Arial"/>
          <w:b/>
        </w:rPr>
        <w:t>.</w:t>
      </w:r>
      <w:r w:rsidRPr="007806FD">
        <w:rPr>
          <w:rFonts w:ascii="Arial" w:hAnsi="Arial" w:cs="Arial"/>
        </w:rPr>
        <w:t>Granične vrijednosti buke u akustičkim zonama</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1350"/>
        <w:gridCol w:w="3069"/>
        <w:gridCol w:w="2236"/>
        <w:gridCol w:w="1399"/>
        <w:gridCol w:w="1296"/>
      </w:tblGrid>
      <w:tr w:rsidR="3B4348E7" w:rsidRPr="00722DF4" w:rsidTr="00CA2879">
        <w:tc>
          <w:tcPr>
            <w:tcW w:w="1242" w:type="dxa"/>
            <w:tcBorders>
              <w:bottom w:val="single" w:sz="12" w:space="0" w:color="95B3D7"/>
            </w:tcBorders>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Akustička zona</w:t>
            </w:r>
          </w:p>
        </w:tc>
        <w:tc>
          <w:tcPr>
            <w:tcW w:w="3119" w:type="dxa"/>
            <w:tcBorders>
              <w:bottom w:val="single" w:sz="12" w:space="0" w:color="95B3D7"/>
            </w:tcBorders>
          </w:tcPr>
          <w:p w:rsidR="3B4348E7" w:rsidRPr="00722DF4" w:rsidRDefault="3B4348E7" w:rsidP="00722DF4">
            <w:pPr>
              <w:spacing w:after="0"/>
              <w:jc w:val="both"/>
              <w:rPr>
                <w:rFonts w:ascii="Arial" w:hAnsi="Arial" w:cs="Arial"/>
                <w:b/>
                <w:bCs/>
                <w:sz w:val="24"/>
                <w:szCs w:val="24"/>
              </w:rPr>
            </w:pPr>
          </w:p>
        </w:tc>
        <w:tc>
          <w:tcPr>
            <w:tcW w:w="2268" w:type="dxa"/>
            <w:tcBorders>
              <w:bottom w:val="single" w:sz="12" w:space="0" w:color="95B3D7"/>
            </w:tcBorders>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Nivo buke u dB(A)</w:t>
            </w:r>
          </w:p>
        </w:tc>
        <w:tc>
          <w:tcPr>
            <w:tcW w:w="1417" w:type="dxa"/>
            <w:tcBorders>
              <w:bottom w:val="single" w:sz="12" w:space="0" w:color="95B3D7"/>
            </w:tcBorders>
          </w:tcPr>
          <w:p w:rsidR="3B4348E7" w:rsidRPr="00722DF4" w:rsidRDefault="3B4348E7" w:rsidP="00722DF4">
            <w:pPr>
              <w:spacing w:after="0"/>
              <w:jc w:val="both"/>
              <w:rPr>
                <w:rFonts w:ascii="Arial" w:hAnsi="Arial" w:cs="Arial"/>
                <w:b/>
                <w:bCs/>
                <w:sz w:val="24"/>
                <w:szCs w:val="24"/>
              </w:rPr>
            </w:pPr>
          </w:p>
        </w:tc>
        <w:tc>
          <w:tcPr>
            <w:tcW w:w="1314" w:type="dxa"/>
            <w:tcBorders>
              <w:bottom w:val="single" w:sz="12" w:space="0" w:color="95B3D7"/>
            </w:tcBorders>
          </w:tcPr>
          <w:p w:rsidR="3B4348E7" w:rsidRPr="00722DF4" w:rsidRDefault="3B4348E7" w:rsidP="00722DF4">
            <w:pPr>
              <w:spacing w:after="0"/>
              <w:jc w:val="both"/>
              <w:rPr>
                <w:rFonts w:ascii="Arial" w:hAnsi="Arial" w:cs="Arial"/>
                <w:b/>
                <w:bCs/>
                <w:sz w:val="24"/>
                <w:szCs w:val="24"/>
              </w:rPr>
            </w:pP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p>
        </w:tc>
        <w:tc>
          <w:tcPr>
            <w:tcW w:w="3119" w:type="dxa"/>
          </w:tcPr>
          <w:p w:rsidR="3B4348E7" w:rsidRPr="00722DF4" w:rsidRDefault="3B4348E7" w:rsidP="00722DF4">
            <w:pPr>
              <w:spacing w:after="0"/>
              <w:jc w:val="both"/>
              <w:rPr>
                <w:rFonts w:ascii="Arial" w:hAnsi="Arial" w:cs="Arial"/>
                <w:sz w:val="24"/>
                <w:szCs w:val="24"/>
              </w:rPr>
            </w:pP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b/>
                <w:sz w:val="24"/>
                <w:szCs w:val="24"/>
              </w:rPr>
              <w:t>L</w:t>
            </w:r>
            <w:r w:rsidRPr="00722DF4">
              <w:rPr>
                <w:rFonts w:ascii="Arial" w:hAnsi="Arial" w:cs="Arial"/>
                <w:b/>
                <w:sz w:val="24"/>
                <w:szCs w:val="24"/>
                <w:vertAlign w:val="subscript"/>
              </w:rPr>
              <w:t>day</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b/>
                <w:sz w:val="24"/>
                <w:szCs w:val="24"/>
              </w:rPr>
              <w:t>L</w:t>
            </w:r>
            <w:r w:rsidRPr="00722DF4">
              <w:rPr>
                <w:rFonts w:ascii="Arial" w:hAnsi="Arial" w:cs="Arial"/>
                <w:b/>
                <w:sz w:val="24"/>
                <w:szCs w:val="24"/>
                <w:vertAlign w:val="subscript"/>
              </w:rPr>
              <w:t>evenig</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b/>
                <w:sz w:val="24"/>
                <w:szCs w:val="24"/>
              </w:rPr>
              <w:t>L</w:t>
            </w:r>
            <w:r w:rsidRPr="00722DF4">
              <w:rPr>
                <w:rFonts w:ascii="Arial" w:hAnsi="Arial" w:cs="Arial"/>
                <w:b/>
                <w:sz w:val="24"/>
                <w:szCs w:val="24"/>
                <w:vertAlign w:val="subscript"/>
              </w:rPr>
              <w:t>night</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1.</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Tiha zona u prirodi</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35</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35</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30</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2.</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Tiha zona u aglomeraciji</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40</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40</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35</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3.</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Zona povišenog režima zaštite od buke</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50</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50</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40</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4.</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Stambena zona</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55</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55</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45</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5.</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Zona mješovite namjene</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60</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60</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50</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6.</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Zone pod uticajem buke koja potiče od saobraćaja</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L</w:t>
            </w:r>
            <w:r w:rsidRPr="00722DF4">
              <w:rPr>
                <w:rFonts w:ascii="Arial" w:hAnsi="Arial" w:cs="Arial"/>
                <w:sz w:val="24"/>
                <w:szCs w:val="24"/>
                <w:vertAlign w:val="subscript"/>
              </w:rPr>
              <w:t>day</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L</w:t>
            </w:r>
            <w:r w:rsidRPr="00722DF4">
              <w:rPr>
                <w:rFonts w:ascii="Arial" w:hAnsi="Arial" w:cs="Arial"/>
                <w:sz w:val="24"/>
                <w:szCs w:val="24"/>
                <w:vertAlign w:val="subscript"/>
              </w:rPr>
              <w:t>evenig</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L</w:t>
            </w:r>
            <w:r w:rsidRPr="00722DF4">
              <w:rPr>
                <w:rFonts w:ascii="Arial" w:hAnsi="Arial" w:cs="Arial"/>
                <w:sz w:val="24"/>
                <w:szCs w:val="24"/>
                <w:vertAlign w:val="subscript"/>
              </w:rPr>
              <w:t>night</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6a.</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Zona pod jakim uticajem buke koja potiče od vazdušnog saobraćaja</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55</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55</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50</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6b.</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Zona pod jakim uticajem buke koja potiče od drumskog saobraćaja</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60</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60</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55</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6c.</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Zona pod jakim uticajem buke koja potiče od željezničkog saobraćaja</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65</w:t>
            </w:r>
          </w:p>
        </w:tc>
        <w:tc>
          <w:tcPr>
            <w:tcW w:w="1417"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65</w:t>
            </w:r>
          </w:p>
        </w:tc>
        <w:tc>
          <w:tcPr>
            <w:tcW w:w="1314"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60</w:t>
            </w: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7.</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Idustrijska zona</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Na granici ove zone buka ne smije prelaziti granične vrijednosti nivoa buke u zoni sa kojom se graniči</w:t>
            </w:r>
          </w:p>
        </w:tc>
        <w:tc>
          <w:tcPr>
            <w:tcW w:w="1417" w:type="dxa"/>
          </w:tcPr>
          <w:p w:rsidR="3B4348E7" w:rsidRPr="00722DF4" w:rsidRDefault="3B4348E7" w:rsidP="00722DF4">
            <w:pPr>
              <w:spacing w:after="0"/>
              <w:jc w:val="both"/>
              <w:rPr>
                <w:rFonts w:ascii="Arial" w:hAnsi="Arial" w:cs="Arial"/>
                <w:sz w:val="24"/>
                <w:szCs w:val="24"/>
              </w:rPr>
            </w:pPr>
          </w:p>
        </w:tc>
        <w:tc>
          <w:tcPr>
            <w:tcW w:w="1314" w:type="dxa"/>
          </w:tcPr>
          <w:p w:rsidR="3B4348E7" w:rsidRPr="00722DF4" w:rsidRDefault="3B4348E7" w:rsidP="00722DF4">
            <w:pPr>
              <w:spacing w:after="0"/>
              <w:jc w:val="both"/>
              <w:rPr>
                <w:rFonts w:ascii="Arial" w:hAnsi="Arial" w:cs="Arial"/>
                <w:sz w:val="24"/>
                <w:szCs w:val="24"/>
              </w:rPr>
            </w:pPr>
          </w:p>
        </w:tc>
      </w:tr>
      <w:tr w:rsidR="3B4348E7" w:rsidRPr="00722DF4" w:rsidTr="00CA2879">
        <w:tc>
          <w:tcPr>
            <w:tcW w:w="1242" w:type="dxa"/>
          </w:tcPr>
          <w:p w:rsidR="3B4348E7" w:rsidRPr="00722DF4" w:rsidRDefault="3B4348E7" w:rsidP="00722DF4">
            <w:pPr>
              <w:spacing w:after="0"/>
              <w:jc w:val="both"/>
              <w:rPr>
                <w:rFonts w:ascii="Arial" w:hAnsi="Arial" w:cs="Arial"/>
                <w:b/>
                <w:bCs/>
                <w:sz w:val="24"/>
                <w:szCs w:val="24"/>
              </w:rPr>
            </w:pPr>
            <w:r w:rsidRPr="00722DF4">
              <w:rPr>
                <w:rFonts w:ascii="Arial" w:hAnsi="Arial" w:cs="Arial"/>
                <w:b/>
                <w:bCs/>
                <w:sz w:val="24"/>
                <w:szCs w:val="24"/>
              </w:rPr>
              <w:t>8.</w:t>
            </w:r>
          </w:p>
        </w:tc>
        <w:tc>
          <w:tcPr>
            <w:tcW w:w="3119"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Zona eksploatacije mineralnih sirovina</w:t>
            </w:r>
          </w:p>
        </w:tc>
        <w:tc>
          <w:tcPr>
            <w:tcW w:w="2268" w:type="dxa"/>
          </w:tcPr>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 xml:space="preserve">Na granici ove zone buka ne smije prelaziti granične vrijednosti nivoa </w:t>
            </w:r>
            <w:r w:rsidRPr="00722DF4">
              <w:rPr>
                <w:rFonts w:ascii="Arial" w:hAnsi="Arial" w:cs="Arial"/>
                <w:sz w:val="24"/>
                <w:szCs w:val="24"/>
              </w:rPr>
              <w:lastRenderedPageBreak/>
              <w:t>buke u zoni sa kojom se graniči</w:t>
            </w:r>
          </w:p>
        </w:tc>
        <w:tc>
          <w:tcPr>
            <w:tcW w:w="1417" w:type="dxa"/>
          </w:tcPr>
          <w:p w:rsidR="3B4348E7" w:rsidRPr="00722DF4" w:rsidRDefault="3B4348E7" w:rsidP="00722DF4">
            <w:pPr>
              <w:spacing w:after="0"/>
              <w:jc w:val="both"/>
              <w:rPr>
                <w:rFonts w:ascii="Arial" w:hAnsi="Arial" w:cs="Arial"/>
                <w:sz w:val="24"/>
                <w:szCs w:val="24"/>
              </w:rPr>
            </w:pPr>
          </w:p>
        </w:tc>
        <w:tc>
          <w:tcPr>
            <w:tcW w:w="1314" w:type="dxa"/>
          </w:tcPr>
          <w:p w:rsidR="3B4348E7" w:rsidRPr="00722DF4" w:rsidRDefault="3B4348E7" w:rsidP="00722DF4">
            <w:pPr>
              <w:spacing w:after="0"/>
              <w:jc w:val="both"/>
              <w:rPr>
                <w:rFonts w:ascii="Arial" w:hAnsi="Arial" w:cs="Arial"/>
                <w:sz w:val="24"/>
                <w:szCs w:val="24"/>
              </w:rPr>
            </w:pPr>
          </w:p>
        </w:tc>
      </w:tr>
    </w:tbl>
    <w:p w:rsidR="3B4348E7" w:rsidRPr="007806FD" w:rsidRDefault="3B4348E7" w:rsidP="00722DF4">
      <w:pPr>
        <w:spacing w:after="0"/>
        <w:jc w:val="both"/>
        <w:rPr>
          <w:rFonts w:ascii="Arial" w:hAnsi="Arial" w:cs="Arial"/>
        </w:rPr>
      </w:pPr>
      <w:r w:rsidRPr="007806FD">
        <w:rPr>
          <w:rFonts w:ascii="Arial" w:hAnsi="Arial" w:cs="Arial"/>
          <w:i/>
        </w:rPr>
        <w:t>Vrijednosti navedene u ovoj tabeli odnose se na ukupni nivo buke iz svih izvora u akustičkoj zoni. U područjima razgraničenja akustičkih zona,nivo buke u svakoj akustičkoj zoni ne smije prelaziti najnižu graničnu vrijednost propisanu za zonu sa kojom se graniči. Vrijednosti indikatora navedenih u ovoj tabeli (L</w:t>
      </w:r>
      <w:r w:rsidRPr="007806FD">
        <w:rPr>
          <w:rFonts w:ascii="Arial" w:hAnsi="Arial" w:cs="Arial"/>
          <w:i/>
          <w:vertAlign w:val="subscript"/>
        </w:rPr>
        <w:t>day</w:t>
      </w:r>
      <w:r w:rsidRPr="007806FD">
        <w:rPr>
          <w:rFonts w:ascii="Arial" w:hAnsi="Arial" w:cs="Arial"/>
          <w:i/>
        </w:rPr>
        <w:t>, L</w:t>
      </w:r>
      <w:r w:rsidRPr="007806FD">
        <w:rPr>
          <w:rFonts w:ascii="Arial" w:hAnsi="Arial" w:cs="Arial"/>
          <w:i/>
          <w:vertAlign w:val="subscript"/>
        </w:rPr>
        <w:t>evening</w:t>
      </w:r>
      <w:r w:rsidRPr="007806FD">
        <w:rPr>
          <w:rFonts w:ascii="Arial" w:hAnsi="Arial" w:cs="Arial"/>
          <w:i/>
        </w:rPr>
        <w:t>, L</w:t>
      </w:r>
      <w:r w:rsidRPr="007806FD">
        <w:rPr>
          <w:rFonts w:ascii="Arial" w:hAnsi="Arial" w:cs="Arial"/>
          <w:i/>
          <w:vertAlign w:val="subscript"/>
        </w:rPr>
        <w:t>night</w:t>
      </w:r>
      <w:r w:rsidRPr="007806FD">
        <w:rPr>
          <w:rFonts w:ascii="Arial" w:hAnsi="Arial" w:cs="Arial"/>
          <w:i/>
        </w:rPr>
        <w:t>) predstavljaju prosječne dnevne vrijednosti.</w:t>
      </w:r>
    </w:p>
    <w:p w:rsidR="00D6443E" w:rsidRDefault="00D6443E" w:rsidP="00722DF4">
      <w:pPr>
        <w:spacing w:after="0"/>
        <w:jc w:val="both"/>
        <w:rPr>
          <w:rFonts w:ascii="Arial" w:hAnsi="Arial" w:cs="Arial"/>
          <w:sz w:val="24"/>
          <w:szCs w:val="24"/>
          <w:u w:val="single"/>
        </w:rPr>
      </w:pPr>
    </w:p>
    <w:p w:rsidR="00A743F1" w:rsidRDefault="3B4348E7" w:rsidP="00722DF4">
      <w:pPr>
        <w:spacing w:after="0"/>
        <w:jc w:val="both"/>
        <w:rPr>
          <w:rFonts w:ascii="Arial" w:hAnsi="Arial" w:cs="Arial"/>
          <w:sz w:val="24"/>
          <w:szCs w:val="24"/>
          <w:u w:val="single"/>
        </w:rPr>
      </w:pPr>
      <w:r w:rsidRPr="00722DF4">
        <w:rPr>
          <w:rFonts w:ascii="Arial" w:hAnsi="Arial" w:cs="Arial"/>
          <w:sz w:val="24"/>
          <w:szCs w:val="24"/>
          <w:u w:val="single"/>
        </w:rPr>
        <w:t>Monitoring buke u životnoj sredini</w:t>
      </w:r>
    </w:p>
    <w:p w:rsidR="004D7972" w:rsidRPr="00722DF4" w:rsidRDefault="004D7972" w:rsidP="00722DF4">
      <w:pPr>
        <w:spacing w:after="0"/>
        <w:jc w:val="both"/>
        <w:rPr>
          <w:rFonts w:ascii="Arial" w:hAnsi="Arial" w:cs="Arial"/>
          <w:sz w:val="24"/>
          <w:szCs w:val="24"/>
        </w:rPr>
      </w:pPr>
    </w:p>
    <w:p w:rsidR="00F93D16" w:rsidRDefault="3B4348E7" w:rsidP="00722DF4">
      <w:pPr>
        <w:spacing w:after="0"/>
        <w:jc w:val="both"/>
        <w:rPr>
          <w:rFonts w:ascii="Arial" w:hAnsi="Arial" w:cs="Arial"/>
          <w:sz w:val="24"/>
          <w:szCs w:val="24"/>
        </w:rPr>
      </w:pPr>
      <w:r w:rsidRPr="00722DF4">
        <w:rPr>
          <w:rFonts w:ascii="Arial" w:hAnsi="Arial" w:cs="Arial"/>
          <w:sz w:val="24"/>
          <w:szCs w:val="24"/>
        </w:rPr>
        <w:t>Monitoring buke u životnoj sredini u Crnoj Gori vršen je u skladu sa Programom monitoring</w:t>
      </w:r>
      <w:r w:rsidR="0092013B" w:rsidRPr="00722DF4">
        <w:rPr>
          <w:rFonts w:ascii="Arial" w:hAnsi="Arial" w:cs="Arial"/>
          <w:sz w:val="24"/>
          <w:szCs w:val="24"/>
        </w:rPr>
        <w:t>a buke u životnoj sredini za 2016</w:t>
      </w:r>
      <w:r w:rsidRPr="00722DF4">
        <w:rPr>
          <w:rFonts w:ascii="Arial" w:hAnsi="Arial" w:cs="Arial"/>
          <w:sz w:val="24"/>
          <w:szCs w:val="24"/>
        </w:rPr>
        <w:t>. godinu u: Ulcinju, Podgorici, Budvi, Petrovcu, Kotoru, Žabljaku, Nikšiću, Bijelom Polju, Beranama, Kolašinu i Mojkovcu. U tabeli 2.</w:t>
      </w:r>
      <w:r w:rsidR="009B7C74" w:rsidRPr="00722DF4">
        <w:rPr>
          <w:rFonts w:ascii="Arial" w:hAnsi="Arial" w:cs="Arial"/>
          <w:sz w:val="24"/>
          <w:szCs w:val="24"/>
        </w:rPr>
        <w:t>10</w:t>
      </w:r>
      <w:r w:rsidRPr="00722DF4">
        <w:rPr>
          <w:rFonts w:ascii="Arial" w:hAnsi="Arial" w:cs="Arial"/>
          <w:sz w:val="24"/>
          <w:szCs w:val="24"/>
        </w:rPr>
        <w:t xml:space="preserve"> prikazane su tačne lokacije na kojima je vršeno mjerenje nivoa buke u pojedinim opštinama.</w:t>
      </w:r>
    </w:p>
    <w:p w:rsidR="004D7972" w:rsidRPr="00722DF4" w:rsidRDefault="004D7972" w:rsidP="00722DF4">
      <w:pPr>
        <w:spacing w:after="0"/>
        <w:jc w:val="both"/>
        <w:rPr>
          <w:rFonts w:ascii="Arial" w:hAnsi="Arial" w:cs="Arial"/>
          <w:sz w:val="24"/>
          <w:szCs w:val="24"/>
        </w:rPr>
      </w:pPr>
    </w:p>
    <w:p w:rsidR="3B4348E7" w:rsidRPr="007806FD" w:rsidRDefault="3B4348E7" w:rsidP="00722DF4">
      <w:pPr>
        <w:spacing w:after="0"/>
        <w:jc w:val="both"/>
        <w:rPr>
          <w:rFonts w:ascii="Arial" w:hAnsi="Arial" w:cs="Arial"/>
          <w:i/>
        </w:rPr>
      </w:pPr>
      <w:r w:rsidRPr="007806FD">
        <w:rPr>
          <w:rFonts w:ascii="Arial" w:hAnsi="Arial" w:cs="Arial"/>
          <w:b/>
        </w:rPr>
        <w:t>Tabela 2.</w:t>
      </w:r>
      <w:r w:rsidR="00D6443E" w:rsidRPr="007806FD">
        <w:rPr>
          <w:rFonts w:ascii="Arial" w:hAnsi="Arial" w:cs="Arial"/>
          <w:b/>
        </w:rPr>
        <w:t>12</w:t>
      </w:r>
      <w:r w:rsidR="00BC65E4" w:rsidRPr="007806FD">
        <w:rPr>
          <w:rFonts w:ascii="Arial" w:hAnsi="Arial" w:cs="Arial"/>
          <w:b/>
        </w:rPr>
        <w:t>.</w:t>
      </w:r>
      <w:r w:rsidR="004D7972" w:rsidRPr="007806FD">
        <w:rPr>
          <w:rFonts w:ascii="Arial" w:hAnsi="Arial" w:cs="Arial"/>
          <w:b/>
        </w:rPr>
        <w:t xml:space="preserve"> </w:t>
      </w:r>
      <w:r w:rsidRPr="007806FD">
        <w:rPr>
          <w:rFonts w:ascii="Arial" w:hAnsi="Arial" w:cs="Arial"/>
        </w:rPr>
        <w:t>Mjerna mjesta</w:t>
      </w:r>
      <w:r w:rsidRPr="007806FD">
        <w:rPr>
          <w:rFonts w:ascii="Arial" w:hAnsi="Arial" w:cs="Arial"/>
          <w:i/>
        </w:rPr>
        <w:t xml:space="preserve"> </w:t>
      </w:r>
    </w:p>
    <w:p w:rsidR="0092013B"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848985" cy="3209290"/>
            <wp:effectExtent l="19050" t="0" r="0" b="0"/>
            <wp:docPr id="47" name="Picture 47" descr="monit bu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onit buka"/>
                    <pic:cNvPicPr>
                      <a:picLocks noChangeAspect="1" noChangeArrowheads="1"/>
                    </pic:cNvPicPr>
                  </pic:nvPicPr>
                  <pic:blipFill>
                    <a:blip r:embed="rId53" cstate="print"/>
                    <a:srcRect r="8803" b="41809"/>
                    <a:stretch>
                      <a:fillRect/>
                    </a:stretch>
                  </pic:blipFill>
                  <pic:spPr bwMode="auto">
                    <a:xfrm>
                      <a:off x="0" y="0"/>
                      <a:ext cx="5848985" cy="3209290"/>
                    </a:xfrm>
                    <a:prstGeom prst="rect">
                      <a:avLst/>
                    </a:prstGeom>
                    <a:noFill/>
                    <a:ln w="9525">
                      <a:noFill/>
                      <a:miter lim="800000"/>
                      <a:headEnd/>
                      <a:tailEnd/>
                    </a:ln>
                  </pic:spPr>
                </pic:pic>
              </a:graphicData>
            </a:graphic>
          </wp:inline>
        </w:drawing>
      </w:r>
    </w:p>
    <w:p w:rsidR="3B4348E7" w:rsidRPr="00722DF4" w:rsidRDefault="3B4348E7" w:rsidP="00722DF4">
      <w:pPr>
        <w:spacing w:after="0"/>
        <w:jc w:val="both"/>
        <w:rPr>
          <w:rFonts w:ascii="Arial" w:hAnsi="Arial" w:cs="Arial"/>
          <w:sz w:val="24"/>
          <w:szCs w:val="24"/>
        </w:rPr>
      </w:pP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Svako mjerenje u toku jednog dana u trajanju od 24 časa je podijeljeno na dnevno, večernje i noćno mjerenje, u skladu sa zakonski definisanim terminima mjerenja.</w:t>
      </w:r>
    </w:p>
    <w:p w:rsidR="3B4348E7" w:rsidRPr="00722DF4" w:rsidRDefault="3B4348E7" w:rsidP="00722DF4">
      <w:pPr>
        <w:spacing w:after="0"/>
        <w:jc w:val="both"/>
        <w:rPr>
          <w:rFonts w:ascii="Arial" w:hAnsi="Arial" w:cs="Arial"/>
          <w:sz w:val="24"/>
          <w:szCs w:val="24"/>
        </w:rPr>
      </w:pPr>
      <w:r w:rsidRPr="00722DF4">
        <w:rPr>
          <w:rFonts w:ascii="Arial" w:hAnsi="Arial" w:cs="Arial"/>
          <w:b/>
          <w:sz w:val="24"/>
          <w:szCs w:val="24"/>
        </w:rPr>
        <w:t xml:space="preserve">Lden </w:t>
      </w:r>
      <w:r w:rsidRPr="00722DF4">
        <w:rPr>
          <w:rFonts w:ascii="Arial" w:hAnsi="Arial" w:cs="Arial"/>
          <w:sz w:val="24"/>
          <w:szCs w:val="24"/>
        </w:rPr>
        <w:t>– ukupni indikator nivoa buke tokom dana, večeri i noći;</w:t>
      </w:r>
    </w:p>
    <w:p w:rsidR="3B4348E7" w:rsidRPr="00722DF4" w:rsidRDefault="3B4348E7" w:rsidP="00722DF4">
      <w:pPr>
        <w:spacing w:after="0"/>
        <w:jc w:val="both"/>
        <w:rPr>
          <w:rFonts w:ascii="Arial" w:hAnsi="Arial" w:cs="Arial"/>
          <w:sz w:val="24"/>
          <w:szCs w:val="24"/>
        </w:rPr>
      </w:pPr>
      <w:r w:rsidRPr="00722DF4">
        <w:rPr>
          <w:rFonts w:ascii="Arial" w:hAnsi="Arial" w:cs="Arial"/>
          <w:b/>
          <w:sz w:val="24"/>
          <w:szCs w:val="24"/>
        </w:rPr>
        <w:t xml:space="preserve">Lday </w:t>
      </w:r>
      <w:r w:rsidRPr="00722DF4">
        <w:rPr>
          <w:rFonts w:ascii="Arial" w:hAnsi="Arial" w:cs="Arial"/>
          <w:sz w:val="24"/>
          <w:szCs w:val="24"/>
        </w:rPr>
        <w:t>– indikator dnevnog nivoa buke i odnosi se na vrijeme od 7 do 19 časova;</w:t>
      </w:r>
    </w:p>
    <w:p w:rsidR="3B4348E7" w:rsidRPr="00722DF4" w:rsidRDefault="3B4348E7" w:rsidP="00722DF4">
      <w:pPr>
        <w:spacing w:after="0"/>
        <w:jc w:val="both"/>
        <w:rPr>
          <w:rFonts w:ascii="Arial" w:hAnsi="Arial" w:cs="Arial"/>
          <w:sz w:val="24"/>
          <w:szCs w:val="24"/>
        </w:rPr>
      </w:pPr>
      <w:r w:rsidRPr="00722DF4">
        <w:rPr>
          <w:rFonts w:ascii="Arial" w:hAnsi="Arial" w:cs="Arial"/>
          <w:b/>
          <w:sz w:val="24"/>
          <w:szCs w:val="24"/>
        </w:rPr>
        <w:t xml:space="preserve">Levening </w:t>
      </w:r>
      <w:r w:rsidRPr="00722DF4">
        <w:rPr>
          <w:rFonts w:ascii="Arial" w:hAnsi="Arial" w:cs="Arial"/>
          <w:sz w:val="24"/>
          <w:szCs w:val="24"/>
        </w:rPr>
        <w:t>– indikator nivoa buke tokom večernjih časova i odnosi se na vrijeme od 19 do 23 časova;</w:t>
      </w:r>
    </w:p>
    <w:p w:rsidR="3B4348E7" w:rsidRPr="00722DF4" w:rsidRDefault="3B4348E7" w:rsidP="00722DF4">
      <w:pPr>
        <w:spacing w:after="0"/>
        <w:jc w:val="both"/>
        <w:rPr>
          <w:rFonts w:ascii="Arial" w:hAnsi="Arial" w:cs="Arial"/>
          <w:sz w:val="24"/>
          <w:szCs w:val="24"/>
        </w:rPr>
      </w:pPr>
      <w:r w:rsidRPr="00722DF4">
        <w:rPr>
          <w:rFonts w:ascii="Arial" w:hAnsi="Arial" w:cs="Arial"/>
          <w:b/>
          <w:sz w:val="24"/>
          <w:szCs w:val="24"/>
        </w:rPr>
        <w:lastRenderedPageBreak/>
        <w:t xml:space="preserve">Lnight </w:t>
      </w:r>
      <w:r w:rsidRPr="00722DF4">
        <w:rPr>
          <w:rFonts w:ascii="Arial" w:hAnsi="Arial" w:cs="Arial"/>
          <w:sz w:val="24"/>
          <w:szCs w:val="24"/>
        </w:rPr>
        <w:t>– indikator noćnog nivoa buke i odnosi se na vrijeme od 23 do 7 časova.</w:t>
      </w:r>
    </w:p>
    <w:p w:rsidR="00F93D16" w:rsidRPr="00722DF4" w:rsidRDefault="00F93D16" w:rsidP="00722DF4">
      <w:pPr>
        <w:spacing w:after="0"/>
        <w:jc w:val="both"/>
        <w:rPr>
          <w:rFonts w:ascii="Arial" w:hAnsi="Arial" w:cs="Arial"/>
          <w:sz w:val="24"/>
          <w:szCs w:val="24"/>
        </w:rPr>
      </w:pP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Mjerenja su vršena u dva ciklusa: prvi ciklus tokom ljetnjeg perioda, i drugi ciklus u jesenjem/zimskom periodu godine.</w:t>
      </w:r>
    </w:p>
    <w:p w:rsidR="00EA6A82" w:rsidRPr="00722DF4" w:rsidRDefault="00EA6A82" w:rsidP="00722DF4">
      <w:pPr>
        <w:spacing w:after="0"/>
        <w:jc w:val="both"/>
        <w:rPr>
          <w:rFonts w:ascii="Arial" w:hAnsi="Arial" w:cs="Arial"/>
          <w:sz w:val="24"/>
          <w:szCs w:val="24"/>
        </w:rPr>
      </w:pP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Za potrebe zoniranja, planiranja zvučne zaštite i ocjenu smetnji od buke u naseljenim mjestima, prema zonama naselja navedenih teritorija, izvršeno je sistemsko mjerenje nivoa</w:t>
      </w:r>
    </w:p>
    <w:p w:rsidR="00F93D16" w:rsidRPr="00722DF4" w:rsidRDefault="3B4348E7" w:rsidP="00722DF4">
      <w:pPr>
        <w:spacing w:after="0"/>
        <w:jc w:val="both"/>
        <w:rPr>
          <w:rFonts w:ascii="Arial" w:hAnsi="Arial" w:cs="Arial"/>
          <w:sz w:val="24"/>
          <w:szCs w:val="24"/>
        </w:rPr>
      </w:pPr>
      <w:r w:rsidRPr="00722DF4">
        <w:rPr>
          <w:rFonts w:ascii="Arial" w:hAnsi="Arial" w:cs="Arial"/>
          <w:sz w:val="24"/>
          <w:szCs w:val="24"/>
        </w:rPr>
        <w:t>zvučnog pritiska i definisanje njegove vremenske zavisnosti na izabranim mjernim lokalitetima.</w:t>
      </w:r>
    </w:p>
    <w:p w:rsidR="00F93D16" w:rsidRPr="00722DF4" w:rsidRDefault="00F93D16" w:rsidP="00722DF4">
      <w:pPr>
        <w:spacing w:after="0"/>
        <w:jc w:val="both"/>
        <w:rPr>
          <w:rFonts w:ascii="Arial" w:hAnsi="Arial" w:cs="Arial"/>
          <w:sz w:val="24"/>
          <w:szCs w:val="24"/>
        </w:rPr>
      </w:pPr>
    </w:p>
    <w:p w:rsidR="3B4348E7" w:rsidRPr="00722DF4" w:rsidRDefault="3B4348E7" w:rsidP="00722DF4">
      <w:pPr>
        <w:spacing w:after="0"/>
        <w:jc w:val="both"/>
        <w:rPr>
          <w:rFonts w:ascii="Arial" w:hAnsi="Arial" w:cs="Arial"/>
          <w:sz w:val="24"/>
          <w:szCs w:val="24"/>
        </w:rPr>
      </w:pPr>
      <w:r w:rsidRPr="00722DF4">
        <w:rPr>
          <w:rFonts w:ascii="Arial" w:hAnsi="Arial" w:cs="Arial"/>
          <w:sz w:val="24"/>
          <w:szCs w:val="24"/>
        </w:rPr>
        <w:t>Analizom rezultata mjerenja u odnosu na podjelu teritorija opština na akustičke zone, zaključuje se sledeće:</w:t>
      </w:r>
    </w:p>
    <w:p w:rsidR="00F93D16" w:rsidRPr="00722DF4" w:rsidRDefault="00F93D16" w:rsidP="00722DF4">
      <w:pPr>
        <w:spacing w:after="0"/>
        <w:jc w:val="both"/>
        <w:rPr>
          <w:rFonts w:ascii="Arial" w:hAnsi="Arial" w:cs="Arial"/>
          <w:sz w:val="24"/>
          <w:szCs w:val="24"/>
        </w:rPr>
      </w:pPr>
    </w:p>
    <w:p w:rsidR="3B4348E7" w:rsidRPr="00722DF4" w:rsidRDefault="3B4348E7" w:rsidP="00663F7F">
      <w:pPr>
        <w:numPr>
          <w:ilvl w:val="0"/>
          <w:numId w:val="17"/>
        </w:numPr>
        <w:spacing w:after="0"/>
        <w:jc w:val="both"/>
        <w:rPr>
          <w:rFonts w:ascii="Arial" w:hAnsi="Arial" w:cs="Arial"/>
          <w:sz w:val="24"/>
          <w:szCs w:val="24"/>
        </w:rPr>
      </w:pPr>
      <w:r w:rsidRPr="00722DF4">
        <w:rPr>
          <w:rFonts w:ascii="Arial" w:hAnsi="Arial" w:cs="Arial"/>
          <w:sz w:val="24"/>
          <w:szCs w:val="24"/>
        </w:rPr>
        <w:t xml:space="preserve">Mješovita zona - </w:t>
      </w:r>
      <w:r w:rsidR="00EA6A82" w:rsidRPr="00722DF4">
        <w:rPr>
          <w:rFonts w:ascii="Arial" w:hAnsi="Arial" w:cs="Arial"/>
          <w:sz w:val="24"/>
          <w:szCs w:val="24"/>
        </w:rPr>
        <w:t>Od 6 mjernih pozicija koje pripadaju mješovitoj zoni, od ukupno 36 indikatora nivoa buke u oba ciklusa, 22 indikatora nivoa buke ne prelaze granične vrijednosti (61%), dok 14 indikatora buke prelaze granične vrijednosti (39%).</w:t>
      </w:r>
    </w:p>
    <w:p w:rsidR="00A743F1" w:rsidRPr="00722DF4" w:rsidRDefault="00A743F1" w:rsidP="00722DF4">
      <w:pPr>
        <w:spacing w:after="0"/>
        <w:jc w:val="both"/>
        <w:rPr>
          <w:rFonts w:ascii="Arial" w:hAnsi="Arial" w:cs="Arial"/>
          <w:sz w:val="24"/>
          <w:szCs w:val="24"/>
        </w:rPr>
      </w:pPr>
    </w:p>
    <w:p w:rsidR="00A743F1" w:rsidRPr="00722DF4" w:rsidRDefault="3B4348E7" w:rsidP="00663F7F">
      <w:pPr>
        <w:numPr>
          <w:ilvl w:val="0"/>
          <w:numId w:val="17"/>
        </w:numPr>
        <w:spacing w:after="0"/>
        <w:jc w:val="both"/>
        <w:rPr>
          <w:rFonts w:ascii="Arial" w:hAnsi="Arial" w:cs="Arial"/>
          <w:sz w:val="24"/>
          <w:szCs w:val="24"/>
        </w:rPr>
      </w:pPr>
      <w:r w:rsidRPr="00722DF4">
        <w:rPr>
          <w:rFonts w:ascii="Arial" w:hAnsi="Arial" w:cs="Arial"/>
          <w:sz w:val="24"/>
          <w:szCs w:val="24"/>
        </w:rPr>
        <w:t xml:space="preserve">Zona pod jakim uticajem buke koja potiče od drumskog saobraćaja - </w:t>
      </w:r>
      <w:r w:rsidR="00EA6A82" w:rsidRPr="00722DF4">
        <w:rPr>
          <w:rFonts w:ascii="Arial" w:hAnsi="Arial" w:cs="Arial"/>
          <w:sz w:val="24"/>
          <w:szCs w:val="24"/>
        </w:rPr>
        <w:t>od ukupno 24 indikatora nivoa buke u oba ciklusa, 23 ne zadovoljavaju granične vrijednosti (96%) dok samo jedna zadovoljava (4%).</w:t>
      </w:r>
    </w:p>
    <w:p w:rsidR="00EA6A82" w:rsidRPr="00722DF4" w:rsidRDefault="00EA6A82" w:rsidP="00722DF4">
      <w:pPr>
        <w:spacing w:after="0"/>
        <w:ind w:left="720"/>
        <w:jc w:val="both"/>
        <w:rPr>
          <w:rFonts w:ascii="Arial" w:hAnsi="Arial" w:cs="Arial"/>
          <w:sz w:val="24"/>
          <w:szCs w:val="24"/>
        </w:rPr>
      </w:pPr>
    </w:p>
    <w:p w:rsidR="00EA6A82" w:rsidRPr="00722DF4" w:rsidRDefault="3B4348E7" w:rsidP="00663F7F">
      <w:pPr>
        <w:numPr>
          <w:ilvl w:val="0"/>
          <w:numId w:val="17"/>
        </w:numPr>
        <w:spacing w:after="0"/>
        <w:jc w:val="both"/>
        <w:rPr>
          <w:rFonts w:ascii="Arial" w:hAnsi="Arial" w:cs="Arial"/>
          <w:sz w:val="24"/>
          <w:szCs w:val="24"/>
        </w:rPr>
      </w:pPr>
      <w:r w:rsidRPr="00722DF4">
        <w:rPr>
          <w:rFonts w:ascii="Arial" w:hAnsi="Arial" w:cs="Arial"/>
          <w:sz w:val="24"/>
          <w:szCs w:val="24"/>
        </w:rPr>
        <w:t>Stambena zona –</w:t>
      </w:r>
      <w:r w:rsidR="00EA6A82" w:rsidRPr="00722DF4">
        <w:rPr>
          <w:rFonts w:ascii="Arial" w:hAnsi="Arial" w:cs="Arial"/>
          <w:sz w:val="24"/>
          <w:szCs w:val="24"/>
        </w:rPr>
        <w:t xml:space="preserve"> od ukupno šest indikatora nivoa buke u oba ciklusa, 2 ne prelaze graničnu vrijednost (33%), dok 4 indikatora nivoa buke prelaze granične vrijednosti (67%)</w:t>
      </w:r>
    </w:p>
    <w:p w:rsidR="3B4348E7" w:rsidRPr="00722DF4" w:rsidRDefault="3B4348E7" w:rsidP="00722DF4">
      <w:pPr>
        <w:spacing w:after="0"/>
        <w:ind w:left="720"/>
        <w:jc w:val="both"/>
        <w:rPr>
          <w:rFonts w:ascii="Arial" w:hAnsi="Arial" w:cs="Arial"/>
          <w:sz w:val="24"/>
          <w:szCs w:val="24"/>
        </w:rPr>
      </w:pPr>
      <w:r w:rsidRPr="00722DF4">
        <w:rPr>
          <w:rFonts w:ascii="Arial" w:hAnsi="Arial" w:cs="Arial"/>
          <w:sz w:val="24"/>
          <w:szCs w:val="24"/>
        </w:rPr>
        <w:t xml:space="preserve"> </w:t>
      </w:r>
    </w:p>
    <w:p w:rsidR="00A953E9" w:rsidRDefault="3B4348E7" w:rsidP="00663F7F">
      <w:pPr>
        <w:numPr>
          <w:ilvl w:val="0"/>
          <w:numId w:val="17"/>
        </w:numPr>
        <w:spacing w:after="0"/>
        <w:jc w:val="both"/>
        <w:rPr>
          <w:rFonts w:ascii="Arial" w:hAnsi="Arial" w:cs="Arial"/>
          <w:sz w:val="24"/>
          <w:szCs w:val="24"/>
        </w:rPr>
      </w:pPr>
      <w:r w:rsidRPr="00722DF4">
        <w:rPr>
          <w:rFonts w:ascii="Arial" w:hAnsi="Arial" w:cs="Arial"/>
          <w:sz w:val="24"/>
          <w:szCs w:val="24"/>
        </w:rPr>
        <w:t>Zona povišenog režima zaštite od buke - svih 6 indikatora buke ne zadovoljavaju granične</w:t>
      </w:r>
      <w:r w:rsidR="00EA6A82" w:rsidRPr="00722DF4">
        <w:rPr>
          <w:rFonts w:ascii="Arial" w:hAnsi="Arial" w:cs="Arial"/>
          <w:sz w:val="24"/>
          <w:szCs w:val="24"/>
        </w:rPr>
        <w:t xml:space="preserve"> vrijednosti</w:t>
      </w:r>
    </w:p>
    <w:p w:rsidR="00D6443E" w:rsidRDefault="00D6443E" w:rsidP="00D6443E">
      <w:pPr>
        <w:spacing w:after="0"/>
        <w:ind w:left="720"/>
        <w:jc w:val="both"/>
        <w:rPr>
          <w:rFonts w:ascii="Arial" w:hAnsi="Arial" w:cs="Arial"/>
          <w:sz w:val="24"/>
          <w:szCs w:val="24"/>
        </w:rPr>
      </w:pPr>
    </w:p>
    <w:p w:rsidR="00D6443E" w:rsidRPr="00722DF4" w:rsidRDefault="00D6443E" w:rsidP="00D6443E">
      <w:pPr>
        <w:spacing w:after="0"/>
        <w:ind w:left="720"/>
        <w:jc w:val="both"/>
        <w:rPr>
          <w:rFonts w:ascii="Arial" w:hAnsi="Arial" w:cs="Arial"/>
          <w:sz w:val="24"/>
          <w:szCs w:val="24"/>
        </w:rPr>
      </w:pPr>
    </w:p>
    <w:p w:rsidR="00C02EDF" w:rsidRPr="00722DF4" w:rsidRDefault="3B4348E7" w:rsidP="00722DF4">
      <w:pPr>
        <w:pStyle w:val="Heading2"/>
        <w:numPr>
          <w:ilvl w:val="0"/>
          <w:numId w:val="0"/>
        </w:numPr>
        <w:spacing w:before="0"/>
        <w:jc w:val="both"/>
        <w:rPr>
          <w:rFonts w:cs="Arial"/>
          <w:szCs w:val="24"/>
        </w:rPr>
      </w:pPr>
      <w:bookmarkStart w:id="41" w:name="_Toc6172830"/>
      <w:r w:rsidRPr="00722DF4">
        <w:rPr>
          <w:rFonts w:cs="Arial"/>
          <w:szCs w:val="24"/>
        </w:rPr>
        <w:t>2.10. Zdravlje ljudi</w:t>
      </w:r>
      <w:bookmarkEnd w:id="41"/>
    </w:p>
    <w:p w:rsidR="00E44C63" w:rsidRPr="00722DF4" w:rsidRDefault="00E44C63" w:rsidP="00722DF4">
      <w:pPr>
        <w:autoSpaceDE w:val="0"/>
        <w:autoSpaceDN w:val="0"/>
        <w:adjustRightInd w:val="0"/>
        <w:spacing w:after="0"/>
        <w:jc w:val="both"/>
        <w:rPr>
          <w:rFonts w:ascii="Arial" w:hAnsi="Arial" w:cs="Arial"/>
          <w:sz w:val="24"/>
          <w:szCs w:val="24"/>
        </w:rPr>
      </w:pPr>
    </w:p>
    <w:p w:rsidR="00EA6A82" w:rsidRPr="00722DF4"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Zdrava populacija je najvažniji resurs društva i svih njegovih segmenata razvoja</w:t>
      </w:r>
      <w:r w:rsidR="00EA6A82" w:rsidRPr="00722DF4">
        <w:rPr>
          <w:rFonts w:ascii="Arial" w:hAnsi="Arial" w:cs="Arial"/>
          <w:sz w:val="24"/>
          <w:szCs w:val="24"/>
        </w:rPr>
        <w:t>,</w:t>
      </w:r>
      <w:r w:rsidRPr="00722DF4">
        <w:rPr>
          <w:rFonts w:ascii="Arial" w:hAnsi="Arial" w:cs="Arial"/>
          <w:sz w:val="24"/>
          <w:szCs w:val="24"/>
        </w:rPr>
        <w:t xml:space="preserve"> budući da doprinosi sveukupnom socijalnom i ekonomskom napretku. Stoga je zdravlju potrebno posvetiti posebnu pažnju i angažovanjem svih društvenih sektora stvoriti uslove za njegovo očuvanje i unapređenje. Principi solidarnosti, univerzalnosti, jednakosti, dostupnosti i kvaliteta čine osnovu za izgradnju održivog i integrisanog sistema zdravstvene zaštite u čijem je centru građanin/ka. Ti su principi ujedno i nosioci socijalno </w:t>
      </w:r>
      <w:r w:rsidRPr="00722DF4">
        <w:rPr>
          <w:rFonts w:ascii="Arial" w:hAnsi="Arial" w:cs="Arial"/>
          <w:sz w:val="24"/>
          <w:szCs w:val="24"/>
        </w:rPr>
        <w:lastRenderedPageBreak/>
        <w:t xml:space="preserve">orijentisanog evropskog sistema zdravstva, kakvom teži i Crna Gora, kao zemlja u procesu EU integracija. Zdravstvenom politikom definisani su sljedeći opšti ciljevi: produženje trajanja života, poboljšanje kvaliteta života u vezi sa zdravljem, smanjenje razlika u zdravlju i osiguranje od finansijskog rizika. </w:t>
      </w:r>
    </w:p>
    <w:p w:rsidR="00EA6A82" w:rsidRPr="00722DF4" w:rsidRDefault="00EA6A82" w:rsidP="00722DF4">
      <w:pPr>
        <w:autoSpaceDE w:val="0"/>
        <w:autoSpaceDN w:val="0"/>
        <w:adjustRightInd w:val="0"/>
        <w:spacing w:after="0"/>
        <w:jc w:val="both"/>
        <w:rPr>
          <w:rFonts w:ascii="Arial" w:hAnsi="Arial" w:cs="Arial"/>
          <w:sz w:val="24"/>
          <w:szCs w:val="24"/>
        </w:rPr>
      </w:pPr>
    </w:p>
    <w:p w:rsidR="00E44C63" w:rsidRPr="00722DF4"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Prema podacima Eurostata za 2013. godinu, u Crnoj Gori je očekivano trajanje života na rođenju 74,1 godina za muškarce i 79,0 godina za žene, što je niže od prosjeka Evropske unije – 77,8 godina za muškarce i 83,3 za žene. Stopa mortaliteta odojčadi, koja je važan pokazatelj zdravstvenog stanja stanovništva i nivoa razvoja zdravstvene zaštite, ali i indikator cjelokupnog društveno-ekonomskog razvoja, iznosila je 4,3 (na 1.000 živorođene djece) u 2015. godini, prema podacima Svjetske banke. Iako je ova stopa među najnižima u regionu, ona je i dalje visoka u odnosu na EU prosjek (3,7). Prema podacima istog izvora, stopa mortaliteta djece do pet godina iznosila je 4,7 (na 1.000 živorođene djece) u 2015. godini, što je takođe više od EU prosjeka (4,4). Podaci o maternalnom mortalitetu za period 2002–2012. godine pokazuju da je zabilježen samo jedan slučaj smrti vezane za trudnoću porođaj i postporođajni period (2007. godine).</w:t>
      </w:r>
    </w:p>
    <w:p w:rsidR="00EA6A82" w:rsidRPr="00722DF4" w:rsidRDefault="00EA6A82" w:rsidP="00722DF4">
      <w:pPr>
        <w:autoSpaceDE w:val="0"/>
        <w:autoSpaceDN w:val="0"/>
        <w:adjustRightInd w:val="0"/>
        <w:spacing w:after="0"/>
        <w:jc w:val="both"/>
        <w:rPr>
          <w:rFonts w:ascii="Arial" w:hAnsi="Arial" w:cs="Arial"/>
          <w:sz w:val="24"/>
          <w:szCs w:val="24"/>
        </w:rPr>
      </w:pPr>
    </w:p>
    <w:p w:rsidR="00E44C63" w:rsidRPr="00722DF4"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Registrovani demografski trend starenja stanovništva ukazuje na potrebu da se populacija starih lica u Crnoj Gori posmatra kao značajan ljudski i društveni resurs, što podrazumijeva napore koji mogu doprinijeti daljem razvoju cijelog društva.</w:t>
      </w:r>
    </w:p>
    <w:p w:rsidR="001A4777" w:rsidRPr="00722DF4" w:rsidRDefault="001A4777" w:rsidP="00722DF4">
      <w:pPr>
        <w:autoSpaceDE w:val="0"/>
        <w:autoSpaceDN w:val="0"/>
        <w:adjustRightInd w:val="0"/>
        <w:spacing w:after="0"/>
        <w:jc w:val="both"/>
        <w:rPr>
          <w:rFonts w:ascii="Arial" w:hAnsi="Arial" w:cs="Arial"/>
          <w:sz w:val="24"/>
          <w:szCs w:val="24"/>
        </w:rPr>
      </w:pPr>
    </w:p>
    <w:p w:rsidR="00AB59F7" w:rsidRPr="00722DF4" w:rsidRDefault="006239DA"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Najčešći uzrok obolijevanja, invalidnosti i prijevremenog umiranja predstavljaju hronične nezarazne bolesti, koje su i glavni „krivac“ za veliki broj potencijalno izgubljenih godina života. </w:t>
      </w:r>
      <w:r w:rsidRPr="00722DF4">
        <w:rPr>
          <w:rStyle w:val="FootnoteReference"/>
          <w:rFonts w:ascii="Arial" w:hAnsi="Arial" w:cs="Arial"/>
          <w:sz w:val="24"/>
          <w:szCs w:val="24"/>
        </w:rPr>
        <w:footnoteReference w:id="13"/>
      </w:r>
      <w:r w:rsidRPr="00722DF4">
        <w:rPr>
          <w:rFonts w:ascii="Arial" w:hAnsi="Arial" w:cs="Arial"/>
          <w:sz w:val="24"/>
          <w:szCs w:val="24"/>
        </w:rPr>
        <w:t xml:space="preserve"> Prema dostupnim podacima o umiranju u Crnoj Gori u periodu 2008–2012. godine, hronične nezarazne bolesti učestvuju u ukupnim uzrocima smrti sa čak 80%, od čega preko 60% čine bolesti sistema krvotoka i tumori. Gotovo kod polovine ukupnog broja umrlih (44,3%) smrt je izazvana bolestima srca i krvnih sudova, a skoro kod četvrtine (23,4%) uzrok su maligni tumori. U više od 10% slučajeva uzrok smrti bio je nepoznat (simptomi, znaci i patološki klinički i laboratorijski nalazi). </w:t>
      </w:r>
      <w:r w:rsidRPr="00722DF4">
        <w:rPr>
          <w:rStyle w:val="FootnoteReference"/>
          <w:rFonts w:ascii="Arial" w:hAnsi="Arial" w:cs="Arial"/>
          <w:sz w:val="24"/>
          <w:szCs w:val="24"/>
        </w:rPr>
        <w:footnoteReference w:id="14"/>
      </w:r>
      <w:r w:rsidRPr="00722DF4">
        <w:rPr>
          <w:rFonts w:ascii="Arial" w:hAnsi="Arial" w:cs="Arial"/>
          <w:sz w:val="24"/>
          <w:szCs w:val="24"/>
        </w:rPr>
        <w:t xml:space="preserve">Ishemijske bolesti srca, cerebrovaskularne bolesti, rak pluća, afektivni poremećaji (unipolarna depresija) i dijabetes predstavljaju hronične nezarazne bolesti koje su odgovorne za skoro dvije trećine ukupnog opterećenja bolešću. Prema podacima o bolničkom liječenju u 2013. godini, bolesti sistema krvotoka na prvom su mjestu u strukturi bolničkog morbiditeta prema otpustima (15,2%), dok drugi po redu razlog hospitalizacije predstavljaju tumori (11,8%).20 Bolesti sistema za disanje te su godine bile na trećem mjestu (11,4%), a bolesti sistema za varenje na četvrtom (10,4%). Naredne, 2014. godine, stopa bolničke </w:t>
      </w:r>
      <w:r w:rsidRPr="00722DF4">
        <w:rPr>
          <w:rFonts w:ascii="Arial" w:hAnsi="Arial" w:cs="Arial"/>
          <w:sz w:val="24"/>
          <w:szCs w:val="24"/>
        </w:rPr>
        <w:lastRenderedPageBreak/>
        <w:t>hospitalizacije iznosila je 134,2 na 1.000 stanovnika. Od 2013. godine u Crnoj Gori postoje registri hroničnih nezaraznih bolesti: maligne neoplazme, dijabetes, akutni koronarni sindrom i cerebrovaskularne bolesti. Potpuniji podaci, koji će obuhvatiti ukupan broj oboljelih od navedenih bolesti, očekuju se u narednom periodu, kao i indikatori koji će se na osnovu registara generisati.</w:t>
      </w:r>
    </w:p>
    <w:p w:rsidR="00AB59F7" w:rsidRPr="00722DF4" w:rsidRDefault="00AB59F7" w:rsidP="00722DF4">
      <w:pPr>
        <w:autoSpaceDE w:val="0"/>
        <w:autoSpaceDN w:val="0"/>
        <w:adjustRightInd w:val="0"/>
        <w:spacing w:after="0"/>
        <w:jc w:val="both"/>
        <w:rPr>
          <w:rFonts w:ascii="Arial" w:hAnsi="Arial" w:cs="Arial"/>
          <w:sz w:val="24"/>
          <w:szCs w:val="24"/>
        </w:rPr>
      </w:pPr>
    </w:p>
    <w:p w:rsidR="00BC4A9E" w:rsidRDefault="3B4348E7"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Pored navedenog, potrebno je posebno naglasiti da do sada nijesu sprovedena sveobuhvatna istraživanja kojima bi se kvalitativno i kvantitativno utvrdila međuzavisnost uticaja zagađenja i stanja zdravlja populacije.</w:t>
      </w:r>
    </w:p>
    <w:p w:rsidR="00D6443E" w:rsidRPr="00722DF4" w:rsidRDefault="00D6443E" w:rsidP="00722DF4">
      <w:pPr>
        <w:autoSpaceDE w:val="0"/>
        <w:autoSpaceDN w:val="0"/>
        <w:adjustRightInd w:val="0"/>
        <w:spacing w:after="0"/>
        <w:jc w:val="both"/>
        <w:rPr>
          <w:rFonts w:ascii="Arial" w:hAnsi="Arial" w:cs="Arial"/>
          <w:sz w:val="24"/>
          <w:szCs w:val="24"/>
        </w:rPr>
      </w:pPr>
    </w:p>
    <w:p w:rsidR="009D6617" w:rsidRDefault="009D6617" w:rsidP="00722DF4">
      <w:pPr>
        <w:pStyle w:val="BodyText"/>
        <w:spacing w:after="0" w:line="276" w:lineRule="auto"/>
        <w:jc w:val="both"/>
        <w:rPr>
          <w:rFonts w:cs="Arial"/>
          <w:sz w:val="24"/>
          <w:szCs w:val="24"/>
        </w:rPr>
      </w:pPr>
    </w:p>
    <w:p w:rsidR="009D6617" w:rsidRDefault="009D6617" w:rsidP="00722DF4">
      <w:pPr>
        <w:pStyle w:val="BodyText"/>
        <w:spacing w:after="0" w:line="276" w:lineRule="auto"/>
        <w:jc w:val="both"/>
        <w:rPr>
          <w:rFonts w:cs="Arial"/>
          <w:sz w:val="24"/>
          <w:szCs w:val="24"/>
        </w:rPr>
      </w:pPr>
    </w:p>
    <w:p w:rsidR="009D6617" w:rsidRPr="00722DF4" w:rsidRDefault="009D6617" w:rsidP="00722DF4">
      <w:pPr>
        <w:pStyle w:val="BodyText"/>
        <w:spacing w:after="0" w:line="276" w:lineRule="auto"/>
        <w:jc w:val="both"/>
        <w:rPr>
          <w:rFonts w:cs="Arial"/>
          <w:sz w:val="24"/>
          <w:szCs w:val="24"/>
        </w:rPr>
      </w:pPr>
    </w:p>
    <w:p w:rsidR="00435E41" w:rsidRPr="00722DF4" w:rsidRDefault="004D7972" w:rsidP="00722DF4">
      <w:pPr>
        <w:pStyle w:val="Heading1"/>
        <w:numPr>
          <w:ilvl w:val="0"/>
          <w:numId w:val="0"/>
        </w:numPr>
        <w:spacing w:before="0"/>
        <w:jc w:val="both"/>
        <w:rPr>
          <w:rFonts w:cs="Arial"/>
          <w:szCs w:val="24"/>
        </w:rPr>
      </w:pPr>
      <w:r>
        <w:rPr>
          <w:rFonts w:cs="Arial"/>
          <w:b w:val="0"/>
          <w:szCs w:val="24"/>
        </w:rPr>
        <w:br w:type="page"/>
      </w:r>
      <w:bookmarkStart w:id="42" w:name="_Toc6172831"/>
      <w:r w:rsidR="3B4348E7" w:rsidRPr="00722DF4">
        <w:rPr>
          <w:rFonts w:cs="Arial"/>
          <w:b w:val="0"/>
          <w:szCs w:val="24"/>
        </w:rPr>
        <w:lastRenderedPageBreak/>
        <w:t xml:space="preserve">3. </w:t>
      </w:r>
      <w:r w:rsidR="3B4348E7" w:rsidRPr="00722DF4">
        <w:rPr>
          <w:rFonts w:cs="Arial"/>
          <w:szCs w:val="24"/>
        </w:rPr>
        <w:t>IDENTIFIKACIJU PODRUČJA ZA KOJA POS</w:t>
      </w:r>
      <w:r w:rsidR="005C01D4" w:rsidRPr="00722DF4">
        <w:rPr>
          <w:rFonts w:cs="Arial"/>
          <w:szCs w:val="24"/>
        </w:rPr>
        <w:t xml:space="preserve">TOJI MOGUĆNOST DA BUDU IZLOŽENE </w:t>
      </w:r>
      <w:r w:rsidR="3B4348E7" w:rsidRPr="00722DF4">
        <w:rPr>
          <w:rFonts w:cs="Arial"/>
          <w:szCs w:val="24"/>
        </w:rPr>
        <w:t>ZNAČAJNOM RIZIKU I KARAKTERISTIKE ŽIVOTNE SREDINE U TIM PODRUČJIMA</w:t>
      </w:r>
      <w:bookmarkEnd w:id="42"/>
    </w:p>
    <w:p w:rsidR="006A492C" w:rsidRPr="00722DF4" w:rsidRDefault="006A492C" w:rsidP="00722DF4">
      <w:pPr>
        <w:autoSpaceDE w:val="0"/>
        <w:autoSpaceDN w:val="0"/>
        <w:adjustRightInd w:val="0"/>
        <w:spacing w:after="0"/>
        <w:jc w:val="both"/>
        <w:rPr>
          <w:rFonts w:ascii="Arial" w:hAnsi="Arial" w:cs="Arial"/>
          <w:sz w:val="24"/>
          <w:szCs w:val="24"/>
        </w:rPr>
      </w:pPr>
    </w:p>
    <w:p w:rsidR="006A492C" w:rsidRDefault="006A492C"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 osnovu sprovedene anlaize u nastavku se izdvajaju područja za koja je prepoznata mogućnost izloženosti značajnom riziku.</w:t>
      </w:r>
    </w:p>
    <w:p w:rsidR="00950A1E" w:rsidRPr="00722DF4" w:rsidRDefault="00950A1E" w:rsidP="00722DF4">
      <w:pPr>
        <w:autoSpaceDE w:val="0"/>
        <w:autoSpaceDN w:val="0"/>
        <w:adjustRightInd w:val="0"/>
        <w:spacing w:after="0"/>
        <w:jc w:val="both"/>
        <w:rPr>
          <w:rFonts w:ascii="Arial" w:hAnsi="Arial" w:cs="Arial"/>
          <w:sz w:val="24"/>
          <w:szCs w:val="24"/>
        </w:rPr>
      </w:pPr>
    </w:p>
    <w:p w:rsidR="00F37B15" w:rsidRDefault="00F37B15"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 slici </w:t>
      </w:r>
      <w:r w:rsidR="009D6617" w:rsidRPr="009D6617">
        <w:rPr>
          <w:rFonts w:ascii="Arial" w:hAnsi="Arial" w:cs="Arial"/>
          <w:sz w:val="24"/>
          <w:szCs w:val="24"/>
        </w:rPr>
        <w:t>3.1.</w:t>
      </w:r>
      <w:r w:rsidRPr="00722DF4">
        <w:rPr>
          <w:rFonts w:ascii="Arial" w:hAnsi="Arial" w:cs="Arial"/>
          <w:sz w:val="24"/>
          <w:szCs w:val="24"/>
        </w:rPr>
        <w:t xml:space="preserve"> prikazana su </w:t>
      </w:r>
      <w:r w:rsidR="006A492C" w:rsidRPr="00722DF4">
        <w:rPr>
          <w:rFonts w:ascii="Arial" w:hAnsi="Arial" w:cs="Arial"/>
          <w:sz w:val="24"/>
          <w:szCs w:val="24"/>
        </w:rPr>
        <w:t xml:space="preserve">područja od značaja za zaštitu sa aspekta međunarodne legislative, kao i postojeća i planirana zaštićena prirodna dobra. Ista se navodi u cilju </w:t>
      </w:r>
      <w:r w:rsidRPr="00722DF4">
        <w:rPr>
          <w:rFonts w:ascii="Arial" w:hAnsi="Arial" w:cs="Arial"/>
          <w:sz w:val="24"/>
          <w:szCs w:val="24"/>
        </w:rPr>
        <w:t>jasnijeg uočavanja mogućih konflikata u prostoru, kada su u pita</w:t>
      </w:r>
      <w:r w:rsidR="004B35BC" w:rsidRPr="00722DF4">
        <w:rPr>
          <w:rFonts w:ascii="Arial" w:hAnsi="Arial" w:cs="Arial"/>
          <w:sz w:val="24"/>
          <w:szCs w:val="24"/>
        </w:rPr>
        <w:t>nju ležišta mineralnih sirovina.  P</w:t>
      </w:r>
      <w:r w:rsidRPr="00722DF4">
        <w:rPr>
          <w:rFonts w:ascii="Arial" w:hAnsi="Arial" w:cs="Arial"/>
          <w:sz w:val="24"/>
          <w:szCs w:val="24"/>
        </w:rPr>
        <w:t>rikazana su najznačajnija ležišta mineralnih sirovina u Crnoj Gori i grubo definisani perspektivni prostori za istraživanje različitih vrsta mineralnih sirovina.</w:t>
      </w:r>
    </w:p>
    <w:p w:rsidR="007806FD" w:rsidRDefault="007806FD" w:rsidP="00722DF4">
      <w:pPr>
        <w:autoSpaceDE w:val="0"/>
        <w:autoSpaceDN w:val="0"/>
        <w:adjustRightInd w:val="0"/>
        <w:spacing w:after="0"/>
        <w:jc w:val="both"/>
        <w:rPr>
          <w:rFonts w:ascii="Arial" w:hAnsi="Arial" w:cs="Arial"/>
          <w:sz w:val="24"/>
          <w:szCs w:val="24"/>
        </w:rPr>
      </w:pPr>
    </w:p>
    <w:p w:rsidR="007806FD" w:rsidRDefault="007806FD" w:rsidP="00722DF4">
      <w:pPr>
        <w:autoSpaceDE w:val="0"/>
        <w:autoSpaceDN w:val="0"/>
        <w:adjustRightInd w:val="0"/>
        <w:spacing w:after="0"/>
        <w:jc w:val="both"/>
        <w:rPr>
          <w:rFonts w:ascii="Arial" w:hAnsi="Arial" w:cs="Arial"/>
          <w:sz w:val="24"/>
          <w:szCs w:val="24"/>
        </w:rPr>
      </w:pPr>
    </w:p>
    <w:p w:rsidR="007806FD" w:rsidRPr="00722DF4" w:rsidRDefault="007806FD" w:rsidP="00722DF4">
      <w:pPr>
        <w:autoSpaceDE w:val="0"/>
        <w:autoSpaceDN w:val="0"/>
        <w:adjustRightInd w:val="0"/>
        <w:spacing w:after="0"/>
        <w:jc w:val="both"/>
        <w:rPr>
          <w:rFonts w:ascii="Arial" w:hAnsi="Arial" w:cs="Arial"/>
          <w:sz w:val="24"/>
          <w:szCs w:val="24"/>
        </w:rPr>
      </w:pPr>
    </w:p>
    <w:p w:rsidR="006A492C" w:rsidRPr="00722DF4" w:rsidRDefault="001210F4" w:rsidP="004D7972">
      <w:pPr>
        <w:autoSpaceDE w:val="0"/>
        <w:autoSpaceDN w:val="0"/>
        <w:adjustRightInd w:val="0"/>
        <w:spacing w:after="0"/>
        <w:jc w:val="center"/>
        <w:rPr>
          <w:rFonts w:ascii="Arial" w:hAnsi="Arial" w:cs="Arial"/>
          <w:sz w:val="24"/>
          <w:szCs w:val="24"/>
        </w:rPr>
      </w:pPr>
      <w:r>
        <w:rPr>
          <w:rFonts w:ascii="Arial" w:hAnsi="Arial" w:cs="Arial"/>
          <w:noProof/>
          <w:sz w:val="24"/>
          <w:szCs w:val="24"/>
        </w:rPr>
        <w:lastRenderedPageBreak/>
        <w:drawing>
          <wp:inline distT="0" distB="0" distL="0" distR="0">
            <wp:extent cx="5458724" cy="7073303"/>
            <wp:effectExtent l="19050" t="0" r="8626" b="0"/>
            <wp:docPr id="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srcRect/>
                    <a:stretch>
                      <a:fillRect/>
                    </a:stretch>
                  </pic:blipFill>
                  <pic:spPr bwMode="auto">
                    <a:xfrm>
                      <a:off x="0" y="0"/>
                      <a:ext cx="5460212" cy="7075231"/>
                    </a:xfrm>
                    <a:prstGeom prst="rect">
                      <a:avLst/>
                    </a:prstGeom>
                    <a:noFill/>
                    <a:ln w="9525">
                      <a:noFill/>
                      <a:miter lim="800000"/>
                      <a:headEnd/>
                      <a:tailEnd/>
                    </a:ln>
                  </pic:spPr>
                </pic:pic>
              </a:graphicData>
            </a:graphic>
          </wp:inline>
        </w:drawing>
      </w:r>
    </w:p>
    <w:p w:rsidR="006A492C" w:rsidRDefault="006A492C" w:rsidP="00722DF4">
      <w:pPr>
        <w:autoSpaceDE w:val="0"/>
        <w:autoSpaceDN w:val="0"/>
        <w:adjustRightInd w:val="0"/>
        <w:spacing w:after="0"/>
        <w:jc w:val="both"/>
        <w:rPr>
          <w:rFonts w:ascii="Arial" w:hAnsi="Arial" w:cs="Arial"/>
          <w:i/>
          <w:iCs/>
        </w:rPr>
      </w:pPr>
      <w:r w:rsidRPr="004D7972">
        <w:rPr>
          <w:rFonts w:ascii="Arial" w:hAnsi="Arial" w:cs="Arial"/>
          <w:b/>
          <w:iCs/>
        </w:rPr>
        <w:t xml:space="preserve">Slika </w:t>
      </w:r>
      <w:r w:rsidR="009D6617" w:rsidRPr="004D7972">
        <w:rPr>
          <w:rFonts w:ascii="Arial" w:hAnsi="Arial" w:cs="Arial"/>
          <w:b/>
          <w:iCs/>
        </w:rPr>
        <w:t>3.1.</w:t>
      </w:r>
      <w:r w:rsidRPr="004D7972">
        <w:rPr>
          <w:rFonts w:ascii="Arial" w:hAnsi="Arial" w:cs="Arial"/>
          <w:i/>
          <w:iCs/>
          <w:color w:val="FF0000"/>
        </w:rPr>
        <w:t xml:space="preserve"> </w:t>
      </w:r>
      <w:r w:rsidRPr="004D7972">
        <w:rPr>
          <w:rFonts w:ascii="Arial" w:hAnsi="Arial" w:cs="Arial"/>
          <w:iCs/>
        </w:rPr>
        <w:t>Zaštićena područja i područja perspektivna za istraživanje ležišta mineralnih sirovina sa lokacijama najznačajnijih ležišta u Crnoj Gori</w:t>
      </w:r>
      <w:r w:rsidRPr="004D7972">
        <w:rPr>
          <w:rFonts w:ascii="Arial" w:hAnsi="Arial" w:cs="Arial"/>
          <w:i/>
          <w:iCs/>
        </w:rPr>
        <w:t xml:space="preserve"> (Radusinović S.,2016- Projekat MINATURA 2020)</w:t>
      </w:r>
    </w:p>
    <w:p w:rsidR="007806FD" w:rsidRPr="004D7972" w:rsidRDefault="007806FD" w:rsidP="00722DF4">
      <w:pPr>
        <w:autoSpaceDE w:val="0"/>
        <w:autoSpaceDN w:val="0"/>
        <w:adjustRightInd w:val="0"/>
        <w:spacing w:after="0"/>
        <w:jc w:val="both"/>
        <w:rPr>
          <w:rFonts w:ascii="Arial" w:hAnsi="Arial" w:cs="Arial"/>
          <w:i/>
          <w:iCs/>
        </w:rPr>
      </w:pPr>
    </w:p>
    <w:p w:rsidR="00F37B15" w:rsidRDefault="00F37B15"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lastRenderedPageBreak/>
        <w:t>Podaci o površinama odobrenih eksploatacionih polja i površinama pod koncesijama za eksploataciju mineralnih sirovina u Crnoj Gori iznose oko 6,5 hiljada ha, što je manje od 0,5 % ukupne površine Crne Gore. Na karti (</w:t>
      </w:r>
      <w:r w:rsidR="009D6617">
        <w:rPr>
          <w:rFonts w:ascii="Arial" w:hAnsi="Arial" w:cs="Arial"/>
          <w:sz w:val="24"/>
          <w:szCs w:val="24"/>
        </w:rPr>
        <w:t>slika 3.1.</w:t>
      </w:r>
      <w:r w:rsidRPr="00722DF4">
        <w:rPr>
          <w:rFonts w:ascii="Arial" w:hAnsi="Arial" w:cs="Arial"/>
          <w:sz w:val="24"/>
          <w:szCs w:val="24"/>
        </w:rPr>
        <w:t>) izdvojeni prostori perspektivni za istraživanje mineralnih sirovina pokrivaju površinu o oko 1.110 km</w:t>
      </w:r>
      <w:r w:rsidRPr="00722DF4">
        <w:rPr>
          <w:rFonts w:ascii="Arial" w:hAnsi="Arial" w:cs="Arial"/>
          <w:sz w:val="24"/>
          <w:szCs w:val="24"/>
          <w:vertAlign w:val="superscript"/>
        </w:rPr>
        <w:t>2</w:t>
      </w:r>
      <w:r w:rsidRPr="00722DF4">
        <w:rPr>
          <w:rFonts w:ascii="Arial" w:hAnsi="Arial" w:cs="Arial"/>
          <w:sz w:val="24"/>
          <w:szCs w:val="24"/>
        </w:rPr>
        <w:t>, odnosno oko 8% ukupne površine Crne Gore.</w:t>
      </w:r>
    </w:p>
    <w:p w:rsidR="009D6617" w:rsidRPr="00722DF4" w:rsidRDefault="009D6617" w:rsidP="00722DF4">
      <w:pPr>
        <w:autoSpaceDE w:val="0"/>
        <w:autoSpaceDN w:val="0"/>
        <w:adjustRightInd w:val="0"/>
        <w:spacing w:after="0"/>
        <w:jc w:val="both"/>
        <w:rPr>
          <w:rFonts w:ascii="Arial" w:hAnsi="Arial" w:cs="Arial"/>
          <w:sz w:val="24"/>
          <w:szCs w:val="24"/>
        </w:rPr>
      </w:pPr>
    </w:p>
    <w:p w:rsidR="00F37B15" w:rsidRDefault="004B35BC"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Na</w:t>
      </w:r>
      <w:r w:rsidR="00C66DA5" w:rsidRPr="00722DF4">
        <w:rPr>
          <w:rFonts w:ascii="Arial" w:hAnsi="Arial" w:cs="Arial"/>
          <w:sz w:val="24"/>
          <w:szCs w:val="24"/>
        </w:rPr>
        <w:t xml:space="preserve"> osnovu analize se može reći da se mogući konfilkt može javiti u rejonu rudnog</w:t>
      </w:r>
      <w:r w:rsidR="00F37B15" w:rsidRPr="00722DF4">
        <w:rPr>
          <w:rFonts w:ascii="Arial" w:hAnsi="Arial" w:cs="Arial"/>
          <w:sz w:val="24"/>
          <w:szCs w:val="24"/>
        </w:rPr>
        <w:t xml:space="preserve"> rejon</w:t>
      </w:r>
      <w:r w:rsidR="00C66DA5" w:rsidRPr="00722DF4">
        <w:rPr>
          <w:rFonts w:ascii="Arial" w:hAnsi="Arial" w:cs="Arial"/>
          <w:sz w:val="24"/>
          <w:szCs w:val="24"/>
        </w:rPr>
        <w:t>a</w:t>
      </w:r>
      <w:r w:rsidR="00F37B15" w:rsidRPr="00722DF4">
        <w:rPr>
          <w:rFonts w:ascii="Arial" w:hAnsi="Arial" w:cs="Arial"/>
          <w:sz w:val="24"/>
          <w:szCs w:val="24"/>
        </w:rPr>
        <w:t xml:space="preserve"> Bjelasice,</w:t>
      </w:r>
      <w:r w:rsidR="001B2D87" w:rsidRPr="00722DF4">
        <w:rPr>
          <w:rFonts w:ascii="Arial" w:hAnsi="Arial" w:cs="Arial"/>
          <w:sz w:val="24"/>
          <w:szCs w:val="24"/>
        </w:rPr>
        <w:t xml:space="preserve"> </w:t>
      </w:r>
      <w:r w:rsidR="00F37B15" w:rsidRPr="00722DF4">
        <w:rPr>
          <w:rFonts w:ascii="Arial" w:hAnsi="Arial" w:cs="Arial"/>
          <w:sz w:val="24"/>
          <w:szCs w:val="24"/>
        </w:rPr>
        <w:t xml:space="preserve">odnosno prostore bivšeg rudnika Brskovo, te rudni rejon Ljubišnje, odnosno širi prostor rudnika Šuplja stijena. Takođe, </w:t>
      </w:r>
      <w:r w:rsidR="001B2D87" w:rsidRPr="00722DF4">
        <w:rPr>
          <w:rFonts w:ascii="Arial" w:hAnsi="Arial" w:cs="Arial"/>
          <w:sz w:val="24"/>
          <w:szCs w:val="24"/>
        </w:rPr>
        <w:t>treba napo</w:t>
      </w:r>
      <w:r w:rsidR="00FD2C88" w:rsidRPr="00722DF4">
        <w:rPr>
          <w:rFonts w:ascii="Arial" w:hAnsi="Arial" w:cs="Arial"/>
          <w:sz w:val="24"/>
          <w:szCs w:val="24"/>
        </w:rPr>
        <w:t xml:space="preserve">menuti </w:t>
      </w:r>
      <w:r w:rsidR="00F37B15" w:rsidRPr="00722DF4">
        <w:rPr>
          <w:rFonts w:ascii="Arial" w:hAnsi="Arial" w:cs="Arial"/>
          <w:sz w:val="24"/>
          <w:szCs w:val="24"/>
        </w:rPr>
        <w:t>na prostoru NP Skadarsko jezero nalaze se značajna ležišta dolomita.</w:t>
      </w:r>
    </w:p>
    <w:p w:rsidR="009D6617" w:rsidRPr="00722DF4" w:rsidRDefault="009D6617" w:rsidP="00722DF4">
      <w:pPr>
        <w:autoSpaceDE w:val="0"/>
        <w:autoSpaceDN w:val="0"/>
        <w:adjustRightInd w:val="0"/>
        <w:spacing w:after="0"/>
        <w:jc w:val="both"/>
        <w:rPr>
          <w:rFonts w:ascii="Arial" w:hAnsi="Arial" w:cs="Arial"/>
          <w:sz w:val="24"/>
          <w:szCs w:val="24"/>
        </w:rPr>
      </w:pPr>
    </w:p>
    <w:p w:rsidR="00FD2C88" w:rsidRDefault="00F37B15"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Ostala značajnija ležišta mineralnih sirovina, kao i perspektivni prostori za dalja istraživanja mineralnih sirovina nalaze se van zaštićenih područja. </w:t>
      </w:r>
    </w:p>
    <w:p w:rsidR="009D6617" w:rsidRPr="00722DF4" w:rsidRDefault="009D6617" w:rsidP="00722DF4">
      <w:pPr>
        <w:autoSpaceDE w:val="0"/>
        <w:autoSpaceDN w:val="0"/>
        <w:adjustRightInd w:val="0"/>
        <w:spacing w:after="0"/>
        <w:jc w:val="both"/>
        <w:rPr>
          <w:rFonts w:ascii="Arial" w:hAnsi="Arial" w:cs="Arial"/>
          <w:sz w:val="24"/>
          <w:szCs w:val="24"/>
        </w:rPr>
      </w:pPr>
    </w:p>
    <w:p w:rsidR="00F37B15" w:rsidRDefault="00FD2C88"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U detaljoj analizi planiranih aktivnosti (poglavlje 6), a u odnosu na vrijedna područja sa aspekta zaštite prirode i navedene lokacije u granicama nacionalnih parkova, daće se konkretan osvrt na veličinu mogućih negativnih uticaja i definisati adekv</w:t>
      </w:r>
      <w:r w:rsidR="00B25E39" w:rsidRPr="00722DF4">
        <w:rPr>
          <w:rFonts w:ascii="Arial" w:hAnsi="Arial" w:cs="Arial"/>
          <w:sz w:val="24"/>
          <w:szCs w:val="24"/>
        </w:rPr>
        <w:t>atne mjere zaštite i dati preporuke za najprihvatljivije varijantno rješenje.</w:t>
      </w:r>
    </w:p>
    <w:p w:rsidR="009D6617" w:rsidRDefault="009D6617" w:rsidP="00722DF4">
      <w:pPr>
        <w:autoSpaceDE w:val="0"/>
        <w:autoSpaceDN w:val="0"/>
        <w:adjustRightInd w:val="0"/>
        <w:spacing w:after="0"/>
        <w:jc w:val="both"/>
        <w:rPr>
          <w:rFonts w:ascii="Arial" w:hAnsi="Arial" w:cs="Arial"/>
          <w:sz w:val="24"/>
          <w:szCs w:val="24"/>
        </w:rPr>
      </w:pPr>
    </w:p>
    <w:p w:rsidR="009D6617" w:rsidRDefault="009D6617" w:rsidP="00722DF4">
      <w:pPr>
        <w:autoSpaceDE w:val="0"/>
        <w:autoSpaceDN w:val="0"/>
        <w:adjustRightInd w:val="0"/>
        <w:spacing w:after="0"/>
        <w:jc w:val="both"/>
        <w:rPr>
          <w:rFonts w:ascii="Arial" w:hAnsi="Arial" w:cs="Arial"/>
          <w:sz w:val="24"/>
          <w:szCs w:val="24"/>
        </w:rPr>
      </w:pPr>
    </w:p>
    <w:p w:rsidR="009D6617" w:rsidRDefault="009D6617" w:rsidP="00722DF4">
      <w:pPr>
        <w:autoSpaceDE w:val="0"/>
        <w:autoSpaceDN w:val="0"/>
        <w:adjustRightInd w:val="0"/>
        <w:spacing w:after="0"/>
        <w:jc w:val="both"/>
        <w:rPr>
          <w:rFonts w:ascii="Arial" w:hAnsi="Arial" w:cs="Arial"/>
          <w:sz w:val="24"/>
          <w:szCs w:val="24"/>
        </w:rPr>
      </w:pPr>
    </w:p>
    <w:p w:rsidR="009D6617" w:rsidRPr="00722DF4" w:rsidRDefault="009D6617" w:rsidP="00722DF4">
      <w:pPr>
        <w:autoSpaceDE w:val="0"/>
        <w:autoSpaceDN w:val="0"/>
        <w:adjustRightInd w:val="0"/>
        <w:spacing w:after="0"/>
        <w:jc w:val="both"/>
        <w:rPr>
          <w:rFonts w:ascii="Arial" w:hAnsi="Arial" w:cs="Arial"/>
          <w:sz w:val="24"/>
          <w:szCs w:val="24"/>
        </w:rPr>
      </w:pPr>
    </w:p>
    <w:p w:rsidR="00891A8E" w:rsidRPr="00722DF4" w:rsidRDefault="3B4348E7" w:rsidP="00722DF4">
      <w:pPr>
        <w:pStyle w:val="Heading1"/>
        <w:numPr>
          <w:ilvl w:val="0"/>
          <w:numId w:val="0"/>
        </w:numPr>
        <w:spacing w:before="0"/>
        <w:jc w:val="both"/>
        <w:rPr>
          <w:rFonts w:cs="Arial"/>
          <w:szCs w:val="24"/>
        </w:rPr>
      </w:pPr>
      <w:bookmarkStart w:id="43" w:name="_Toc6172832"/>
      <w:r w:rsidRPr="00722DF4">
        <w:rPr>
          <w:rFonts w:cs="Arial"/>
          <w:szCs w:val="24"/>
        </w:rPr>
        <w:t>4. POSTOJEĆI PROBLEMI U POGLEDU ŽIVOT</w:t>
      </w:r>
      <w:r w:rsidR="009D21D6" w:rsidRPr="00722DF4">
        <w:rPr>
          <w:rFonts w:cs="Arial"/>
          <w:szCs w:val="24"/>
        </w:rPr>
        <w:t>NE SREDINE U VEZI SA PLANOM</w:t>
      </w:r>
      <w:bookmarkEnd w:id="43"/>
    </w:p>
    <w:p w:rsidR="009C7643" w:rsidRPr="00722DF4" w:rsidRDefault="009C7643" w:rsidP="00722DF4">
      <w:pPr>
        <w:widowControl w:val="0"/>
        <w:autoSpaceDE w:val="0"/>
        <w:autoSpaceDN w:val="0"/>
        <w:spacing w:after="0"/>
        <w:ind w:right="594"/>
        <w:jc w:val="both"/>
        <w:rPr>
          <w:rFonts w:ascii="Arial" w:hAnsi="Arial" w:cs="Arial"/>
          <w:sz w:val="24"/>
          <w:szCs w:val="24"/>
        </w:rPr>
      </w:pPr>
    </w:p>
    <w:p w:rsidR="0052592C" w:rsidRDefault="0052592C" w:rsidP="00722DF4">
      <w:pPr>
        <w:widowControl w:val="0"/>
        <w:autoSpaceDE w:val="0"/>
        <w:autoSpaceDN w:val="0"/>
        <w:spacing w:after="0"/>
        <w:ind w:right="594"/>
        <w:jc w:val="both"/>
        <w:rPr>
          <w:rFonts w:ascii="Arial" w:eastAsia="Arial" w:hAnsi="Arial" w:cs="Arial"/>
          <w:sz w:val="24"/>
          <w:szCs w:val="24"/>
          <w:lang w:bidi="en-US"/>
        </w:rPr>
      </w:pPr>
      <w:r w:rsidRPr="00722DF4">
        <w:rPr>
          <w:rFonts w:ascii="Arial" w:eastAsia="Arial" w:hAnsi="Arial" w:cs="Arial"/>
          <w:sz w:val="24"/>
          <w:szCs w:val="24"/>
          <w:lang w:bidi="en-US"/>
        </w:rPr>
        <w:t>Prije izrade planova, osnova, programa i projekata, shodno Zakonu o zaštiti prirode, nosilac pripremnih poslova na izradi i donošenju plana, osnova, programa i  projekata, odnosno korisnik prirodnih resursa i dobara i zaštićenih prirodnih dobara dužan je da organu uprave nadležnom za poslove zaštite životne sredine podnese zahtjev za izdavanje akta o uslovima zaštite</w:t>
      </w:r>
      <w:r w:rsidRPr="00722DF4">
        <w:rPr>
          <w:rFonts w:ascii="Arial" w:eastAsia="Arial" w:hAnsi="Arial" w:cs="Arial"/>
          <w:spacing w:val="-4"/>
          <w:sz w:val="24"/>
          <w:szCs w:val="24"/>
          <w:lang w:bidi="en-US"/>
        </w:rPr>
        <w:t xml:space="preserve"> </w:t>
      </w:r>
      <w:r w:rsidRPr="00722DF4">
        <w:rPr>
          <w:rFonts w:ascii="Arial" w:eastAsia="Arial" w:hAnsi="Arial" w:cs="Arial"/>
          <w:sz w:val="24"/>
          <w:szCs w:val="24"/>
          <w:lang w:bidi="en-US"/>
        </w:rPr>
        <w:t>prirode.</w:t>
      </w:r>
    </w:p>
    <w:p w:rsidR="009D6617" w:rsidRPr="00722DF4" w:rsidRDefault="009D6617" w:rsidP="00722DF4">
      <w:pPr>
        <w:widowControl w:val="0"/>
        <w:autoSpaceDE w:val="0"/>
        <w:autoSpaceDN w:val="0"/>
        <w:spacing w:after="0"/>
        <w:ind w:right="594"/>
        <w:jc w:val="both"/>
        <w:rPr>
          <w:rFonts w:ascii="Arial" w:eastAsia="Arial" w:hAnsi="Arial" w:cs="Arial"/>
          <w:sz w:val="24"/>
          <w:szCs w:val="24"/>
          <w:lang w:bidi="en-US"/>
        </w:rPr>
      </w:pPr>
    </w:p>
    <w:p w:rsidR="0052592C" w:rsidRPr="00722DF4" w:rsidRDefault="0052592C" w:rsidP="00722DF4">
      <w:pPr>
        <w:widowControl w:val="0"/>
        <w:autoSpaceDE w:val="0"/>
        <w:autoSpaceDN w:val="0"/>
        <w:spacing w:after="0"/>
        <w:ind w:right="596"/>
        <w:jc w:val="both"/>
        <w:rPr>
          <w:rFonts w:ascii="Arial" w:eastAsia="Arial" w:hAnsi="Arial" w:cs="Arial"/>
          <w:sz w:val="24"/>
          <w:szCs w:val="24"/>
          <w:lang w:bidi="en-US"/>
        </w:rPr>
      </w:pPr>
      <w:r w:rsidRPr="00722DF4">
        <w:rPr>
          <w:rFonts w:ascii="Arial" w:eastAsia="Arial" w:hAnsi="Arial" w:cs="Arial"/>
          <w:sz w:val="24"/>
          <w:szCs w:val="24"/>
          <w:lang w:bidi="en-US"/>
        </w:rPr>
        <w:t>Uzimajući u obzi</w:t>
      </w:r>
      <w:r w:rsidR="009D21D6" w:rsidRPr="00722DF4">
        <w:rPr>
          <w:rFonts w:ascii="Arial" w:eastAsia="Arial" w:hAnsi="Arial" w:cs="Arial"/>
          <w:sz w:val="24"/>
          <w:szCs w:val="24"/>
          <w:lang w:bidi="en-US"/>
        </w:rPr>
        <w:t>r sadržaj i glavne ciljeve Plana</w:t>
      </w:r>
      <w:r w:rsidRPr="00722DF4">
        <w:rPr>
          <w:rFonts w:ascii="Arial" w:eastAsia="Arial" w:hAnsi="Arial" w:cs="Arial"/>
          <w:sz w:val="24"/>
          <w:szCs w:val="24"/>
          <w:lang w:bidi="en-US"/>
        </w:rPr>
        <w:t>, te karakteristike i sadašnje stan</w:t>
      </w:r>
      <w:r w:rsidR="009D21D6" w:rsidRPr="00722DF4">
        <w:rPr>
          <w:rFonts w:ascii="Arial" w:eastAsia="Arial" w:hAnsi="Arial" w:cs="Arial"/>
          <w:sz w:val="24"/>
          <w:szCs w:val="24"/>
          <w:lang w:bidi="en-US"/>
        </w:rPr>
        <w:t>je u</w:t>
      </w:r>
      <w:r w:rsidRPr="00722DF4">
        <w:rPr>
          <w:rFonts w:ascii="Arial" w:eastAsia="Arial" w:hAnsi="Arial" w:cs="Arial"/>
          <w:sz w:val="24"/>
          <w:szCs w:val="24"/>
          <w:lang w:bidi="en-US"/>
        </w:rPr>
        <w:t xml:space="preserve"> prostoru, identifikovana su slijedeća sporna pitanja životne sredine koja je treba ocijeniti u postupku strateške procjene uticaja na životnu sredinu:</w:t>
      </w:r>
    </w:p>
    <w:p w:rsidR="0052592C" w:rsidRPr="00722DF4" w:rsidRDefault="0052592C"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Biološka</w:t>
      </w:r>
      <w:r w:rsidRPr="00722DF4">
        <w:rPr>
          <w:rFonts w:ascii="Arial" w:eastAsia="Arial" w:hAnsi="Arial" w:cs="Arial"/>
          <w:spacing w:val="-3"/>
          <w:sz w:val="24"/>
          <w:szCs w:val="24"/>
          <w:lang w:bidi="en-US"/>
        </w:rPr>
        <w:t xml:space="preserve"> </w:t>
      </w:r>
      <w:r w:rsidRPr="00722DF4">
        <w:rPr>
          <w:rFonts w:ascii="Arial" w:eastAsia="Arial" w:hAnsi="Arial" w:cs="Arial"/>
          <w:sz w:val="24"/>
          <w:szCs w:val="24"/>
          <w:lang w:bidi="en-US"/>
        </w:rPr>
        <w:t>raznolikost,</w:t>
      </w:r>
    </w:p>
    <w:p w:rsidR="0052592C" w:rsidRPr="00722DF4" w:rsidRDefault="0052592C"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Smanjenje prirodnih zelenih</w:t>
      </w:r>
      <w:r w:rsidRPr="00722DF4">
        <w:rPr>
          <w:rFonts w:ascii="Arial" w:eastAsia="Arial" w:hAnsi="Arial" w:cs="Arial"/>
          <w:spacing w:val="-3"/>
          <w:sz w:val="24"/>
          <w:szCs w:val="24"/>
          <w:lang w:bidi="en-US"/>
        </w:rPr>
        <w:t xml:space="preserve"> </w:t>
      </w:r>
      <w:r w:rsidRPr="00722DF4">
        <w:rPr>
          <w:rFonts w:ascii="Arial" w:eastAsia="Arial" w:hAnsi="Arial" w:cs="Arial"/>
          <w:sz w:val="24"/>
          <w:szCs w:val="24"/>
          <w:lang w:bidi="en-US"/>
        </w:rPr>
        <w:t>površina,</w:t>
      </w:r>
    </w:p>
    <w:p w:rsidR="0052592C" w:rsidRPr="00722DF4" w:rsidRDefault="0052592C"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Pejzaži,</w:t>
      </w:r>
    </w:p>
    <w:p w:rsidR="0052592C" w:rsidRPr="00722DF4" w:rsidRDefault="0052592C"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Vode,</w:t>
      </w:r>
    </w:p>
    <w:p w:rsidR="0052592C" w:rsidRPr="00722DF4" w:rsidRDefault="0052592C"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Vazduh</w:t>
      </w:r>
    </w:p>
    <w:p w:rsidR="0052592C" w:rsidRPr="00722DF4" w:rsidRDefault="0052592C"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Stvaranje</w:t>
      </w:r>
      <w:r w:rsidRPr="00722DF4">
        <w:rPr>
          <w:rFonts w:ascii="Arial" w:eastAsia="Arial" w:hAnsi="Arial" w:cs="Arial"/>
          <w:spacing w:val="-1"/>
          <w:sz w:val="24"/>
          <w:szCs w:val="24"/>
          <w:lang w:bidi="en-US"/>
        </w:rPr>
        <w:t xml:space="preserve"> </w:t>
      </w:r>
      <w:r w:rsidRPr="00722DF4">
        <w:rPr>
          <w:rFonts w:ascii="Arial" w:eastAsia="Arial" w:hAnsi="Arial" w:cs="Arial"/>
          <w:sz w:val="24"/>
          <w:szCs w:val="24"/>
          <w:lang w:bidi="en-US"/>
        </w:rPr>
        <w:t>otpada.</w:t>
      </w:r>
    </w:p>
    <w:p w:rsidR="0052592C" w:rsidRPr="00722DF4" w:rsidRDefault="0052592C" w:rsidP="00722DF4">
      <w:pPr>
        <w:widowControl w:val="0"/>
        <w:autoSpaceDE w:val="0"/>
        <w:autoSpaceDN w:val="0"/>
        <w:spacing w:after="0"/>
        <w:jc w:val="both"/>
        <w:rPr>
          <w:rFonts w:ascii="Arial" w:eastAsia="Arial" w:hAnsi="Arial" w:cs="Arial"/>
          <w:sz w:val="24"/>
          <w:szCs w:val="24"/>
          <w:lang w:bidi="en-US"/>
        </w:rPr>
      </w:pPr>
    </w:p>
    <w:p w:rsidR="0052592C" w:rsidRDefault="0052592C" w:rsidP="00722DF4">
      <w:pPr>
        <w:widowControl w:val="0"/>
        <w:autoSpaceDE w:val="0"/>
        <w:autoSpaceDN w:val="0"/>
        <w:spacing w:after="0"/>
        <w:ind w:right="591"/>
        <w:jc w:val="both"/>
        <w:rPr>
          <w:rFonts w:ascii="Arial" w:eastAsia="Arial" w:hAnsi="Arial" w:cs="Arial"/>
          <w:sz w:val="24"/>
          <w:szCs w:val="24"/>
          <w:lang w:bidi="en-US"/>
        </w:rPr>
      </w:pPr>
      <w:r w:rsidRPr="009D6617">
        <w:rPr>
          <w:rFonts w:ascii="Arial" w:eastAsia="Arial" w:hAnsi="Arial" w:cs="Arial"/>
          <w:sz w:val="24"/>
          <w:szCs w:val="24"/>
          <w:lang w:bidi="en-US"/>
        </w:rPr>
        <w:t xml:space="preserve">Naime, neplanskom </w:t>
      </w:r>
      <w:r w:rsidR="009D6617" w:rsidRPr="009D6617">
        <w:rPr>
          <w:rFonts w:ascii="Arial" w:eastAsia="Arial" w:hAnsi="Arial" w:cs="Arial"/>
          <w:sz w:val="24"/>
          <w:szCs w:val="24"/>
          <w:lang w:bidi="en-US"/>
        </w:rPr>
        <w:t>gazdovanjem prostorom</w:t>
      </w:r>
      <w:r w:rsidRPr="009D6617">
        <w:rPr>
          <w:rFonts w:ascii="Arial" w:eastAsia="Arial" w:hAnsi="Arial" w:cs="Arial"/>
          <w:sz w:val="24"/>
          <w:szCs w:val="24"/>
          <w:lang w:bidi="en-US"/>
        </w:rPr>
        <w:t xml:space="preserve"> se narušava prirodni i specifični pejzaž nekog područja. </w:t>
      </w:r>
      <w:r w:rsidR="009D6617" w:rsidRPr="009D6617">
        <w:rPr>
          <w:rFonts w:ascii="Arial" w:eastAsia="Arial" w:hAnsi="Arial" w:cs="Arial"/>
          <w:sz w:val="24"/>
          <w:szCs w:val="24"/>
          <w:lang w:bidi="en-US"/>
        </w:rPr>
        <w:t>Otvaranjem novih rudnika</w:t>
      </w:r>
      <w:r w:rsidRPr="009D6617">
        <w:rPr>
          <w:rFonts w:ascii="Arial" w:eastAsia="Arial" w:hAnsi="Arial" w:cs="Arial"/>
          <w:sz w:val="24"/>
          <w:szCs w:val="24"/>
          <w:lang w:bidi="en-US"/>
        </w:rPr>
        <w:t xml:space="preserve"> se uništavaju zelene površine, što na određenim lokalitetima može dovesti do nestanka pojedinih biljnih i životinjskih vrsta i time do smanjenja bioraznolikosti, a dalje i do izmjene pejzaža. Poslovanjem se povećava količina otpadnih voda i čvrstog otpada, koji/e se nekontrolisano odlaže i time zagađuju tlo i vode.</w:t>
      </w:r>
    </w:p>
    <w:p w:rsidR="00950A1E" w:rsidRDefault="00950A1E" w:rsidP="00722DF4">
      <w:pPr>
        <w:widowControl w:val="0"/>
        <w:autoSpaceDE w:val="0"/>
        <w:autoSpaceDN w:val="0"/>
        <w:spacing w:after="0"/>
        <w:ind w:right="591"/>
        <w:jc w:val="both"/>
        <w:rPr>
          <w:rFonts w:ascii="Arial" w:eastAsia="Arial" w:hAnsi="Arial" w:cs="Arial"/>
          <w:sz w:val="24"/>
          <w:szCs w:val="24"/>
          <w:lang w:bidi="en-US"/>
        </w:rPr>
      </w:pPr>
    </w:p>
    <w:p w:rsidR="00950A1E" w:rsidRPr="00950A1E" w:rsidRDefault="00950A1E" w:rsidP="00722DF4">
      <w:pPr>
        <w:widowControl w:val="0"/>
        <w:autoSpaceDE w:val="0"/>
        <w:autoSpaceDN w:val="0"/>
        <w:spacing w:after="0"/>
        <w:ind w:right="591"/>
        <w:jc w:val="both"/>
        <w:rPr>
          <w:rFonts w:ascii="Arial" w:eastAsia="Arial" w:hAnsi="Arial" w:cs="Arial"/>
          <w:sz w:val="24"/>
          <w:szCs w:val="24"/>
          <w:lang w:val="sr-Latn-CS" w:bidi="en-US"/>
        </w:rPr>
      </w:pPr>
      <w:r>
        <w:rPr>
          <w:rFonts w:ascii="Arial" w:eastAsia="Arial" w:hAnsi="Arial" w:cs="Arial"/>
          <w:sz w:val="24"/>
          <w:szCs w:val="24"/>
          <w:lang w:bidi="en-US"/>
        </w:rPr>
        <w:t>Prilikom evaluacije postojeć</w:t>
      </w:r>
      <w:r>
        <w:rPr>
          <w:rFonts w:ascii="Arial" w:eastAsia="Arial" w:hAnsi="Arial" w:cs="Arial"/>
          <w:sz w:val="24"/>
          <w:szCs w:val="24"/>
          <w:lang w:val="sr-Latn-CS" w:bidi="en-US"/>
        </w:rPr>
        <w:t xml:space="preserve">ih problema u životnoj sredini koji su vezi sa Planom eksploatacije mineralnih sirovina, treba istaći činjenicu da se Planom ne predvijdaju otvaranja novih eksploatacionih prostora, već samo eventualna detaljna geološka istraživanja za potrebe utvrđivanja rezervi pojedinih resursa. Izuzetak može biti samo ležište olova i cinka (uslovno i bakra) Brskovo u kojem postoje ovjerene geološke rezerve. U slučaju </w:t>
      </w:r>
      <w:r w:rsidR="001258E2">
        <w:rPr>
          <w:rFonts w:ascii="Arial" w:eastAsia="Arial" w:hAnsi="Arial" w:cs="Arial"/>
          <w:sz w:val="24"/>
          <w:szCs w:val="24"/>
          <w:lang w:val="sr-Latn-CS" w:bidi="en-US"/>
        </w:rPr>
        <w:t xml:space="preserve">eventualnog </w:t>
      </w:r>
      <w:r>
        <w:rPr>
          <w:rFonts w:ascii="Arial" w:eastAsia="Arial" w:hAnsi="Arial" w:cs="Arial"/>
          <w:sz w:val="24"/>
          <w:szCs w:val="24"/>
          <w:lang w:val="sr-Latn-CS" w:bidi="en-US"/>
        </w:rPr>
        <w:t>početka proizvodnje u rudniku Brskovo, može se očekivati da uslovi proizvodnje budu slični kao u postojećem rudniku „Šuplja stijena“</w:t>
      </w:r>
      <w:r w:rsidR="001258E2">
        <w:rPr>
          <w:rFonts w:ascii="Arial" w:eastAsia="Arial" w:hAnsi="Arial" w:cs="Arial"/>
          <w:sz w:val="24"/>
          <w:szCs w:val="24"/>
          <w:lang w:val="sr-Latn-CS" w:bidi="en-US"/>
        </w:rPr>
        <w:t>. Za otpočinjanje proizvodnje metaličnih mineralnih potrebno je obezbjediti dodatne studije zaštite životne sredine u skladu sa zakonskom regulativom. Lokacija flotacijskog jalovišta u slučaju proizvodnje olova i cinka moraju biti definisana.</w:t>
      </w:r>
    </w:p>
    <w:p w:rsidR="00167932" w:rsidRPr="00722DF4" w:rsidRDefault="00167932" w:rsidP="00722DF4">
      <w:pPr>
        <w:pStyle w:val="ColorfulList-Accent11"/>
        <w:spacing w:after="0"/>
        <w:ind w:left="1080"/>
        <w:jc w:val="both"/>
        <w:rPr>
          <w:rFonts w:ascii="Arial" w:hAnsi="Arial" w:cs="Arial"/>
          <w:b/>
          <w:color w:val="1F497D"/>
          <w:sz w:val="24"/>
          <w:szCs w:val="24"/>
        </w:rPr>
      </w:pPr>
    </w:p>
    <w:p w:rsidR="00707B41" w:rsidRDefault="00707B41" w:rsidP="00722DF4">
      <w:pPr>
        <w:pStyle w:val="ColorfulList-Accent11"/>
        <w:spacing w:after="0"/>
        <w:ind w:left="1080"/>
        <w:jc w:val="both"/>
        <w:rPr>
          <w:rFonts w:ascii="Arial" w:hAnsi="Arial" w:cs="Arial"/>
          <w:b/>
          <w:color w:val="1F497D"/>
          <w:sz w:val="24"/>
          <w:szCs w:val="24"/>
        </w:rPr>
      </w:pPr>
    </w:p>
    <w:p w:rsidR="009D6617" w:rsidRPr="00722DF4" w:rsidRDefault="009D6617" w:rsidP="00722DF4">
      <w:pPr>
        <w:pStyle w:val="ColorfulList-Accent11"/>
        <w:spacing w:after="0"/>
        <w:ind w:left="1080"/>
        <w:jc w:val="both"/>
        <w:rPr>
          <w:rFonts w:ascii="Arial" w:hAnsi="Arial" w:cs="Arial"/>
          <w:b/>
          <w:color w:val="1F497D"/>
          <w:sz w:val="24"/>
          <w:szCs w:val="24"/>
        </w:rPr>
      </w:pPr>
    </w:p>
    <w:p w:rsidR="00707B41" w:rsidRPr="00722DF4" w:rsidRDefault="00707B41" w:rsidP="00722DF4">
      <w:pPr>
        <w:pStyle w:val="ColorfulList-Accent11"/>
        <w:spacing w:after="0"/>
        <w:ind w:left="1080"/>
        <w:jc w:val="both"/>
        <w:rPr>
          <w:rFonts w:ascii="Arial" w:hAnsi="Arial" w:cs="Arial"/>
          <w:b/>
          <w:color w:val="1F497D"/>
          <w:sz w:val="24"/>
          <w:szCs w:val="24"/>
        </w:rPr>
      </w:pPr>
    </w:p>
    <w:p w:rsidR="3B4348E7" w:rsidRPr="00722DF4" w:rsidRDefault="008672BF" w:rsidP="00722DF4">
      <w:pPr>
        <w:pStyle w:val="Heading1"/>
        <w:numPr>
          <w:ilvl w:val="0"/>
          <w:numId w:val="0"/>
        </w:numPr>
        <w:spacing w:before="0"/>
        <w:jc w:val="both"/>
        <w:rPr>
          <w:rFonts w:cs="Arial"/>
          <w:szCs w:val="24"/>
        </w:rPr>
      </w:pPr>
      <w:bookmarkStart w:id="44" w:name="_Toc6172833"/>
      <w:r w:rsidRPr="00722DF4">
        <w:rPr>
          <w:rFonts w:cs="Arial"/>
          <w:szCs w:val="24"/>
        </w:rPr>
        <w:t>5. OPŠTI I POSEBNI CILJEVI ZAŠTITE ŽIVOTNE SREDINE</w:t>
      </w:r>
      <w:bookmarkEnd w:id="44"/>
      <w:r w:rsidRPr="00722DF4">
        <w:rPr>
          <w:rFonts w:cs="Arial"/>
          <w:szCs w:val="24"/>
        </w:rPr>
        <w:t xml:space="preserve"> </w:t>
      </w:r>
    </w:p>
    <w:p w:rsidR="3B4348E7" w:rsidRPr="00722DF4" w:rsidRDefault="3B4348E7" w:rsidP="00722DF4">
      <w:pPr>
        <w:spacing w:after="0"/>
        <w:jc w:val="both"/>
        <w:rPr>
          <w:rFonts w:ascii="Arial" w:hAnsi="Arial" w:cs="Arial"/>
          <w:sz w:val="24"/>
          <w:szCs w:val="24"/>
        </w:rPr>
      </w:pPr>
    </w:p>
    <w:p w:rsidR="007C6A96" w:rsidRPr="00722DF4" w:rsidRDefault="007C6A96" w:rsidP="00722DF4">
      <w:pPr>
        <w:spacing w:after="0"/>
        <w:jc w:val="both"/>
        <w:rPr>
          <w:rFonts w:ascii="Arial" w:hAnsi="Arial" w:cs="Arial"/>
          <w:sz w:val="24"/>
          <w:szCs w:val="24"/>
        </w:rPr>
      </w:pPr>
      <w:r w:rsidRPr="00722DF4">
        <w:rPr>
          <w:rFonts w:ascii="Arial" w:hAnsi="Arial" w:cs="Arial"/>
          <w:sz w:val="24"/>
          <w:szCs w:val="24"/>
        </w:rPr>
        <w:t>Cilj izrade strateške procjene uticaja na životnu sredinu je prije svega obezbjeđivanje da pitanja zaštite životne sredine uključujući i zdravlje ljudi budu u potpunosti uzeta u obzir prilikom razvoja, radi obezbjeđivanja održivog razvoja, obezbjeđivanja učešća javnosti, kao i unapređivanja nivoa zaštite zdravlja ljudi i životne sredine.</w:t>
      </w:r>
    </w:p>
    <w:p w:rsidR="007C6A96" w:rsidRPr="00722DF4" w:rsidRDefault="007C6A96" w:rsidP="00722DF4">
      <w:pPr>
        <w:spacing w:after="0"/>
        <w:jc w:val="both"/>
        <w:rPr>
          <w:rFonts w:ascii="Arial" w:hAnsi="Arial" w:cs="Arial"/>
          <w:sz w:val="24"/>
          <w:szCs w:val="24"/>
        </w:rPr>
      </w:pPr>
    </w:p>
    <w:p w:rsidR="009C6C14" w:rsidRPr="00722DF4" w:rsidRDefault="007C6A96" w:rsidP="00722DF4">
      <w:pPr>
        <w:spacing w:after="0"/>
        <w:jc w:val="both"/>
        <w:rPr>
          <w:rFonts w:ascii="Arial" w:hAnsi="Arial" w:cs="Arial"/>
          <w:sz w:val="24"/>
          <w:szCs w:val="24"/>
        </w:rPr>
      </w:pPr>
      <w:r w:rsidRPr="00722DF4">
        <w:rPr>
          <w:rFonts w:ascii="Arial" w:hAnsi="Arial" w:cs="Arial"/>
          <w:sz w:val="24"/>
          <w:szCs w:val="24"/>
        </w:rPr>
        <w:t>Prilikom izrade planova, većina opštih ciljeva vezana je za planska dokumenta višeg reda i uslove koji oni diktiraju, dok se posebni ciljevi definišu za specifičnosti predmetnog plana, konkretno razmatrani prostor, namjenu površina, dominantne djelatnosti koje se odvijaju na posmatranom području, a sve u kontekstu postojećeg stanja životne sredine na prostoru koji je predmet Plana.</w:t>
      </w:r>
    </w:p>
    <w:p w:rsidR="007C6A96" w:rsidRPr="00722DF4" w:rsidRDefault="007C6A96" w:rsidP="00722DF4">
      <w:pPr>
        <w:spacing w:after="0"/>
        <w:jc w:val="both"/>
        <w:rPr>
          <w:rFonts w:ascii="Arial" w:hAnsi="Arial" w:cs="Arial"/>
          <w:sz w:val="24"/>
          <w:szCs w:val="24"/>
        </w:rPr>
      </w:pPr>
    </w:p>
    <w:p w:rsidR="007C6A96" w:rsidRPr="00722DF4" w:rsidRDefault="007C6A96" w:rsidP="00722DF4">
      <w:pPr>
        <w:spacing w:after="0"/>
        <w:jc w:val="both"/>
        <w:rPr>
          <w:rFonts w:ascii="Arial" w:hAnsi="Arial" w:cs="Arial"/>
          <w:sz w:val="24"/>
          <w:szCs w:val="24"/>
        </w:rPr>
      </w:pPr>
      <w:r w:rsidRPr="00722DF4">
        <w:rPr>
          <w:rFonts w:ascii="Arial" w:hAnsi="Arial" w:cs="Arial"/>
          <w:sz w:val="24"/>
          <w:szCs w:val="24"/>
        </w:rPr>
        <w:t>Definisanje strategije i opštih ciljeva zašt</w:t>
      </w:r>
      <w:r w:rsidR="006E17C3" w:rsidRPr="00722DF4">
        <w:rPr>
          <w:rFonts w:ascii="Arial" w:hAnsi="Arial" w:cs="Arial"/>
          <w:sz w:val="24"/>
          <w:szCs w:val="24"/>
        </w:rPr>
        <w:t xml:space="preserve">ite životne sredine na područjima obuhvata </w:t>
      </w:r>
      <w:r w:rsidRPr="00722DF4">
        <w:rPr>
          <w:rFonts w:ascii="Arial" w:hAnsi="Arial" w:cs="Arial"/>
          <w:sz w:val="24"/>
          <w:szCs w:val="24"/>
        </w:rPr>
        <w:t>zasniva se na usvojenim strateškim dokumentima u hijerarhijski višim planovima od kojih su od ključnog značaja: Prostorni plan Crne Gore, Prostorni plan</w:t>
      </w:r>
      <w:r w:rsidR="006E17C3" w:rsidRPr="00722DF4">
        <w:rPr>
          <w:rFonts w:ascii="Arial" w:hAnsi="Arial" w:cs="Arial"/>
          <w:sz w:val="24"/>
          <w:szCs w:val="24"/>
        </w:rPr>
        <w:t>ovi</w:t>
      </w:r>
      <w:r w:rsidRPr="00722DF4">
        <w:rPr>
          <w:rFonts w:ascii="Arial" w:hAnsi="Arial" w:cs="Arial"/>
          <w:sz w:val="24"/>
          <w:szCs w:val="24"/>
        </w:rPr>
        <w:t xml:space="preserve"> područja posebne </w:t>
      </w:r>
      <w:r w:rsidRPr="00722DF4">
        <w:rPr>
          <w:rFonts w:ascii="Arial" w:hAnsi="Arial" w:cs="Arial"/>
          <w:sz w:val="24"/>
          <w:szCs w:val="24"/>
        </w:rPr>
        <w:lastRenderedPageBreak/>
        <w:t>namjene,</w:t>
      </w:r>
      <w:r w:rsidR="006E17C3" w:rsidRPr="00722DF4">
        <w:rPr>
          <w:rFonts w:ascii="Arial" w:hAnsi="Arial" w:cs="Arial"/>
          <w:sz w:val="24"/>
          <w:szCs w:val="24"/>
        </w:rPr>
        <w:t xml:space="preserve"> kao i sva relevantna planska dokumentacija </w:t>
      </w:r>
      <w:r w:rsidRPr="00722DF4">
        <w:rPr>
          <w:rFonts w:ascii="Arial" w:hAnsi="Arial" w:cs="Arial"/>
          <w:sz w:val="24"/>
          <w:szCs w:val="24"/>
        </w:rPr>
        <w:t xml:space="preserve"> </w:t>
      </w:r>
      <w:r w:rsidR="006E17C3" w:rsidRPr="00722DF4">
        <w:rPr>
          <w:rFonts w:ascii="Arial" w:hAnsi="Arial" w:cs="Arial"/>
          <w:sz w:val="24"/>
          <w:szCs w:val="24"/>
        </w:rPr>
        <w:t>u čijem ouhvatu se nalaze sve postojeće i buduće lokacije definisane predmetnim Planom eksploatacije mineralnih sirovina.</w:t>
      </w:r>
    </w:p>
    <w:p w:rsidR="009C6C14" w:rsidRPr="00722DF4" w:rsidRDefault="009C6C14" w:rsidP="00722DF4">
      <w:pPr>
        <w:spacing w:after="0"/>
        <w:jc w:val="both"/>
        <w:rPr>
          <w:rFonts w:ascii="Arial" w:hAnsi="Arial" w:cs="Arial"/>
          <w:sz w:val="24"/>
          <w:szCs w:val="24"/>
        </w:rPr>
      </w:pPr>
    </w:p>
    <w:p w:rsidR="007C6A96" w:rsidRPr="00722DF4" w:rsidRDefault="007C6A96" w:rsidP="009D6617">
      <w:pPr>
        <w:pStyle w:val="Heading2"/>
        <w:numPr>
          <w:ilvl w:val="0"/>
          <w:numId w:val="0"/>
        </w:numPr>
        <w:rPr>
          <w:rFonts w:eastAsia="Cambria,Bold"/>
        </w:rPr>
      </w:pPr>
      <w:bookmarkStart w:id="45" w:name="_Toc6172834"/>
      <w:r w:rsidRPr="00722DF4">
        <w:rPr>
          <w:rFonts w:eastAsia="Cambria,Bold"/>
        </w:rPr>
        <w:t>5.1. Opšti ciljevi zaštite životne sredine</w:t>
      </w:r>
      <w:bookmarkEnd w:id="45"/>
    </w:p>
    <w:p w:rsidR="00FF4F29" w:rsidRPr="00722DF4" w:rsidRDefault="00FF4F29" w:rsidP="00722DF4">
      <w:pPr>
        <w:autoSpaceDE w:val="0"/>
        <w:autoSpaceDN w:val="0"/>
        <w:adjustRightInd w:val="0"/>
        <w:spacing w:after="0"/>
        <w:jc w:val="both"/>
        <w:rPr>
          <w:rFonts w:ascii="Arial" w:eastAsia="Cambria,Bold" w:hAnsi="Arial" w:cs="Arial"/>
          <w:b/>
          <w:bCs/>
          <w:sz w:val="24"/>
          <w:szCs w:val="24"/>
        </w:rPr>
      </w:pPr>
    </w:p>
    <w:p w:rsidR="007C6A96" w:rsidRPr="00722DF4" w:rsidRDefault="007C6A96" w:rsidP="00722DF4">
      <w:pPr>
        <w:autoSpaceDE w:val="0"/>
        <w:autoSpaceDN w:val="0"/>
        <w:adjustRightInd w:val="0"/>
        <w:spacing w:after="0"/>
        <w:jc w:val="both"/>
        <w:rPr>
          <w:rFonts w:ascii="Arial" w:eastAsia="Cambria,Bold" w:hAnsi="Arial" w:cs="Arial"/>
          <w:sz w:val="24"/>
          <w:szCs w:val="24"/>
        </w:rPr>
      </w:pPr>
      <w:r w:rsidRPr="00722DF4">
        <w:rPr>
          <w:rFonts w:ascii="Arial" w:eastAsia="Cambria,Bold" w:hAnsi="Arial" w:cs="Arial"/>
          <w:sz w:val="24"/>
          <w:szCs w:val="24"/>
        </w:rPr>
        <w:t>Strateški ciljevi zaštite životne sredine predstavljaju faktore očuvanja ekološkog integriteta prostora, odnosno racionalnog korišćenja prirodnih resursa i zaštite životne sredine.</w:t>
      </w:r>
    </w:p>
    <w:p w:rsidR="007C6A96" w:rsidRPr="00722DF4" w:rsidRDefault="007C6A96" w:rsidP="00722DF4">
      <w:pPr>
        <w:autoSpaceDE w:val="0"/>
        <w:autoSpaceDN w:val="0"/>
        <w:adjustRightInd w:val="0"/>
        <w:spacing w:after="0"/>
        <w:jc w:val="both"/>
        <w:rPr>
          <w:rFonts w:ascii="Arial" w:eastAsia="Cambria,Bold" w:hAnsi="Arial" w:cs="Arial"/>
          <w:sz w:val="24"/>
          <w:szCs w:val="24"/>
        </w:rPr>
      </w:pPr>
    </w:p>
    <w:p w:rsidR="007C6A96" w:rsidRPr="00722DF4" w:rsidRDefault="007C6A96" w:rsidP="00722DF4">
      <w:pPr>
        <w:autoSpaceDE w:val="0"/>
        <w:autoSpaceDN w:val="0"/>
        <w:adjustRightInd w:val="0"/>
        <w:spacing w:after="0"/>
        <w:jc w:val="both"/>
        <w:rPr>
          <w:rFonts w:ascii="Arial" w:eastAsia="Cambria,Bold" w:hAnsi="Arial" w:cs="Arial"/>
          <w:sz w:val="24"/>
          <w:szCs w:val="24"/>
        </w:rPr>
      </w:pPr>
      <w:r w:rsidRPr="00722DF4">
        <w:rPr>
          <w:rFonts w:ascii="Arial" w:eastAsia="Cambria,Bold" w:hAnsi="Arial" w:cs="Arial"/>
          <w:sz w:val="24"/>
          <w:szCs w:val="24"/>
        </w:rPr>
        <w:t xml:space="preserve">Opšti ciljevi u oblasti zaštite životne sredine – očuvanje kvaliteta životne sredine, kao </w:t>
      </w:r>
      <w:r w:rsidR="006E17C3" w:rsidRPr="00722DF4">
        <w:rPr>
          <w:rFonts w:ascii="Arial" w:eastAsia="Cambria,Bold" w:hAnsi="Arial" w:cs="Arial"/>
          <w:sz w:val="24"/>
          <w:szCs w:val="24"/>
        </w:rPr>
        <w:t>i</w:t>
      </w:r>
      <w:r w:rsidRPr="00722DF4">
        <w:rPr>
          <w:rFonts w:ascii="Arial" w:eastAsia="Cambria,Bold" w:hAnsi="Arial" w:cs="Arial"/>
          <w:sz w:val="24"/>
          <w:szCs w:val="24"/>
        </w:rPr>
        <w:t xml:space="preserve"> očuvanje i unapređenje prirodnih vrijednosti, posebnosti prostora i kulturno-istorijske baštine Crne Gore, definisani su Prostornim planom Crne Gore i Nacionalnom strategijom održivog razvoja Crne Gore.</w:t>
      </w:r>
    </w:p>
    <w:p w:rsidR="007C6A96" w:rsidRPr="00722DF4" w:rsidRDefault="007C6A96" w:rsidP="00722DF4">
      <w:pPr>
        <w:autoSpaceDE w:val="0"/>
        <w:autoSpaceDN w:val="0"/>
        <w:adjustRightInd w:val="0"/>
        <w:spacing w:after="0"/>
        <w:jc w:val="both"/>
        <w:rPr>
          <w:rFonts w:ascii="Arial" w:eastAsia="Cambria,Bold" w:hAnsi="Arial" w:cs="Arial"/>
          <w:sz w:val="24"/>
          <w:szCs w:val="24"/>
        </w:rPr>
      </w:pPr>
    </w:p>
    <w:p w:rsidR="009C6C14" w:rsidRPr="00722DF4" w:rsidRDefault="007C6A96" w:rsidP="00722DF4">
      <w:pPr>
        <w:autoSpaceDE w:val="0"/>
        <w:autoSpaceDN w:val="0"/>
        <w:adjustRightInd w:val="0"/>
        <w:spacing w:after="0"/>
        <w:jc w:val="both"/>
        <w:rPr>
          <w:rFonts w:ascii="Arial" w:eastAsia="Cambria,Bold" w:hAnsi="Arial" w:cs="Arial"/>
          <w:sz w:val="24"/>
          <w:szCs w:val="24"/>
        </w:rPr>
      </w:pPr>
      <w:r w:rsidRPr="00722DF4">
        <w:rPr>
          <w:rFonts w:ascii="Arial" w:eastAsia="Cambria,Bold" w:hAnsi="Arial" w:cs="Arial"/>
          <w:sz w:val="24"/>
          <w:szCs w:val="24"/>
        </w:rPr>
        <w:t>Opšti ciljevi zaštite</w:t>
      </w:r>
      <w:r w:rsidR="00EC4C61" w:rsidRPr="00722DF4">
        <w:rPr>
          <w:rFonts w:ascii="Arial" w:eastAsia="Cambria,Bold" w:hAnsi="Arial" w:cs="Arial"/>
          <w:sz w:val="24"/>
          <w:szCs w:val="24"/>
        </w:rPr>
        <w:t xml:space="preserve"> životne sredine</w:t>
      </w:r>
      <w:r w:rsidRPr="00722DF4">
        <w:rPr>
          <w:rFonts w:ascii="Arial" w:eastAsia="Cambria,Bold" w:hAnsi="Arial" w:cs="Arial"/>
          <w:sz w:val="24"/>
          <w:szCs w:val="24"/>
        </w:rPr>
        <w:t xml:space="preserve"> proističu iz opštih ciljeva zaštite životne sredine definisanih Zakonom o životnoj sredini ("Službeni list Crne Gore", br. 052/16), kao što su očuvanje i zaštita zdravlja ljudi, cjelovitosti, raznovrsnosti I kvaliteta ekosistema, genofonda životinjskih i biljnih vrsta, plodnosti zemljišta, prirodnih ljepota i prostornih vrijednosti, kulturne baštine i dobara koje je stvorio čovjek.</w:t>
      </w:r>
    </w:p>
    <w:p w:rsidR="007C6A96" w:rsidRPr="00722DF4" w:rsidRDefault="007C6A96" w:rsidP="00722DF4">
      <w:pPr>
        <w:autoSpaceDE w:val="0"/>
        <w:autoSpaceDN w:val="0"/>
        <w:adjustRightInd w:val="0"/>
        <w:spacing w:after="0"/>
        <w:jc w:val="both"/>
        <w:rPr>
          <w:rFonts w:ascii="Arial" w:eastAsia="Cambria,Bold" w:hAnsi="Arial" w:cs="Arial"/>
          <w:sz w:val="24"/>
          <w:szCs w:val="24"/>
        </w:rPr>
      </w:pPr>
    </w:p>
    <w:p w:rsidR="007C6A96" w:rsidRPr="00722DF4" w:rsidRDefault="007C6A96" w:rsidP="00722DF4">
      <w:pPr>
        <w:autoSpaceDE w:val="0"/>
        <w:autoSpaceDN w:val="0"/>
        <w:adjustRightInd w:val="0"/>
        <w:spacing w:after="0"/>
        <w:jc w:val="both"/>
        <w:rPr>
          <w:rFonts w:ascii="Arial" w:eastAsia="Cambria,Bold" w:hAnsi="Arial" w:cs="Arial"/>
          <w:sz w:val="24"/>
          <w:szCs w:val="24"/>
        </w:rPr>
      </w:pPr>
      <w:r w:rsidRPr="00722DF4">
        <w:rPr>
          <w:rFonts w:ascii="Arial" w:eastAsia="Cambria,Bold" w:hAnsi="Arial" w:cs="Arial"/>
          <w:sz w:val="24"/>
          <w:szCs w:val="24"/>
        </w:rPr>
        <w:t xml:space="preserve">Ciljevi se odnose na obezbjeđenje uslova za ograničeno, razumno i održivo gazdovanje živom i neživom prirodom, očuvanje ekološke stabilnosti prirode, količine i kvaliteta prirodnih bogatstava i sprječavanje opasnosti i rizika po životnu sredinu. Opšti ciljevi zaštite životne sredne koji su dati u Nacionalnoj strategiji održivog razvoja, su važni za realizaciju </w:t>
      </w:r>
      <w:r w:rsidR="006E17C3" w:rsidRPr="00722DF4">
        <w:rPr>
          <w:rFonts w:ascii="Arial" w:eastAsia="Cambria,Bold" w:hAnsi="Arial" w:cs="Arial"/>
          <w:sz w:val="24"/>
          <w:szCs w:val="24"/>
        </w:rPr>
        <w:t>predmetnog Plana</w:t>
      </w:r>
      <w:r w:rsidRPr="00722DF4">
        <w:rPr>
          <w:rFonts w:ascii="Arial" w:eastAsia="Cambria,Bold" w:hAnsi="Arial" w:cs="Arial"/>
          <w:sz w:val="24"/>
          <w:szCs w:val="24"/>
        </w:rPr>
        <w:t>, među kojima su naročito značajni:</w:t>
      </w:r>
    </w:p>
    <w:p w:rsidR="007C6A96" w:rsidRPr="00722DF4" w:rsidRDefault="007C6A96" w:rsidP="00722DF4">
      <w:pPr>
        <w:autoSpaceDE w:val="0"/>
        <w:autoSpaceDN w:val="0"/>
        <w:adjustRightInd w:val="0"/>
        <w:spacing w:after="0"/>
        <w:jc w:val="both"/>
        <w:rPr>
          <w:rFonts w:ascii="Arial" w:eastAsia="Cambria,Bold" w:hAnsi="Arial" w:cs="Arial"/>
          <w:sz w:val="24"/>
          <w:szCs w:val="24"/>
        </w:rPr>
      </w:pPr>
    </w:p>
    <w:p w:rsidR="007C6A96" w:rsidRPr="00722DF4" w:rsidRDefault="007C6A96" w:rsidP="00663F7F">
      <w:pPr>
        <w:numPr>
          <w:ilvl w:val="0"/>
          <w:numId w:val="24"/>
        </w:numPr>
        <w:autoSpaceDE w:val="0"/>
        <w:autoSpaceDN w:val="0"/>
        <w:adjustRightInd w:val="0"/>
        <w:spacing w:after="0"/>
        <w:jc w:val="both"/>
        <w:rPr>
          <w:rFonts w:ascii="Arial" w:eastAsia="Cambria,Bold" w:hAnsi="Arial" w:cs="Arial"/>
          <w:sz w:val="24"/>
          <w:szCs w:val="24"/>
        </w:rPr>
      </w:pPr>
      <w:r w:rsidRPr="00722DF4">
        <w:rPr>
          <w:rFonts w:ascii="Arial" w:hAnsi="Arial" w:cs="Arial"/>
          <w:sz w:val="24"/>
          <w:szCs w:val="24"/>
        </w:rPr>
        <w:t>uravnotežen i pravičan ekonomski razvoj koji se može održati u dužem</w:t>
      </w:r>
      <w:r w:rsidR="006E17C3" w:rsidRPr="00722DF4">
        <w:rPr>
          <w:rFonts w:ascii="Arial" w:hAnsi="Arial" w:cs="Arial"/>
          <w:sz w:val="24"/>
          <w:szCs w:val="24"/>
        </w:rPr>
        <w:t xml:space="preserve"> </w:t>
      </w:r>
      <w:r w:rsidRPr="00722DF4">
        <w:rPr>
          <w:rFonts w:ascii="Arial" w:hAnsi="Arial" w:cs="Arial"/>
          <w:sz w:val="24"/>
          <w:szCs w:val="24"/>
        </w:rPr>
        <w:t>vremenskom periodu;</w:t>
      </w:r>
    </w:p>
    <w:p w:rsidR="007C6A96" w:rsidRPr="00722DF4"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t>pažljivo upravljanje i očuvanje (u najvećoj mogućoj mjeri) neobnovljivih resursa;</w:t>
      </w:r>
    </w:p>
    <w:p w:rsidR="007C6A96" w:rsidRPr="00722DF4"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t>racionalna/održiva upotreba energije i prirodnih resursa (vode, zemljišta, š</w:t>
      </w:r>
      <w:r w:rsidR="00900C16" w:rsidRPr="00722DF4">
        <w:rPr>
          <w:rFonts w:ascii="Arial" w:hAnsi="Arial" w:cs="Arial"/>
          <w:sz w:val="24"/>
          <w:szCs w:val="24"/>
        </w:rPr>
        <w:t xml:space="preserve">uma, </w:t>
      </w:r>
      <w:r w:rsidRPr="00722DF4">
        <w:rPr>
          <w:rFonts w:ascii="Arial" w:hAnsi="Arial" w:cs="Arial"/>
          <w:sz w:val="24"/>
          <w:szCs w:val="24"/>
        </w:rPr>
        <w:t>itd.);</w:t>
      </w:r>
    </w:p>
    <w:p w:rsidR="007C6A96" w:rsidRPr="00722DF4"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t>minimiziranje otpada, efikasno sprečavanje i kontrola zagađ</w:t>
      </w:r>
      <w:r w:rsidR="00900C16" w:rsidRPr="00722DF4">
        <w:rPr>
          <w:rFonts w:ascii="Arial" w:hAnsi="Arial" w:cs="Arial"/>
          <w:sz w:val="24"/>
          <w:szCs w:val="24"/>
        </w:rPr>
        <w:t xml:space="preserve">enja i minimiziranje </w:t>
      </w:r>
      <w:r w:rsidRPr="00722DF4">
        <w:rPr>
          <w:rFonts w:ascii="Arial" w:hAnsi="Arial" w:cs="Arial"/>
          <w:sz w:val="24"/>
          <w:szCs w:val="24"/>
        </w:rPr>
        <w:t>ekoloških rizika;</w:t>
      </w:r>
    </w:p>
    <w:p w:rsidR="007C6A96" w:rsidRPr="00722DF4"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t>primjena principa predostrožnosti, tj. zahtjeva da se očuva prirodna ravnoteža u okolnostima kada nema pouzdanih informacija o određenom problemu;</w:t>
      </w:r>
    </w:p>
    <w:p w:rsidR="007C6A96" w:rsidRPr="00722DF4"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lastRenderedPageBreak/>
        <w:t>primjena principa ekološke kompenzacije - ako se ne mogu izbjeći negativni efekti na fizičke karakteristike područja sa velikim vrijednostima biološkog diverziteta ili diverziteta prirodnih predjela, onda treba postići balans pomoću mjera zaštite i konzervacije;</w:t>
      </w:r>
    </w:p>
    <w:p w:rsidR="007C6A96" w:rsidRPr="00722DF4"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t>poštovanje ekološkog integriteta - treba zaštiti ekološke procese od kojih zavisi opstanak vrsta, kao i staništa od kojih zavisi njihov opstanak;</w:t>
      </w:r>
    </w:p>
    <w:p w:rsidR="006E17C3" w:rsidRPr="00722DF4"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t>obezbjeđenje restauracije i ponovnog stvaranja/obnavljanja - gdje je to moguće, biodiverzitet i diverzitet prirodnih predjela, treba da bude restauriran ili/I ponovo stvoren, uključujući mjere za rehabilitaciju i reintrodukciju ugroženih vrsta;</w:t>
      </w:r>
    </w:p>
    <w:p w:rsidR="007C6A96" w:rsidRPr="009D6617"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izbor najboljih tehnologija koje su na raspolaganju i najboljih primjera iz prakse </w:t>
      </w:r>
      <w:r w:rsidR="006E17C3" w:rsidRPr="00722DF4">
        <w:rPr>
          <w:rFonts w:ascii="Arial" w:hAnsi="Arial" w:cs="Arial"/>
          <w:sz w:val="24"/>
          <w:szCs w:val="24"/>
        </w:rPr>
        <w:t>za zaštitu životne</w:t>
      </w:r>
      <w:r w:rsidR="009D6617">
        <w:rPr>
          <w:rFonts w:ascii="Arial" w:hAnsi="Arial" w:cs="Arial"/>
          <w:sz w:val="24"/>
          <w:szCs w:val="24"/>
        </w:rPr>
        <w:t xml:space="preserve"> </w:t>
      </w:r>
      <w:r w:rsidRPr="009D6617">
        <w:rPr>
          <w:rFonts w:ascii="Arial" w:hAnsi="Arial" w:cs="Arial"/>
          <w:sz w:val="24"/>
          <w:szCs w:val="24"/>
        </w:rPr>
        <w:t>sredine;</w:t>
      </w:r>
    </w:p>
    <w:p w:rsidR="006E17C3" w:rsidRPr="00722DF4" w:rsidRDefault="007C6A96" w:rsidP="00663F7F">
      <w:pPr>
        <w:numPr>
          <w:ilvl w:val="0"/>
          <w:numId w:val="24"/>
        </w:numPr>
        <w:tabs>
          <w:tab w:val="left" w:pos="142"/>
        </w:tabs>
        <w:autoSpaceDE w:val="0"/>
        <w:autoSpaceDN w:val="0"/>
        <w:adjustRightInd w:val="0"/>
        <w:spacing w:after="0"/>
        <w:jc w:val="both"/>
        <w:rPr>
          <w:rFonts w:ascii="Arial" w:hAnsi="Arial" w:cs="Arial"/>
          <w:sz w:val="24"/>
          <w:szCs w:val="24"/>
        </w:rPr>
      </w:pPr>
      <w:r w:rsidRPr="00722DF4">
        <w:rPr>
          <w:rFonts w:ascii="Arial" w:hAnsi="Arial" w:cs="Arial"/>
          <w:sz w:val="24"/>
          <w:szCs w:val="24"/>
        </w:rPr>
        <w:t>primjena principa pažljivog donošenja odlu</w:t>
      </w:r>
      <w:r w:rsidR="00A30FA2" w:rsidRPr="00722DF4">
        <w:rPr>
          <w:rFonts w:ascii="Arial" w:hAnsi="Arial" w:cs="Arial"/>
          <w:sz w:val="24"/>
          <w:szCs w:val="24"/>
        </w:rPr>
        <w:t xml:space="preserve">ka, na osnovu najboljih mogućih </w:t>
      </w:r>
      <w:r w:rsidR="006E17C3" w:rsidRPr="00722DF4">
        <w:rPr>
          <w:rFonts w:ascii="Arial" w:hAnsi="Arial" w:cs="Arial"/>
          <w:sz w:val="24"/>
          <w:szCs w:val="24"/>
        </w:rPr>
        <w:t>dostupnih informacija</w:t>
      </w:r>
    </w:p>
    <w:p w:rsidR="006E17C3" w:rsidRPr="009D6617" w:rsidRDefault="007C6A96" w:rsidP="00663F7F">
      <w:pPr>
        <w:numPr>
          <w:ilvl w:val="0"/>
          <w:numId w:val="24"/>
        </w:numPr>
        <w:autoSpaceDE w:val="0"/>
        <w:autoSpaceDN w:val="0"/>
        <w:adjustRightInd w:val="0"/>
        <w:spacing w:after="0"/>
        <w:jc w:val="both"/>
        <w:rPr>
          <w:rFonts w:ascii="Arial" w:hAnsi="Arial" w:cs="Arial"/>
          <w:sz w:val="24"/>
          <w:szCs w:val="24"/>
        </w:rPr>
      </w:pPr>
      <w:r w:rsidRPr="00722DF4">
        <w:rPr>
          <w:rFonts w:ascii="Arial" w:hAnsi="Arial" w:cs="Arial"/>
          <w:sz w:val="24"/>
          <w:szCs w:val="24"/>
        </w:rPr>
        <w:t>obezbjeđenje učešća svih zainteresovanih</w:t>
      </w:r>
      <w:r w:rsidR="00A30FA2" w:rsidRPr="00722DF4">
        <w:rPr>
          <w:rFonts w:ascii="Arial" w:hAnsi="Arial" w:cs="Arial"/>
          <w:sz w:val="24"/>
          <w:szCs w:val="24"/>
        </w:rPr>
        <w:t xml:space="preserve"> strana u procese odlučivanja o </w:t>
      </w:r>
      <w:r w:rsidR="006E17C3" w:rsidRPr="00722DF4">
        <w:rPr>
          <w:rFonts w:ascii="Arial" w:hAnsi="Arial" w:cs="Arial"/>
          <w:sz w:val="24"/>
          <w:szCs w:val="24"/>
        </w:rPr>
        <w:t>ključnim pitanjima životn</w:t>
      </w:r>
      <w:r w:rsidR="009D6617">
        <w:rPr>
          <w:rFonts w:ascii="Arial" w:hAnsi="Arial" w:cs="Arial"/>
          <w:sz w:val="24"/>
          <w:szCs w:val="24"/>
        </w:rPr>
        <w:t xml:space="preserve"> </w:t>
      </w:r>
      <w:r w:rsidRPr="009D6617">
        <w:rPr>
          <w:rFonts w:ascii="Arial" w:hAnsi="Arial" w:cs="Arial"/>
          <w:sz w:val="24"/>
          <w:szCs w:val="24"/>
        </w:rPr>
        <w:t>sredine vezanih za projekat (centralne i lokaln</w:t>
      </w:r>
      <w:r w:rsidR="00A30FA2" w:rsidRPr="009D6617">
        <w:rPr>
          <w:rFonts w:ascii="Arial" w:hAnsi="Arial" w:cs="Arial"/>
          <w:sz w:val="24"/>
          <w:szCs w:val="24"/>
        </w:rPr>
        <w:t xml:space="preserve">e vlasti, </w:t>
      </w:r>
      <w:r w:rsidRPr="009D6617">
        <w:rPr>
          <w:rFonts w:ascii="Arial" w:hAnsi="Arial" w:cs="Arial"/>
          <w:sz w:val="24"/>
          <w:szCs w:val="24"/>
        </w:rPr>
        <w:t>nevladine organizacije, privatni/poslovni sekt</w:t>
      </w:r>
      <w:r w:rsidR="00A30FA2" w:rsidRPr="009D6617">
        <w:rPr>
          <w:rFonts w:ascii="Arial" w:hAnsi="Arial" w:cs="Arial"/>
          <w:sz w:val="24"/>
          <w:szCs w:val="24"/>
        </w:rPr>
        <w:t xml:space="preserve">or, profesionalne organizacije, </w:t>
      </w:r>
      <w:r w:rsidRPr="009D6617">
        <w:rPr>
          <w:rFonts w:ascii="Arial" w:hAnsi="Arial" w:cs="Arial"/>
          <w:sz w:val="24"/>
          <w:szCs w:val="24"/>
        </w:rPr>
        <w:t>sindikat), uz izgradnju dijaloga i povjerenja i uz razvoj društvenog kapitala;</w:t>
      </w:r>
      <w:r w:rsidR="006E17C3" w:rsidRPr="009D6617">
        <w:rPr>
          <w:rFonts w:ascii="Arial" w:hAnsi="Arial" w:cs="Arial"/>
          <w:sz w:val="24"/>
          <w:szCs w:val="24"/>
        </w:rPr>
        <w:t xml:space="preserve"> </w:t>
      </w:r>
    </w:p>
    <w:p w:rsidR="009D6617" w:rsidRDefault="007C6A96" w:rsidP="005E3DD6">
      <w:pPr>
        <w:autoSpaceDE w:val="0"/>
        <w:autoSpaceDN w:val="0"/>
        <w:adjustRightInd w:val="0"/>
        <w:spacing w:after="0"/>
        <w:ind w:left="1080"/>
        <w:jc w:val="both"/>
        <w:rPr>
          <w:rFonts w:ascii="Arial" w:hAnsi="Arial" w:cs="Arial"/>
          <w:sz w:val="24"/>
          <w:szCs w:val="24"/>
        </w:rPr>
      </w:pPr>
      <w:r w:rsidRPr="00722DF4">
        <w:rPr>
          <w:rFonts w:ascii="Arial" w:hAnsi="Arial" w:cs="Arial"/>
          <w:sz w:val="24"/>
          <w:szCs w:val="24"/>
        </w:rPr>
        <w:t>zaštita kulturnog identiteta područja.</w:t>
      </w:r>
    </w:p>
    <w:p w:rsidR="00D70F17" w:rsidRDefault="00D70F17" w:rsidP="005E3DD6">
      <w:pPr>
        <w:autoSpaceDE w:val="0"/>
        <w:autoSpaceDN w:val="0"/>
        <w:adjustRightInd w:val="0"/>
        <w:spacing w:after="0"/>
        <w:ind w:left="1080"/>
        <w:jc w:val="both"/>
        <w:rPr>
          <w:rFonts w:ascii="Arial" w:hAnsi="Arial" w:cs="Arial"/>
          <w:sz w:val="24"/>
          <w:szCs w:val="24"/>
        </w:rPr>
      </w:pPr>
    </w:p>
    <w:p w:rsidR="00AA4FD7" w:rsidRDefault="00AA4FD7" w:rsidP="005E3DD6">
      <w:pPr>
        <w:autoSpaceDE w:val="0"/>
        <w:autoSpaceDN w:val="0"/>
        <w:adjustRightInd w:val="0"/>
        <w:spacing w:after="0"/>
        <w:ind w:left="1080"/>
        <w:jc w:val="both"/>
        <w:rPr>
          <w:rFonts w:ascii="Arial" w:hAnsi="Arial" w:cs="Arial"/>
          <w:sz w:val="24"/>
          <w:szCs w:val="24"/>
        </w:rPr>
      </w:pPr>
    </w:p>
    <w:p w:rsidR="008F2173" w:rsidRPr="00AA4FD7" w:rsidRDefault="00D70F17" w:rsidP="00800EE4">
      <w:pPr>
        <w:shd w:val="clear" w:color="auto" w:fill="FFFFFF"/>
        <w:autoSpaceDE w:val="0"/>
        <w:autoSpaceDN w:val="0"/>
        <w:adjustRightInd w:val="0"/>
        <w:spacing w:after="0"/>
        <w:jc w:val="both"/>
        <w:rPr>
          <w:rFonts w:ascii="Arial" w:hAnsi="Arial" w:cs="Arial"/>
          <w:b/>
          <w:sz w:val="24"/>
          <w:szCs w:val="24"/>
        </w:rPr>
      </w:pPr>
      <w:r w:rsidRPr="00AA4FD7">
        <w:rPr>
          <w:rFonts w:ascii="Arial" w:hAnsi="Arial" w:cs="Arial"/>
          <w:b/>
          <w:sz w:val="24"/>
          <w:szCs w:val="24"/>
        </w:rPr>
        <w:t>5.2. Posebni ciljevi životne sredine</w:t>
      </w:r>
    </w:p>
    <w:p w:rsidR="006E17C3" w:rsidRPr="00AA4FD7" w:rsidRDefault="006E17C3" w:rsidP="00800EE4">
      <w:pPr>
        <w:shd w:val="clear" w:color="auto" w:fill="FFFFFF"/>
        <w:autoSpaceDE w:val="0"/>
        <w:autoSpaceDN w:val="0"/>
        <w:adjustRightInd w:val="0"/>
        <w:spacing w:before="120" w:after="120" w:line="240" w:lineRule="auto"/>
        <w:jc w:val="both"/>
        <w:rPr>
          <w:rFonts w:ascii="Arial" w:hAnsi="Arial" w:cs="Arial"/>
          <w:sz w:val="24"/>
          <w:szCs w:val="24"/>
        </w:rPr>
      </w:pPr>
    </w:p>
    <w:p w:rsidR="00D22168" w:rsidRPr="00AA4FD7" w:rsidRDefault="00D22168" w:rsidP="00663F7F">
      <w:pPr>
        <w:numPr>
          <w:ilvl w:val="0"/>
          <w:numId w:val="33"/>
        </w:numPr>
        <w:shd w:val="clear" w:color="auto" w:fill="FFFFFF"/>
        <w:autoSpaceDE w:val="0"/>
        <w:autoSpaceDN w:val="0"/>
        <w:adjustRightInd w:val="0"/>
        <w:spacing w:before="120" w:after="120" w:line="240" w:lineRule="auto"/>
        <w:ind w:left="1080"/>
        <w:jc w:val="both"/>
        <w:rPr>
          <w:rFonts w:ascii="Arial" w:hAnsi="Arial" w:cs="Arial"/>
          <w:b/>
          <w:sz w:val="24"/>
          <w:szCs w:val="24"/>
        </w:rPr>
      </w:pPr>
      <w:r w:rsidRPr="00AA4FD7">
        <w:rPr>
          <w:rFonts w:ascii="Arial" w:hAnsi="Arial" w:cs="Arial"/>
          <w:b/>
          <w:sz w:val="24"/>
          <w:szCs w:val="24"/>
        </w:rPr>
        <w:t>Zaštita vazduha</w:t>
      </w:r>
    </w:p>
    <w:p w:rsidR="00D22168" w:rsidRPr="00AA4FD7" w:rsidRDefault="00D22168" w:rsidP="00663F7F">
      <w:pPr>
        <w:numPr>
          <w:ilvl w:val="0"/>
          <w:numId w:val="35"/>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Smanjenje emesije štetnih materija u vazduh u područjima obihvata eksploatacijskih lokacija</w:t>
      </w:r>
      <w:r w:rsidR="00AA4FD7" w:rsidRPr="00AA4FD7">
        <w:rPr>
          <w:rFonts w:ascii="Arial" w:hAnsi="Arial" w:cs="Arial"/>
          <w:sz w:val="24"/>
          <w:szCs w:val="24"/>
        </w:rPr>
        <w:t>.</w:t>
      </w:r>
    </w:p>
    <w:p w:rsidR="00D22168" w:rsidRPr="00AA4FD7" w:rsidRDefault="00D22168" w:rsidP="00663F7F">
      <w:pPr>
        <w:numPr>
          <w:ilvl w:val="0"/>
          <w:numId w:val="33"/>
        </w:numPr>
        <w:shd w:val="clear" w:color="auto" w:fill="FFFFFF"/>
        <w:autoSpaceDE w:val="0"/>
        <w:autoSpaceDN w:val="0"/>
        <w:adjustRightInd w:val="0"/>
        <w:spacing w:before="120" w:after="120" w:line="240" w:lineRule="auto"/>
        <w:ind w:left="1080"/>
        <w:jc w:val="both"/>
        <w:rPr>
          <w:rFonts w:ascii="Arial" w:hAnsi="Arial" w:cs="Arial"/>
          <w:b/>
          <w:sz w:val="24"/>
          <w:szCs w:val="24"/>
        </w:rPr>
      </w:pPr>
      <w:r w:rsidRPr="00AA4FD7">
        <w:rPr>
          <w:rFonts w:ascii="Arial" w:hAnsi="Arial" w:cs="Arial"/>
          <w:b/>
          <w:sz w:val="24"/>
          <w:szCs w:val="24"/>
        </w:rPr>
        <w:t xml:space="preserve">Zaštita voda </w:t>
      </w:r>
      <w:r w:rsidR="00E968D5" w:rsidRPr="00AA4FD7">
        <w:rPr>
          <w:rFonts w:ascii="Arial" w:hAnsi="Arial" w:cs="Arial"/>
          <w:b/>
          <w:sz w:val="24"/>
          <w:szCs w:val="24"/>
        </w:rPr>
        <w:t>i</w:t>
      </w:r>
      <w:r w:rsidRPr="00AA4FD7">
        <w:rPr>
          <w:rFonts w:ascii="Arial" w:hAnsi="Arial" w:cs="Arial"/>
          <w:b/>
          <w:sz w:val="24"/>
          <w:szCs w:val="24"/>
        </w:rPr>
        <w:t xml:space="preserve"> zemljišta </w:t>
      </w:r>
    </w:p>
    <w:p w:rsidR="00D22168" w:rsidRPr="00AA4FD7" w:rsidRDefault="00AA4FD7" w:rsidP="00663F7F">
      <w:pPr>
        <w:numPr>
          <w:ilvl w:val="0"/>
          <w:numId w:val="35"/>
        </w:numPr>
        <w:shd w:val="clear" w:color="auto" w:fill="FFFFFF"/>
        <w:autoSpaceDE w:val="0"/>
        <w:autoSpaceDN w:val="0"/>
        <w:adjustRightInd w:val="0"/>
        <w:spacing w:before="120" w:after="120" w:line="240" w:lineRule="auto"/>
        <w:ind w:left="1080"/>
        <w:jc w:val="both"/>
        <w:rPr>
          <w:rFonts w:ascii="Arial" w:hAnsi="Arial" w:cs="Arial"/>
          <w:b/>
          <w:sz w:val="24"/>
          <w:szCs w:val="24"/>
        </w:rPr>
      </w:pPr>
      <w:r w:rsidRPr="00AA4FD7">
        <w:rPr>
          <w:rFonts w:ascii="Arial" w:hAnsi="Arial" w:cs="Arial"/>
          <w:sz w:val="24"/>
          <w:szCs w:val="24"/>
        </w:rPr>
        <w:t>U</w:t>
      </w:r>
      <w:r w:rsidR="00D22168" w:rsidRPr="00AA4FD7">
        <w:rPr>
          <w:rFonts w:ascii="Arial" w:hAnsi="Arial" w:cs="Arial"/>
          <w:sz w:val="24"/>
          <w:szCs w:val="24"/>
        </w:rPr>
        <w:t xml:space="preserve">naprijeđenje рада </w:t>
      </w:r>
      <w:r w:rsidRPr="00AA4FD7">
        <w:rPr>
          <w:rFonts w:ascii="Arial" w:hAnsi="Arial" w:cs="Arial"/>
          <w:sz w:val="24"/>
          <w:szCs w:val="24"/>
        </w:rPr>
        <w:t xml:space="preserve">nadležnih službi za kontrolu otpadnih voda </w:t>
      </w:r>
      <w:r w:rsidR="00D22168" w:rsidRPr="00AA4FD7">
        <w:rPr>
          <w:rFonts w:ascii="Arial" w:hAnsi="Arial" w:cs="Arial"/>
          <w:sz w:val="24"/>
          <w:szCs w:val="24"/>
        </w:rPr>
        <w:t>postrojenja</w:t>
      </w:r>
      <w:r w:rsidRPr="00AA4FD7">
        <w:rPr>
          <w:rFonts w:ascii="Arial" w:hAnsi="Arial" w:cs="Arial"/>
          <w:sz w:val="24"/>
          <w:szCs w:val="24"/>
        </w:rPr>
        <w:t>.</w:t>
      </w:r>
    </w:p>
    <w:p w:rsidR="00D22168" w:rsidRPr="00AA4FD7" w:rsidRDefault="00D22168" w:rsidP="00663F7F">
      <w:pPr>
        <w:numPr>
          <w:ilvl w:val="0"/>
          <w:numId w:val="35"/>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Izgradnja kanalizacije gdje ne</w:t>
      </w:r>
      <w:r w:rsidR="00AA4FD7" w:rsidRPr="00AA4FD7">
        <w:rPr>
          <w:rFonts w:ascii="Arial" w:hAnsi="Arial" w:cs="Arial"/>
          <w:sz w:val="24"/>
          <w:szCs w:val="24"/>
        </w:rPr>
        <w:t xml:space="preserve"> </w:t>
      </w:r>
      <w:r w:rsidRPr="00AA4FD7">
        <w:rPr>
          <w:rFonts w:ascii="Arial" w:hAnsi="Arial" w:cs="Arial"/>
          <w:sz w:val="24"/>
          <w:szCs w:val="24"/>
        </w:rPr>
        <w:t>postoji</w:t>
      </w:r>
      <w:r w:rsidR="00AA4FD7" w:rsidRPr="00AA4FD7">
        <w:rPr>
          <w:rFonts w:ascii="Arial" w:hAnsi="Arial" w:cs="Arial"/>
          <w:sz w:val="24"/>
          <w:szCs w:val="24"/>
        </w:rPr>
        <w:t>.</w:t>
      </w:r>
    </w:p>
    <w:p w:rsidR="00D22168" w:rsidRPr="00AA4FD7" w:rsidRDefault="00AA4FD7" w:rsidP="00663F7F">
      <w:pPr>
        <w:numPr>
          <w:ilvl w:val="0"/>
          <w:numId w:val="35"/>
        </w:numPr>
        <w:shd w:val="clear" w:color="auto" w:fill="FFFFFF"/>
        <w:autoSpaceDE w:val="0"/>
        <w:autoSpaceDN w:val="0"/>
        <w:adjustRightInd w:val="0"/>
        <w:spacing w:before="120" w:after="120" w:line="240" w:lineRule="auto"/>
        <w:ind w:left="1080"/>
        <w:jc w:val="both"/>
        <w:rPr>
          <w:rFonts w:ascii="Arial" w:hAnsi="Arial" w:cs="Arial"/>
          <w:b/>
          <w:sz w:val="24"/>
          <w:szCs w:val="24"/>
        </w:rPr>
      </w:pPr>
      <w:r w:rsidRPr="00AA4FD7">
        <w:rPr>
          <w:rFonts w:ascii="Arial" w:hAnsi="Arial" w:cs="Arial"/>
          <w:sz w:val="24"/>
          <w:szCs w:val="24"/>
        </w:rPr>
        <w:t>Rekultivac</w:t>
      </w:r>
      <w:r w:rsidR="00D22168" w:rsidRPr="00AA4FD7">
        <w:rPr>
          <w:rFonts w:ascii="Arial" w:hAnsi="Arial" w:cs="Arial"/>
          <w:sz w:val="24"/>
          <w:szCs w:val="24"/>
        </w:rPr>
        <w:t>ija degradiranog zemljišta</w:t>
      </w:r>
      <w:r w:rsidRPr="00AA4FD7">
        <w:rPr>
          <w:rFonts w:ascii="Arial" w:hAnsi="Arial" w:cs="Arial"/>
          <w:sz w:val="24"/>
          <w:szCs w:val="24"/>
        </w:rPr>
        <w:t>.</w:t>
      </w:r>
      <w:r w:rsidR="00D22168" w:rsidRPr="00AA4FD7">
        <w:rPr>
          <w:rFonts w:ascii="Arial" w:hAnsi="Arial" w:cs="Arial"/>
          <w:sz w:val="24"/>
          <w:szCs w:val="24"/>
        </w:rPr>
        <w:t xml:space="preserve"> </w:t>
      </w:r>
    </w:p>
    <w:p w:rsidR="00D22168" w:rsidRPr="00AA4FD7" w:rsidRDefault="00D22168" w:rsidP="00663F7F">
      <w:pPr>
        <w:numPr>
          <w:ilvl w:val="0"/>
          <w:numId w:val="33"/>
        </w:numPr>
        <w:shd w:val="clear" w:color="auto" w:fill="FFFFFF"/>
        <w:autoSpaceDE w:val="0"/>
        <w:autoSpaceDN w:val="0"/>
        <w:adjustRightInd w:val="0"/>
        <w:spacing w:before="120" w:after="120" w:line="240" w:lineRule="auto"/>
        <w:ind w:left="1080"/>
        <w:jc w:val="both"/>
        <w:rPr>
          <w:rFonts w:ascii="Arial" w:hAnsi="Arial" w:cs="Arial"/>
          <w:b/>
          <w:sz w:val="24"/>
          <w:szCs w:val="24"/>
        </w:rPr>
      </w:pPr>
      <w:r w:rsidRPr="00AA4FD7">
        <w:rPr>
          <w:rFonts w:ascii="Arial" w:hAnsi="Arial" w:cs="Arial"/>
          <w:b/>
          <w:sz w:val="24"/>
          <w:szCs w:val="24"/>
        </w:rPr>
        <w:t>Otpad</w:t>
      </w:r>
    </w:p>
    <w:p w:rsidR="00AA3174" w:rsidRPr="00AA4FD7" w:rsidRDefault="00D22168" w:rsidP="00663F7F">
      <w:pPr>
        <w:numPr>
          <w:ilvl w:val="0"/>
          <w:numId w:val="34"/>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Poboljšanje kvaliteta života i sprečavanje nastanka divljih deponija u eksploatacionim podrurčijima i njihovoj bližoj okolini</w:t>
      </w:r>
      <w:r w:rsidR="00AA4FD7" w:rsidRPr="00AA4FD7">
        <w:rPr>
          <w:rFonts w:ascii="Arial" w:hAnsi="Arial" w:cs="Arial"/>
          <w:sz w:val="24"/>
          <w:szCs w:val="24"/>
        </w:rPr>
        <w:t>.</w:t>
      </w:r>
      <w:r w:rsidRPr="00AA4FD7">
        <w:rPr>
          <w:rFonts w:ascii="Arial" w:hAnsi="Arial" w:cs="Arial"/>
          <w:sz w:val="24"/>
          <w:szCs w:val="24"/>
        </w:rPr>
        <w:t xml:space="preserve"> </w:t>
      </w:r>
    </w:p>
    <w:p w:rsidR="00AA3174" w:rsidRPr="00AA4FD7" w:rsidRDefault="00AA3174" w:rsidP="00663F7F">
      <w:pPr>
        <w:numPr>
          <w:ilvl w:val="0"/>
          <w:numId w:val="34"/>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Zatvaranje</w:t>
      </w:r>
      <w:r w:rsidR="00D22168" w:rsidRPr="00AA4FD7">
        <w:rPr>
          <w:rFonts w:ascii="Arial" w:hAnsi="Arial" w:cs="Arial"/>
          <w:sz w:val="24"/>
          <w:szCs w:val="24"/>
        </w:rPr>
        <w:t xml:space="preserve">, </w:t>
      </w:r>
      <w:r w:rsidRPr="00AA4FD7">
        <w:rPr>
          <w:rFonts w:ascii="Arial" w:hAnsi="Arial" w:cs="Arial"/>
          <w:sz w:val="24"/>
          <w:szCs w:val="24"/>
        </w:rPr>
        <w:t xml:space="preserve">sanacija </w:t>
      </w:r>
      <w:r w:rsidR="00AA4FD7" w:rsidRPr="00AA4FD7">
        <w:rPr>
          <w:rFonts w:ascii="Arial" w:hAnsi="Arial" w:cs="Arial"/>
          <w:sz w:val="24"/>
          <w:szCs w:val="24"/>
        </w:rPr>
        <w:t>i</w:t>
      </w:r>
      <w:r w:rsidRPr="00AA4FD7">
        <w:rPr>
          <w:rFonts w:ascii="Arial" w:hAnsi="Arial" w:cs="Arial"/>
          <w:sz w:val="24"/>
          <w:szCs w:val="24"/>
        </w:rPr>
        <w:t xml:space="preserve"> rekultivacija postojećih deponija</w:t>
      </w:r>
      <w:r w:rsidR="00AA4FD7" w:rsidRPr="00AA4FD7">
        <w:rPr>
          <w:rFonts w:ascii="Arial" w:hAnsi="Arial" w:cs="Arial"/>
          <w:sz w:val="24"/>
          <w:szCs w:val="24"/>
        </w:rPr>
        <w:t>.</w:t>
      </w:r>
      <w:r w:rsidR="00D22168" w:rsidRPr="00AA4FD7">
        <w:rPr>
          <w:rFonts w:ascii="Arial" w:hAnsi="Arial" w:cs="Arial"/>
          <w:sz w:val="24"/>
          <w:szCs w:val="24"/>
        </w:rPr>
        <w:t xml:space="preserve"> </w:t>
      </w:r>
    </w:p>
    <w:p w:rsidR="007B4DDA" w:rsidRPr="00AA4FD7" w:rsidRDefault="007B4DDA" w:rsidP="00663F7F">
      <w:pPr>
        <w:numPr>
          <w:ilvl w:val="0"/>
          <w:numId w:val="33"/>
        </w:numPr>
        <w:shd w:val="clear" w:color="auto" w:fill="FFFFFF"/>
        <w:autoSpaceDE w:val="0"/>
        <w:autoSpaceDN w:val="0"/>
        <w:adjustRightInd w:val="0"/>
        <w:spacing w:before="120" w:after="120" w:line="240" w:lineRule="auto"/>
        <w:ind w:left="1080"/>
        <w:jc w:val="both"/>
        <w:rPr>
          <w:rFonts w:ascii="Arial" w:hAnsi="Arial" w:cs="Arial"/>
          <w:b/>
          <w:sz w:val="24"/>
          <w:szCs w:val="24"/>
        </w:rPr>
      </w:pPr>
      <w:r w:rsidRPr="00AA4FD7">
        <w:rPr>
          <w:rFonts w:ascii="Arial" w:hAnsi="Arial" w:cs="Arial"/>
          <w:b/>
          <w:sz w:val="24"/>
          <w:szCs w:val="24"/>
        </w:rPr>
        <w:t>Kulturno – istorijsko nasleđe</w:t>
      </w:r>
    </w:p>
    <w:p w:rsidR="007B4DDA" w:rsidRPr="00AA4FD7" w:rsidRDefault="00AA4FD7" w:rsidP="00663F7F">
      <w:pPr>
        <w:numPr>
          <w:ilvl w:val="0"/>
          <w:numId w:val="36"/>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lastRenderedPageBreak/>
        <w:t>Dosledno sprovođenje m</w:t>
      </w:r>
      <w:r w:rsidR="008B671F" w:rsidRPr="00AA4FD7">
        <w:rPr>
          <w:rFonts w:ascii="Arial" w:hAnsi="Arial" w:cs="Arial"/>
          <w:sz w:val="24"/>
          <w:szCs w:val="24"/>
        </w:rPr>
        <w:t xml:space="preserve">jera na čuvanju </w:t>
      </w:r>
      <w:r w:rsidRPr="00AA4FD7">
        <w:rPr>
          <w:rFonts w:ascii="Arial" w:hAnsi="Arial" w:cs="Arial"/>
          <w:sz w:val="24"/>
          <w:szCs w:val="24"/>
        </w:rPr>
        <w:t>i</w:t>
      </w:r>
      <w:r w:rsidR="008B671F" w:rsidRPr="00AA4FD7">
        <w:rPr>
          <w:rFonts w:ascii="Arial" w:hAnsi="Arial" w:cs="Arial"/>
          <w:sz w:val="24"/>
          <w:szCs w:val="24"/>
        </w:rPr>
        <w:t xml:space="preserve"> tekućem održavanju spomenika</w:t>
      </w:r>
      <w:r w:rsidRPr="00AA4FD7">
        <w:rPr>
          <w:rFonts w:ascii="Arial" w:hAnsi="Arial" w:cs="Arial"/>
          <w:sz w:val="24"/>
          <w:szCs w:val="24"/>
        </w:rPr>
        <w:t xml:space="preserve"> kulture kulturno-istorijskih c</w:t>
      </w:r>
      <w:r w:rsidR="008B671F" w:rsidRPr="00AA4FD7">
        <w:rPr>
          <w:rFonts w:ascii="Arial" w:hAnsi="Arial" w:cs="Arial"/>
          <w:sz w:val="24"/>
          <w:szCs w:val="24"/>
        </w:rPr>
        <w:t xml:space="preserve">jelina, arheoloških nalazišta </w:t>
      </w:r>
      <w:r w:rsidRPr="00AA4FD7">
        <w:rPr>
          <w:rFonts w:ascii="Arial" w:hAnsi="Arial" w:cs="Arial"/>
          <w:sz w:val="24"/>
          <w:szCs w:val="24"/>
        </w:rPr>
        <w:t>i</w:t>
      </w:r>
      <w:r w:rsidR="008B671F" w:rsidRPr="00AA4FD7">
        <w:rPr>
          <w:rFonts w:ascii="Arial" w:hAnsi="Arial" w:cs="Arial"/>
          <w:sz w:val="24"/>
          <w:szCs w:val="24"/>
        </w:rPr>
        <w:t xml:space="preserve"> sl.</w:t>
      </w:r>
    </w:p>
    <w:p w:rsidR="008B671F" w:rsidRPr="00AA4FD7" w:rsidRDefault="008B671F" w:rsidP="00663F7F">
      <w:pPr>
        <w:numPr>
          <w:ilvl w:val="0"/>
          <w:numId w:val="33"/>
        </w:numPr>
        <w:shd w:val="clear" w:color="auto" w:fill="FFFFFF"/>
        <w:autoSpaceDE w:val="0"/>
        <w:autoSpaceDN w:val="0"/>
        <w:adjustRightInd w:val="0"/>
        <w:spacing w:before="120" w:after="120" w:line="240" w:lineRule="auto"/>
        <w:ind w:left="1080"/>
        <w:jc w:val="both"/>
        <w:rPr>
          <w:rFonts w:ascii="Arial" w:hAnsi="Arial" w:cs="Arial"/>
          <w:b/>
          <w:sz w:val="24"/>
          <w:szCs w:val="24"/>
        </w:rPr>
      </w:pPr>
      <w:r w:rsidRPr="00AA4FD7">
        <w:rPr>
          <w:rFonts w:ascii="Arial" w:hAnsi="Arial" w:cs="Arial"/>
          <w:b/>
          <w:sz w:val="24"/>
          <w:szCs w:val="24"/>
        </w:rPr>
        <w:t xml:space="preserve">Stanovništvo </w:t>
      </w:r>
      <w:r w:rsidR="00AA4FD7" w:rsidRPr="00AA4FD7">
        <w:rPr>
          <w:rFonts w:ascii="Arial" w:hAnsi="Arial" w:cs="Arial"/>
          <w:b/>
          <w:sz w:val="24"/>
          <w:szCs w:val="24"/>
        </w:rPr>
        <w:t>i</w:t>
      </w:r>
      <w:r w:rsidRPr="00AA4FD7">
        <w:rPr>
          <w:rFonts w:ascii="Arial" w:hAnsi="Arial" w:cs="Arial"/>
          <w:b/>
          <w:sz w:val="24"/>
          <w:szCs w:val="24"/>
        </w:rPr>
        <w:t xml:space="preserve"> ljudsko zdravlje</w:t>
      </w:r>
    </w:p>
    <w:p w:rsidR="008B671F" w:rsidRPr="00AA4FD7" w:rsidRDefault="008B671F" w:rsidP="00663F7F">
      <w:pPr>
        <w:numPr>
          <w:ilvl w:val="0"/>
          <w:numId w:val="36"/>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 xml:space="preserve">Obezbjediti uslove za održavanje </w:t>
      </w:r>
      <w:r w:rsidR="00AA4FD7" w:rsidRPr="00AA4FD7">
        <w:rPr>
          <w:rFonts w:ascii="Arial" w:hAnsi="Arial" w:cs="Arial"/>
          <w:sz w:val="24"/>
          <w:szCs w:val="24"/>
        </w:rPr>
        <w:t>i</w:t>
      </w:r>
      <w:r w:rsidRPr="00AA4FD7">
        <w:rPr>
          <w:rFonts w:ascii="Arial" w:hAnsi="Arial" w:cs="Arial"/>
          <w:sz w:val="24"/>
          <w:szCs w:val="24"/>
        </w:rPr>
        <w:t xml:space="preserve"> unaprijeđenje zdravlja ljudi</w:t>
      </w:r>
      <w:r w:rsidR="00AA4FD7" w:rsidRPr="00AA4FD7">
        <w:rPr>
          <w:rFonts w:ascii="Arial" w:hAnsi="Arial" w:cs="Arial"/>
          <w:sz w:val="24"/>
          <w:szCs w:val="24"/>
        </w:rPr>
        <w:t>.</w:t>
      </w:r>
      <w:r w:rsidRPr="00AA4FD7">
        <w:rPr>
          <w:rFonts w:ascii="Arial" w:hAnsi="Arial" w:cs="Arial"/>
          <w:sz w:val="24"/>
          <w:szCs w:val="24"/>
        </w:rPr>
        <w:t xml:space="preserve"> </w:t>
      </w:r>
    </w:p>
    <w:p w:rsidR="008B671F" w:rsidRPr="00AA4FD7" w:rsidRDefault="008B671F" w:rsidP="00663F7F">
      <w:pPr>
        <w:numPr>
          <w:ilvl w:val="0"/>
          <w:numId w:val="36"/>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Definisati sisteme za prečišćavanje vode i vazduha</w:t>
      </w:r>
      <w:r w:rsidR="00AA4FD7" w:rsidRPr="00AA4FD7">
        <w:rPr>
          <w:rFonts w:ascii="Arial" w:hAnsi="Arial" w:cs="Arial"/>
          <w:sz w:val="24"/>
          <w:szCs w:val="24"/>
        </w:rPr>
        <w:t>.</w:t>
      </w:r>
    </w:p>
    <w:p w:rsidR="008B671F" w:rsidRPr="00AA4FD7" w:rsidRDefault="008B671F" w:rsidP="00663F7F">
      <w:pPr>
        <w:numPr>
          <w:ilvl w:val="0"/>
          <w:numId w:val="36"/>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 xml:space="preserve">Smanjenje nivoa buke i štetnih emisija </w:t>
      </w:r>
      <w:r w:rsidR="005C63D4" w:rsidRPr="00AA4FD7">
        <w:rPr>
          <w:rFonts w:ascii="Arial" w:hAnsi="Arial" w:cs="Arial"/>
          <w:sz w:val="24"/>
          <w:szCs w:val="24"/>
        </w:rPr>
        <w:t>u vazduh</w:t>
      </w:r>
      <w:r w:rsidR="00AA4FD7" w:rsidRPr="00AA4FD7">
        <w:rPr>
          <w:rFonts w:ascii="Arial" w:hAnsi="Arial" w:cs="Arial"/>
          <w:sz w:val="24"/>
          <w:szCs w:val="24"/>
        </w:rPr>
        <w:t>.</w:t>
      </w:r>
    </w:p>
    <w:p w:rsidR="006C51D1" w:rsidRPr="00AA4FD7" w:rsidRDefault="006C51D1" w:rsidP="00663F7F">
      <w:pPr>
        <w:numPr>
          <w:ilvl w:val="0"/>
          <w:numId w:val="33"/>
        </w:numPr>
        <w:shd w:val="clear" w:color="auto" w:fill="FFFFFF"/>
        <w:autoSpaceDE w:val="0"/>
        <w:autoSpaceDN w:val="0"/>
        <w:adjustRightInd w:val="0"/>
        <w:spacing w:before="120" w:after="120" w:line="240" w:lineRule="auto"/>
        <w:ind w:left="1080"/>
        <w:jc w:val="both"/>
        <w:rPr>
          <w:rFonts w:ascii="Arial" w:hAnsi="Arial" w:cs="Arial"/>
          <w:b/>
          <w:sz w:val="24"/>
          <w:szCs w:val="24"/>
        </w:rPr>
      </w:pPr>
      <w:r w:rsidRPr="00AA4FD7">
        <w:rPr>
          <w:rFonts w:ascii="Arial" w:hAnsi="Arial" w:cs="Arial"/>
          <w:b/>
          <w:sz w:val="24"/>
          <w:szCs w:val="24"/>
        </w:rPr>
        <w:t xml:space="preserve">Jačanje institucionlni i zakonskih okvira </w:t>
      </w:r>
    </w:p>
    <w:p w:rsidR="006C51D1" w:rsidRPr="00AA4FD7" w:rsidRDefault="006C51D1" w:rsidP="00663F7F">
      <w:pPr>
        <w:numPr>
          <w:ilvl w:val="0"/>
          <w:numId w:val="37"/>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 xml:space="preserve">Obezbjediti adekvatnu promjenu postojeće zakonske regulative </w:t>
      </w:r>
      <w:r w:rsidR="009548EA" w:rsidRPr="00AA4FD7">
        <w:rPr>
          <w:rFonts w:ascii="Arial" w:hAnsi="Arial" w:cs="Arial"/>
          <w:sz w:val="24"/>
          <w:szCs w:val="24"/>
        </w:rPr>
        <w:t>i</w:t>
      </w:r>
      <w:r w:rsidRPr="00AA4FD7">
        <w:rPr>
          <w:rFonts w:ascii="Arial" w:hAnsi="Arial" w:cs="Arial"/>
          <w:sz w:val="24"/>
          <w:szCs w:val="24"/>
        </w:rPr>
        <w:t xml:space="preserve"> priprema nove</w:t>
      </w:r>
      <w:r w:rsidR="00AA4FD7">
        <w:rPr>
          <w:rFonts w:ascii="Arial" w:hAnsi="Arial" w:cs="Arial"/>
          <w:sz w:val="24"/>
          <w:szCs w:val="24"/>
        </w:rPr>
        <w:t>.</w:t>
      </w:r>
    </w:p>
    <w:p w:rsidR="006C51D1" w:rsidRPr="00AA4FD7" w:rsidRDefault="009548EA" w:rsidP="00663F7F">
      <w:pPr>
        <w:numPr>
          <w:ilvl w:val="0"/>
          <w:numId w:val="37"/>
        </w:numPr>
        <w:shd w:val="clear" w:color="auto" w:fill="FFFFFF"/>
        <w:autoSpaceDE w:val="0"/>
        <w:autoSpaceDN w:val="0"/>
        <w:adjustRightInd w:val="0"/>
        <w:spacing w:before="120" w:after="120" w:line="240" w:lineRule="auto"/>
        <w:ind w:left="1080"/>
        <w:jc w:val="both"/>
        <w:rPr>
          <w:rFonts w:ascii="Arial" w:hAnsi="Arial" w:cs="Arial"/>
          <w:sz w:val="24"/>
          <w:szCs w:val="24"/>
        </w:rPr>
      </w:pPr>
      <w:r w:rsidRPr="00AA4FD7">
        <w:rPr>
          <w:rFonts w:ascii="Arial" w:hAnsi="Arial" w:cs="Arial"/>
          <w:sz w:val="24"/>
          <w:szCs w:val="24"/>
        </w:rPr>
        <w:t xml:space="preserve">Izrada planske </w:t>
      </w:r>
      <w:r w:rsidR="00AA4FD7">
        <w:rPr>
          <w:rFonts w:ascii="Arial" w:hAnsi="Arial" w:cs="Arial"/>
          <w:sz w:val="24"/>
          <w:szCs w:val="24"/>
        </w:rPr>
        <w:t>i</w:t>
      </w:r>
      <w:r w:rsidRPr="00AA4FD7">
        <w:rPr>
          <w:rFonts w:ascii="Arial" w:hAnsi="Arial" w:cs="Arial"/>
          <w:sz w:val="24"/>
          <w:szCs w:val="24"/>
        </w:rPr>
        <w:t xml:space="preserve"> r</w:t>
      </w:r>
      <w:r w:rsidR="00AA4FD7">
        <w:rPr>
          <w:rFonts w:ascii="Arial" w:hAnsi="Arial" w:cs="Arial"/>
          <w:sz w:val="24"/>
          <w:szCs w:val="24"/>
        </w:rPr>
        <w:t>e</w:t>
      </w:r>
      <w:r w:rsidRPr="00AA4FD7">
        <w:rPr>
          <w:rFonts w:ascii="Arial" w:hAnsi="Arial" w:cs="Arial"/>
          <w:sz w:val="24"/>
          <w:szCs w:val="24"/>
        </w:rPr>
        <w:t xml:space="preserve">pojektne dokumentacije u skladu sa </w:t>
      </w:r>
      <w:r w:rsidR="008A5543" w:rsidRPr="00AA4FD7">
        <w:rPr>
          <w:rFonts w:ascii="Arial" w:hAnsi="Arial" w:cs="Arial"/>
          <w:sz w:val="24"/>
          <w:szCs w:val="24"/>
        </w:rPr>
        <w:t>zakonskom regulativom iz oblasti životne sredine i sa inkorporiranim kriterijumima iste.</w:t>
      </w:r>
    </w:p>
    <w:p w:rsidR="008A5543" w:rsidRPr="0051037F" w:rsidRDefault="008A5543" w:rsidP="006C51D1">
      <w:pPr>
        <w:autoSpaceDE w:val="0"/>
        <w:autoSpaceDN w:val="0"/>
        <w:adjustRightInd w:val="0"/>
        <w:spacing w:after="0"/>
        <w:jc w:val="both"/>
        <w:rPr>
          <w:rFonts w:ascii="Arial" w:hAnsi="Arial" w:cs="Arial"/>
          <w:color w:val="FF0000"/>
        </w:rPr>
      </w:pPr>
    </w:p>
    <w:p w:rsidR="006C51D1" w:rsidRPr="006C51D1" w:rsidRDefault="006C51D1" w:rsidP="008A5543">
      <w:pPr>
        <w:autoSpaceDE w:val="0"/>
        <w:autoSpaceDN w:val="0"/>
        <w:adjustRightInd w:val="0"/>
        <w:spacing w:after="0"/>
        <w:ind w:left="720"/>
        <w:jc w:val="both"/>
        <w:rPr>
          <w:rFonts w:ascii="Arial" w:hAnsi="Arial" w:cs="Arial"/>
          <w:b/>
        </w:rPr>
      </w:pPr>
    </w:p>
    <w:p w:rsidR="001C73C1" w:rsidRPr="00722DF4" w:rsidRDefault="004D7972" w:rsidP="00722DF4">
      <w:pPr>
        <w:pStyle w:val="Heading1"/>
        <w:numPr>
          <w:ilvl w:val="0"/>
          <w:numId w:val="0"/>
        </w:numPr>
        <w:spacing w:before="0"/>
        <w:jc w:val="both"/>
        <w:rPr>
          <w:rFonts w:cs="Arial"/>
          <w:szCs w:val="24"/>
        </w:rPr>
      </w:pPr>
      <w:r>
        <w:rPr>
          <w:rFonts w:cs="Arial"/>
          <w:szCs w:val="24"/>
        </w:rPr>
        <w:br w:type="page"/>
      </w:r>
      <w:bookmarkStart w:id="46" w:name="_Toc6172835"/>
      <w:r w:rsidR="00B85B88" w:rsidRPr="00722DF4">
        <w:rPr>
          <w:rFonts w:cs="Arial"/>
          <w:szCs w:val="24"/>
        </w:rPr>
        <w:lastRenderedPageBreak/>
        <w:t>6. MOGUĆE ZNAČAJNE POSLJEDICE PO ZDRAVLJE LJUDI I ŽIVOTNU SREDINU, UKLJUČUJUĆI FAKTORE KAO ŠTO SU: BIOLOŠKA RAZNOVRSNOST, STANOVNIŠTVO, FAUNA, FLORA, ZEMLJIŠTE, VODA, VAZDUH, KLIMATSKI ČINIOCI KOJI UTIČU NA KLIMATSKE PROMJENE, MATERIJALNI RESURSI, KULTURNO NASLEĐE, UKLJUČUJUĆI ARHITEKTONSKO I ARHEOLOŠKO NASLEĐE, PEJZAŽ I MEĐUSOBNI ODNOS OVIH FAKTORA</w:t>
      </w:r>
      <w:bookmarkEnd w:id="46"/>
    </w:p>
    <w:p w:rsidR="00707B41" w:rsidRPr="00722DF4" w:rsidRDefault="00707B41" w:rsidP="00722DF4">
      <w:pPr>
        <w:spacing w:after="0"/>
        <w:jc w:val="both"/>
        <w:rPr>
          <w:rFonts w:ascii="Arial" w:hAnsi="Arial" w:cs="Arial"/>
          <w:sz w:val="24"/>
          <w:szCs w:val="24"/>
        </w:rPr>
      </w:pPr>
    </w:p>
    <w:p w:rsidR="00C94068" w:rsidRPr="00722DF4" w:rsidRDefault="002132A7" w:rsidP="00663F7F">
      <w:pPr>
        <w:pStyle w:val="Heading2"/>
        <w:numPr>
          <w:ilvl w:val="1"/>
          <w:numId w:val="13"/>
        </w:numPr>
        <w:spacing w:before="0"/>
        <w:jc w:val="both"/>
        <w:rPr>
          <w:rFonts w:cs="Arial"/>
          <w:szCs w:val="24"/>
        </w:rPr>
      </w:pPr>
      <w:bookmarkStart w:id="47" w:name="_Toc6172836"/>
      <w:r w:rsidRPr="00722DF4">
        <w:rPr>
          <w:rFonts w:cs="Arial"/>
          <w:szCs w:val="24"/>
        </w:rPr>
        <w:t>Identifikovani očekivani uticaji</w:t>
      </w:r>
      <w:bookmarkEnd w:id="47"/>
    </w:p>
    <w:p w:rsidR="00C94068" w:rsidRPr="00722DF4" w:rsidRDefault="00C94068" w:rsidP="00722DF4">
      <w:pPr>
        <w:spacing w:after="0"/>
        <w:jc w:val="both"/>
        <w:rPr>
          <w:rFonts w:ascii="Arial" w:hAnsi="Arial" w:cs="Arial"/>
          <w:sz w:val="24"/>
          <w:szCs w:val="24"/>
        </w:rPr>
      </w:pPr>
    </w:p>
    <w:p w:rsidR="00156E21" w:rsidRPr="007806FD" w:rsidRDefault="00156E21" w:rsidP="00722DF4">
      <w:pPr>
        <w:spacing w:after="0"/>
        <w:jc w:val="both"/>
        <w:rPr>
          <w:rFonts w:ascii="Arial" w:hAnsi="Arial" w:cs="Arial"/>
          <w:b/>
          <w:bCs/>
        </w:rPr>
      </w:pPr>
      <w:r w:rsidRPr="007806FD">
        <w:rPr>
          <w:rFonts w:ascii="Arial" w:hAnsi="Arial" w:cs="Arial"/>
          <w:b/>
        </w:rPr>
        <w:t xml:space="preserve">Tabela </w:t>
      </w:r>
      <w:r w:rsidR="00C94068" w:rsidRPr="007806FD">
        <w:rPr>
          <w:rFonts w:ascii="Arial" w:hAnsi="Arial" w:cs="Arial"/>
          <w:b/>
        </w:rPr>
        <w:t>6</w:t>
      </w:r>
      <w:r w:rsidRPr="007806FD">
        <w:rPr>
          <w:rFonts w:ascii="Arial" w:hAnsi="Arial" w:cs="Arial"/>
          <w:b/>
        </w:rPr>
        <w:t>.</w:t>
      </w:r>
      <w:r w:rsidR="00C94068" w:rsidRPr="007806FD">
        <w:rPr>
          <w:rFonts w:ascii="Arial" w:hAnsi="Arial" w:cs="Arial"/>
          <w:b/>
        </w:rPr>
        <w:t>1</w:t>
      </w:r>
      <w:r w:rsidRPr="007806FD">
        <w:rPr>
          <w:rFonts w:ascii="Arial" w:hAnsi="Arial" w:cs="Arial"/>
          <w:b/>
        </w:rPr>
        <w:t>.</w:t>
      </w:r>
      <w:r w:rsidRPr="007806FD">
        <w:rPr>
          <w:rFonts w:ascii="Arial" w:hAnsi="Arial" w:cs="Arial"/>
          <w:bCs/>
        </w:rPr>
        <w:t>Identifikovani uticaji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870"/>
        <w:gridCol w:w="4695"/>
        <w:gridCol w:w="1765"/>
      </w:tblGrid>
      <w:tr w:rsidR="00406228" w:rsidRPr="00722DF4" w:rsidTr="009D6617">
        <w:tc>
          <w:tcPr>
            <w:tcW w:w="2943" w:type="dxa"/>
            <w:tcBorders>
              <w:top w:val="double" w:sz="4" w:space="0" w:color="auto"/>
              <w:bottom w:val="double" w:sz="4" w:space="0" w:color="auto"/>
            </w:tcBorders>
            <w:shd w:val="clear" w:color="auto" w:fill="CCFFFF"/>
          </w:tcPr>
          <w:p w:rsidR="00406228" w:rsidRPr="00722DF4" w:rsidRDefault="009D6617" w:rsidP="00722DF4">
            <w:pPr>
              <w:autoSpaceDE w:val="0"/>
              <w:autoSpaceDN w:val="0"/>
              <w:adjustRightInd w:val="0"/>
              <w:spacing w:after="0"/>
              <w:jc w:val="both"/>
              <w:rPr>
                <w:rFonts w:ascii="Arial" w:hAnsi="Arial" w:cs="Arial"/>
                <w:b/>
                <w:bCs/>
                <w:sz w:val="24"/>
                <w:szCs w:val="24"/>
              </w:rPr>
            </w:pPr>
            <w:r>
              <w:rPr>
                <w:rFonts w:ascii="Arial" w:hAnsi="Arial" w:cs="Arial"/>
                <w:b/>
                <w:bCs/>
                <w:sz w:val="24"/>
                <w:szCs w:val="24"/>
              </w:rPr>
              <w:t xml:space="preserve">Parametri </w:t>
            </w:r>
            <w:r w:rsidR="00406228" w:rsidRPr="00722DF4">
              <w:rPr>
                <w:rFonts w:ascii="Arial" w:hAnsi="Arial" w:cs="Arial"/>
                <w:b/>
                <w:bCs/>
                <w:sz w:val="24"/>
                <w:szCs w:val="24"/>
              </w:rPr>
              <w:t>životne sredine</w:t>
            </w:r>
          </w:p>
        </w:tc>
        <w:tc>
          <w:tcPr>
            <w:tcW w:w="4820" w:type="dxa"/>
            <w:tcBorders>
              <w:top w:val="double" w:sz="4" w:space="0" w:color="auto"/>
              <w:bottom w:val="double" w:sz="4" w:space="0" w:color="auto"/>
            </w:tcBorders>
            <w:shd w:val="clear" w:color="auto" w:fill="CCFFFF"/>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Prepoznati uticaji</w:t>
            </w:r>
          </w:p>
        </w:tc>
        <w:tc>
          <w:tcPr>
            <w:tcW w:w="1813" w:type="dxa"/>
            <w:tcBorders>
              <w:top w:val="double" w:sz="4" w:space="0" w:color="auto"/>
              <w:bottom w:val="double" w:sz="4" w:space="0" w:color="auto"/>
            </w:tcBorders>
            <w:shd w:val="clear" w:color="auto" w:fill="CCFFFF"/>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Ocjena uticaja (Da / Ne)</w:t>
            </w:r>
          </w:p>
        </w:tc>
      </w:tr>
      <w:tr w:rsidR="00406228" w:rsidRPr="00722DF4" w:rsidTr="000C3CEC">
        <w:tc>
          <w:tcPr>
            <w:tcW w:w="2943" w:type="dxa"/>
            <w:tcBorders>
              <w:top w:val="double" w:sz="4" w:space="0" w:color="auto"/>
            </w:tcBorders>
          </w:tcPr>
          <w:p w:rsidR="00406228" w:rsidRPr="00722DF4" w:rsidRDefault="00406228" w:rsidP="009D6617">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 xml:space="preserve">Zemljište </w:t>
            </w:r>
          </w:p>
        </w:tc>
        <w:tc>
          <w:tcPr>
            <w:tcW w:w="4820" w:type="dxa"/>
            <w:tcBorders>
              <w:top w:val="double" w:sz="4" w:space="0" w:color="auto"/>
            </w:tcBorders>
          </w:tcPr>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
                <w:bCs/>
                <w:sz w:val="24"/>
                <w:szCs w:val="24"/>
              </w:rPr>
              <w:t xml:space="preserve">- </w:t>
            </w:r>
            <w:r w:rsidRPr="00722DF4">
              <w:rPr>
                <w:rFonts w:ascii="Arial" w:hAnsi="Arial" w:cs="Arial"/>
                <w:bCs/>
                <w:sz w:val="24"/>
                <w:szCs w:val="24"/>
              </w:rPr>
              <w:t>Uticaj na fragmentaciju poljoprivrednih površina i šumskih područja od posebnog ekonomskog značaja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upotreba obnovljivih izvora energije i bio goriva</w:t>
            </w:r>
          </w:p>
          <w:p w:rsidR="00406228" w:rsidRPr="00722DF4" w:rsidRDefault="00406228" w:rsidP="009D6617">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upravljanje otpadom</w:t>
            </w:r>
          </w:p>
        </w:tc>
        <w:tc>
          <w:tcPr>
            <w:tcW w:w="1813" w:type="dxa"/>
            <w:tcBorders>
              <w:top w:val="double" w:sz="4" w:space="0" w:color="auto"/>
            </w:tcBorders>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Da</w:t>
            </w:r>
          </w:p>
        </w:tc>
      </w:tr>
      <w:tr w:rsidR="00406228" w:rsidRPr="00722DF4" w:rsidTr="000C3CEC">
        <w:tc>
          <w:tcPr>
            <w:tcW w:w="294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Vazduh</w:t>
            </w:r>
          </w:p>
        </w:tc>
        <w:tc>
          <w:tcPr>
            <w:tcW w:w="4820" w:type="dxa"/>
          </w:tcPr>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
                <w:bCs/>
                <w:sz w:val="24"/>
                <w:szCs w:val="24"/>
              </w:rPr>
              <w:t>-</w:t>
            </w:r>
            <w:r w:rsidR="009D6617">
              <w:rPr>
                <w:rFonts w:ascii="Arial" w:hAnsi="Arial" w:cs="Arial"/>
                <w:b/>
                <w:bCs/>
                <w:sz w:val="24"/>
                <w:szCs w:val="24"/>
              </w:rPr>
              <w:t xml:space="preserve"> </w:t>
            </w:r>
            <w:r w:rsidR="009D6617">
              <w:rPr>
                <w:rFonts w:ascii="Arial" w:hAnsi="Arial" w:cs="Arial"/>
                <w:bCs/>
                <w:sz w:val="24"/>
                <w:szCs w:val="24"/>
              </w:rPr>
              <w:t xml:space="preserve">emisija zagađujućih materija </w:t>
            </w:r>
            <w:r w:rsidRPr="00722DF4">
              <w:rPr>
                <w:rFonts w:ascii="Arial" w:hAnsi="Arial" w:cs="Arial"/>
                <w:bCs/>
                <w:sz w:val="24"/>
                <w:szCs w:val="24"/>
              </w:rPr>
              <w:t>u</w:t>
            </w:r>
            <w:r w:rsidR="009D6617">
              <w:rPr>
                <w:rFonts w:ascii="Arial" w:hAnsi="Arial" w:cs="Arial"/>
                <w:bCs/>
                <w:sz w:val="24"/>
                <w:szCs w:val="24"/>
              </w:rPr>
              <w:t>sled eksploatacije mineralnih sirovina u</w:t>
            </w:r>
            <w:r w:rsidRPr="00722DF4">
              <w:rPr>
                <w:rFonts w:ascii="Arial" w:hAnsi="Arial" w:cs="Arial"/>
                <w:bCs/>
                <w:sz w:val="24"/>
                <w:szCs w:val="24"/>
              </w:rPr>
              <w:t xml:space="preserve"> vazduh</w:t>
            </w:r>
            <w:r w:rsidR="009D6617">
              <w:rPr>
                <w:rFonts w:ascii="Arial" w:hAnsi="Arial" w:cs="Arial"/>
                <w:bCs/>
                <w:sz w:val="24"/>
                <w:szCs w:val="24"/>
              </w:rPr>
              <w:t>, a</w:t>
            </w:r>
            <w:r w:rsidRPr="00722DF4">
              <w:rPr>
                <w:rFonts w:ascii="Arial" w:hAnsi="Arial" w:cs="Arial"/>
                <w:bCs/>
                <w:sz w:val="24"/>
                <w:szCs w:val="24"/>
              </w:rPr>
              <w:t xml:space="preserve"> koje imaju štetno dejstvo na ekosisteme i biodiverzitet</w:t>
            </w:r>
          </w:p>
          <w:p w:rsidR="00406228" w:rsidRPr="00722DF4" w:rsidRDefault="00406228" w:rsidP="009D6617">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emisija zagađujućih materija od</w:t>
            </w:r>
            <w:r w:rsidR="009D6617">
              <w:rPr>
                <w:rFonts w:ascii="Arial" w:hAnsi="Arial" w:cs="Arial"/>
                <w:bCs/>
                <w:sz w:val="24"/>
                <w:szCs w:val="24"/>
              </w:rPr>
              <w:t xml:space="preserve"> eksploatacije mineralnih sirovina</w:t>
            </w:r>
            <w:r w:rsidRPr="00722DF4">
              <w:rPr>
                <w:rFonts w:ascii="Arial" w:hAnsi="Arial" w:cs="Arial"/>
                <w:bCs/>
                <w:sz w:val="24"/>
                <w:szCs w:val="24"/>
              </w:rPr>
              <w:t xml:space="preserve"> za koje postoje granične vrednosti propisane na nacionalnom nivou</w:t>
            </w:r>
          </w:p>
        </w:tc>
        <w:tc>
          <w:tcPr>
            <w:tcW w:w="181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Da</w:t>
            </w:r>
          </w:p>
        </w:tc>
      </w:tr>
      <w:tr w:rsidR="00406228" w:rsidRPr="00722DF4" w:rsidTr="000C3CEC">
        <w:tc>
          <w:tcPr>
            <w:tcW w:w="294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Klima</w:t>
            </w:r>
          </w:p>
        </w:tc>
        <w:tc>
          <w:tcPr>
            <w:tcW w:w="4820" w:type="dxa"/>
          </w:tcPr>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xml:space="preserve">- “osetljivost” </w:t>
            </w:r>
            <w:r w:rsidR="0024431D">
              <w:rPr>
                <w:rFonts w:ascii="Arial" w:hAnsi="Arial" w:cs="Arial"/>
                <w:bCs/>
                <w:sz w:val="24"/>
                <w:szCs w:val="24"/>
              </w:rPr>
              <w:t xml:space="preserve">eksploatacije mineralnih sirovina na </w:t>
            </w:r>
            <w:r w:rsidRPr="00722DF4">
              <w:rPr>
                <w:rFonts w:ascii="Arial" w:hAnsi="Arial" w:cs="Arial"/>
                <w:bCs/>
                <w:sz w:val="24"/>
                <w:szCs w:val="24"/>
              </w:rPr>
              <w:t>ekstremne vremenske uslove</w:t>
            </w:r>
          </w:p>
          <w:p w:rsidR="00406228" w:rsidRPr="00722DF4" w:rsidRDefault="00406228" w:rsidP="0024431D">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xml:space="preserve">- emisije gasova sa efektom staklene bašte kao posledica upotrebe fosilnih goriva </w:t>
            </w:r>
            <w:r w:rsidR="0024431D">
              <w:rPr>
                <w:rFonts w:ascii="Arial" w:hAnsi="Arial" w:cs="Arial"/>
                <w:bCs/>
                <w:sz w:val="24"/>
                <w:szCs w:val="24"/>
              </w:rPr>
              <w:t>u procesu proizvodnje</w:t>
            </w:r>
          </w:p>
        </w:tc>
        <w:tc>
          <w:tcPr>
            <w:tcW w:w="181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Da</w:t>
            </w:r>
          </w:p>
        </w:tc>
      </w:tr>
      <w:tr w:rsidR="00406228" w:rsidRPr="00722DF4" w:rsidTr="000C3CEC">
        <w:tc>
          <w:tcPr>
            <w:tcW w:w="2943" w:type="dxa"/>
          </w:tcPr>
          <w:p w:rsidR="00406228" w:rsidRPr="00722DF4" w:rsidRDefault="00F428F7" w:rsidP="00722DF4">
            <w:pPr>
              <w:autoSpaceDE w:val="0"/>
              <w:autoSpaceDN w:val="0"/>
              <w:adjustRightInd w:val="0"/>
              <w:spacing w:after="0"/>
              <w:jc w:val="both"/>
              <w:rPr>
                <w:rFonts w:ascii="Arial" w:hAnsi="Arial" w:cs="Arial"/>
                <w:b/>
                <w:bCs/>
                <w:sz w:val="24"/>
                <w:szCs w:val="24"/>
              </w:rPr>
            </w:pPr>
            <w:r>
              <w:rPr>
                <w:rFonts w:ascii="Arial" w:hAnsi="Arial" w:cs="Arial"/>
                <w:b/>
                <w:bCs/>
                <w:sz w:val="24"/>
                <w:szCs w:val="24"/>
              </w:rPr>
              <w:t>Vode</w:t>
            </w:r>
          </w:p>
        </w:tc>
        <w:tc>
          <w:tcPr>
            <w:tcW w:w="4820" w:type="dxa"/>
          </w:tcPr>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na zaštitu od poplava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štetnih i opasnih materija na kvalitet površinskih i podzemnih voda u slučaju akcidenta (prolivanje opasnih i štetnih materija)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na podzemne vode i kvalitet vode za piće</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lastRenderedPageBreak/>
              <w:t>- uticaj na vode koje se koriste u sportsko-rekreativne svrhe (uređena kupališta)</w:t>
            </w:r>
          </w:p>
        </w:tc>
        <w:tc>
          <w:tcPr>
            <w:tcW w:w="181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lastRenderedPageBreak/>
              <w:t>Da</w:t>
            </w:r>
          </w:p>
        </w:tc>
      </w:tr>
      <w:tr w:rsidR="00406228" w:rsidRPr="00722DF4" w:rsidTr="000C3CEC">
        <w:tc>
          <w:tcPr>
            <w:tcW w:w="294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Staništa i biodivrzitet, zaštićena područja</w:t>
            </w:r>
          </w:p>
        </w:tc>
        <w:tc>
          <w:tcPr>
            <w:tcW w:w="4820" w:type="dxa"/>
          </w:tcPr>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na fragmentaciju staništa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na migracije divljih životinja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na područja od posebnog značaja</w:t>
            </w:r>
            <w:r w:rsidR="00F428F7">
              <w:rPr>
                <w:rFonts w:ascii="Arial" w:hAnsi="Arial" w:cs="Arial"/>
                <w:bCs/>
                <w:sz w:val="24"/>
                <w:szCs w:val="24"/>
              </w:rPr>
              <w:t xml:space="preserve"> (područje Bjelasice)</w:t>
            </w:r>
            <w:r w:rsidRPr="00722DF4">
              <w:rPr>
                <w:rFonts w:ascii="Arial" w:hAnsi="Arial" w:cs="Arial"/>
                <w:bCs/>
                <w:sz w:val="24"/>
                <w:szCs w:val="24"/>
              </w:rPr>
              <w:t xml:space="preserve"> </w:t>
            </w:r>
          </w:p>
        </w:tc>
        <w:tc>
          <w:tcPr>
            <w:tcW w:w="181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Da</w:t>
            </w:r>
          </w:p>
        </w:tc>
      </w:tr>
      <w:tr w:rsidR="00406228" w:rsidRPr="00722DF4" w:rsidTr="000C3CEC">
        <w:tc>
          <w:tcPr>
            <w:tcW w:w="294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Zdravlje ljudi</w:t>
            </w:r>
          </w:p>
        </w:tc>
        <w:tc>
          <w:tcPr>
            <w:tcW w:w="4820" w:type="dxa"/>
          </w:tcPr>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KVALITET VAZDUHA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na zdravlje respiratornih organa u slučaju povećane emisije zagađujućih materija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BUKA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xml:space="preserve">- uticaj na povećanje buke usled </w:t>
            </w:r>
            <w:r w:rsidR="00F428F7">
              <w:rPr>
                <w:rFonts w:ascii="Arial" w:hAnsi="Arial" w:cs="Arial"/>
                <w:bCs/>
                <w:sz w:val="24"/>
                <w:szCs w:val="24"/>
              </w:rPr>
              <w:t>eksploatacije mineralnih sirovina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ELEKTROMAGNETNO ZRAČENJE</w:t>
            </w:r>
          </w:p>
          <w:p w:rsidR="00F428F7"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ne može biti procjenje</w:t>
            </w:r>
            <w:r w:rsidR="00F428F7">
              <w:rPr>
                <w:rFonts w:ascii="Arial" w:hAnsi="Arial" w:cs="Arial"/>
                <w:bCs/>
                <w:sz w:val="24"/>
                <w:szCs w:val="24"/>
              </w:rPr>
              <w:t>n na nivou strateške procjene uticaja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xml:space="preserve"> SVETLOSNO ZAGAĐENJE</w:t>
            </w:r>
          </w:p>
          <w:p w:rsidR="00F428F7"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xml:space="preserve">- uticaj ne može biti procjenjen na nivou strateške procjene </w:t>
            </w:r>
            <w:r w:rsidR="00F428F7">
              <w:rPr>
                <w:rFonts w:ascii="Arial" w:hAnsi="Arial" w:cs="Arial"/>
                <w:bCs/>
                <w:sz w:val="24"/>
                <w:szCs w:val="24"/>
              </w:rPr>
              <w:t>uticaja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UTICAJ NA KVALITET VODA (vode za piće i vode za sport i rekreaciju)</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ne može biti procjenjen na nivou strateške procjene</w:t>
            </w:r>
            <w:r w:rsidR="00F428F7">
              <w:rPr>
                <w:rFonts w:ascii="Arial" w:hAnsi="Arial" w:cs="Arial"/>
                <w:bCs/>
                <w:sz w:val="24"/>
                <w:szCs w:val="24"/>
              </w:rPr>
              <w:t xml:space="preserve"> uticaja</w:t>
            </w:r>
            <w:r w:rsidRPr="00722DF4">
              <w:rPr>
                <w:rFonts w:ascii="Arial" w:hAnsi="Arial" w:cs="Arial"/>
                <w:bCs/>
                <w:sz w:val="24"/>
                <w:szCs w:val="24"/>
              </w:rPr>
              <w:t>. Uticaj na vode je obrađen u okviru poglavlja o uticajima</w:t>
            </w:r>
          </w:p>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VIBRACIJE</w:t>
            </w:r>
          </w:p>
          <w:p w:rsidR="00406228" w:rsidRPr="00722DF4" w:rsidRDefault="00406228" w:rsidP="00F428F7">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xml:space="preserve">- uticaj ne može biti procjenjen na nivou strateške procjene </w:t>
            </w:r>
            <w:r w:rsidR="00F428F7">
              <w:rPr>
                <w:rFonts w:ascii="Arial" w:hAnsi="Arial" w:cs="Arial"/>
                <w:bCs/>
                <w:sz w:val="24"/>
                <w:szCs w:val="24"/>
              </w:rPr>
              <w:t>uticaja</w:t>
            </w:r>
          </w:p>
        </w:tc>
        <w:tc>
          <w:tcPr>
            <w:tcW w:w="181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Da</w:t>
            </w: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p>
          <w:p w:rsidR="00B273C9" w:rsidRPr="00722DF4" w:rsidRDefault="00B273C9"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Da</w:t>
            </w: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p>
          <w:p w:rsidR="00B273C9" w:rsidRPr="00722DF4" w:rsidRDefault="00B273C9"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N</w:t>
            </w:r>
            <w:r w:rsidR="009C6C14" w:rsidRPr="00722DF4">
              <w:rPr>
                <w:rFonts w:ascii="Arial" w:hAnsi="Arial" w:cs="Arial"/>
                <w:b/>
                <w:bCs/>
                <w:sz w:val="24"/>
                <w:szCs w:val="24"/>
              </w:rPr>
              <w:t>e</w:t>
            </w: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N</w:t>
            </w:r>
            <w:r w:rsidR="009C6C14" w:rsidRPr="00722DF4">
              <w:rPr>
                <w:rFonts w:ascii="Arial" w:hAnsi="Arial" w:cs="Arial"/>
                <w:b/>
                <w:bCs/>
                <w:sz w:val="24"/>
                <w:szCs w:val="24"/>
              </w:rPr>
              <w:t>e</w:t>
            </w: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N</w:t>
            </w:r>
            <w:r w:rsidR="009C6C14" w:rsidRPr="00722DF4">
              <w:rPr>
                <w:rFonts w:ascii="Arial" w:hAnsi="Arial" w:cs="Arial"/>
                <w:b/>
                <w:bCs/>
                <w:sz w:val="24"/>
                <w:szCs w:val="24"/>
              </w:rPr>
              <w:t>e</w:t>
            </w:r>
          </w:p>
          <w:p w:rsidR="00406228" w:rsidRPr="00722DF4" w:rsidRDefault="00406228"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p>
          <w:p w:rsidR="00D45359" w:rsidRPr="00722DF4" w:rsidRDefault="00D45359" w:rsidP="00722DF4">
            <w:pPr>
              <w:autoSpaceDE w:val="0"/>
              <w:autoSpaceDN w:val="0"/>
              <w:adjustRightInd w:val="0"/>
              <w:spacing w:after="0"/>
              <w:jc w:val="both"/>
              <w:rPr>
                <w:rFonts w:ascii="Arial" w:hAnsi="Arial" w:cs="Arial"/>
                <w:b/>
                <w:bCs/>
                <w:sz w:val="24"/>
                <w:szCs w:val="24"/>
              </w:rPr>
            </w:pPr>
          </w:p>
          <w:p w:rsidR="00D45359" w:rsidRPr="00722DF4" w:rsidRDefault="00D45359" w:rsidP="00722DF4">
            <w:pPr>
              <w:autoSpaceDE w:val="0"/>
              <w:autoSpaceDN w:val="0"/>
              <w:adjustRightInd w:val="0"/>
              <w:spacing w:after="0"/>
              <w:jc w:val="both"/>
              <w:rPr>
                <w:rFonts w:ascii="Arial" w:hAnsi="Arial" w:cs="Arial"/>
                <w:b/>
                <w:bCs/>
                <w:sz w:val="24"/>
                <w:szCs w:val="24"/>
              </w:rPr>
            </w:pPr>
          </w:p>
          <w:p w:rsidR="00D45359" w:rsidRPr="00722DF4" w:rsidRDefault="00D45359" w:rsidP="00722DF4">
            <w:pPr>
              <w:autoSpaceDE w:val="0"/>
              <w:autoSpaceDN w:val="0"/>
              <w:adjustRightInd w:val="0"/>
              <w:spacing w:after="0"/>
              <w:jc w:val="both"/>
              <w:rPr>
                <w:rFonts w:ascii="Arial" w:hAnsi="Arial" w:cs="Arial"/>
                <w:b/>
                <w:bCs/>
                <w:sz w:val="24"/>
                <w:szCs w:val="24"/>
              </w:rPr>
            </w:pPr>
          </w:p>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N</w:t>
            </w:r>
            <w:r w:rsidR="009C6C14" w:rsidRPr="00722DF4">
              <w:rPr>
                <w:rFonts w:ascii="Arial" w:hAnsi="Arial" w:cs="Arial"/>
                <w:b/>
                <w:bCs/>
                <w:sz w:val="24"/>
                <w:szCs w:val="24"/>
              </w:rPr>
              <w:t>e</w:t>
            </w:r>
          </w:p>
        </w:tc>
      </w:tr>
      <w:tr w:rsidR="00406228" w:rsidRPr="00722DF4" w:rsidTr="000C3CEC">
        <w:tc>
          <w:tcPr>
            <w:tcW w:w="2943" w:type="dxa"/>
          </w:tcPr>
          <w:p w:rsidR="00406228" w:rsidRPr="00722DF4" w:rsidRDefault="00700739" w:rsidP="00700739">
            <w:pPr>
              <w:autoSpaceDE w:val="0"/>
              <w:autoSpaceDN w:val="0"/>
              <w:adjustRightInd w:val="0"/>
              <w:spacing w:after="0"/>
              <w:jc w:val="both"/>
              <w:rPr>
                <w:rFonts w:ascii="Arial" w:hAnsi="Arial" w:cs="Arial"/>
                <w:b/>
                <w:bCs/>
                <w:sz w:val="24"/>
                <w:szCs w:val="24"/>
              </w:rPr>
            </w:pPr>
            <w:r>
              <w:rPr>
                <w:rFonts w:ascii="Arial" w:hAnsi="Arial" w:cs="Arial"/>
                <w:b/>
                <w:bCs/>
                <w:sz w:val="24"/>
                <w:szCs w:val="24"/>
              </w:rPr>
              <w:t xml:space="preserve">Lokalno </w:t>
            </w:r>
            <w:r w:rsidR="00406228" w:rsidRPr="00722DF4">
              <w:rPr>
                <w:rFonts w:ascii="Arial" w:hAnsi="Arial" w:cs="Arial"/>
                <w:b/>
                <w:bCs/>
                <w:sz w:val="24"/>
                <w:szCs w:val="24"/>
              </w:rPr>
              <w:t xml:space="preserve">Stanovništvo </w:t>
            </w:r>
          </w:p>
        </w:tc>
        <w:tc>
          <w:tcPr>
            <w:tcW w:w="4820" w:type="dxa"/>
          </w:tcPr>
          <w:p w:rsidR="00406228"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
                <w:bCs/>
                <w:sz w:val="24"/>
                <w:szCs w:val="24"/>
              </w:rPr>
              <w:t xml:space="preserve">- </w:t>
            </w:r>
            <w:r w:rsidRPr="00722DF4">
              <w:rPr>
                <w:rFonts w:ascii="Arial" w:hAnsi="Arial" w:cs="Arial"/>
                <w:bCs/>
                <w:sz w:val="24"/>
                <w:szCs w:val="24"/>
              </w:rPr>
              <w:t xml:space="preserve">uticaj na nepokretnosti usled potrebe za novim </w:t>
            </w:r>
            <w:r w:rsidR="00F428F7">
              <w:rPr>
                <w:rFonts w:ascii="Arial" w:hAnsi="Arial" w:cs="Arial"/>
                <w:bCs/>
                <w:sz w:val="24"/>
                <w:szCs w:val="24"/>
              </w:rPr>
              <w:t>prostorima za potrebe razvoja rudarske proizvodnje</w:t>
            </w:r>
          </w:p>
          <w:p w:rsidR="00F428F7" w:rsidRPr="00722DF4" w:rsidRDefault="00F428F7" w:rsidP="00722DF4">
            <w:pPr>
              <w:autoSpaceDE w:val="0"/>
              <w:autoSpaceDN w:val="0"/>
              <w:adjustRightInd w:val="0"/>
              <w:spacing w:after="0"/>
              <w:jc w:val="both"/>
              <w:rPr>
                <w:rFonts w:ascii="Arial" w:hAnsi="Arial" w:cs="Arial"/>
                <w:bCs/>
                <w:sz w:val="24"/>
                <w:szCs w:val="24"/>
              </w:rPr>
            </w:pPr>
            <w:r>
              <w:rPr>
                <w:rFonts w:ascii="Arial" w:hAnsi="Arial" w:cs="Arial"/>
                <w:bCs/>
                <w:sz w:val="24"/>
                <w:szCs w:val="24"/>
              </w:rPr>
              <w:t>- uticaj na životni standard stanovništva</w:t>
            </w:r>
          </w:p>
          <w:p w:rsidR="00406228" w:rsidRPr="00722DF4" w:rsidRDefault="00406228" w:rsidP="00F428F7">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xml:space="preserve">- </w:t>
            </w:r>
            <w:r w:rsidR="00F428F7">
              <w:rPr>
                <w:rFonts w:ascii="Arial" w:hAnsi="Arial" w:cs="Arial"/>
                <w:bCs/>
                <w:sz w:val="24"/>
                <w:szCs w:val="24"/>
              </w:rPr>
              <w:t>uticaj na razvoj privrede</w:t>
            </w:r>
          </w:p>
        </w:tc>
        <w:tc>
          <w:tcPr>
            <w:tcW w:w="181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Da</w:t>
            </w:r>
          </w:p>
        </w:tc>
      </w:tr>
      <w:tr w:rsidR="00406228" w:rsidRPr="00722DF4" w:rsidTr="000C3CEC">
        <w:tc>
          <w:tcPr>
            <w:tcW w:w="294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Kulturna dobra</w:t>
            </w:r>
          </w:p>
        </w:tc>
        <w:tc>
          <w:tcPr>
            <w:tcW w:w="4820" w:type="dxa"/>
          </w:tcPr>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na kulturna dobra</w:t>
            </w:r>
          </w:p>
        </w:tc>
        <w:tc>
          <w:tcPr>
            <w:tcW w:w="1813" w:type="dxa"/>
          </w:tcPr>
          <w:p w:rsidR="00406228" w:rsidRPr="00722DF4" w:rsidRDefault="00F428F7" w:rsidP="00722DF4">
            <w:pPr>
              <w:autoSpaceDE w:val="0"/>
              <w:autoSpaceDN w:val="0"/>
              <w:adjustRightInd w:val="0"/>
              <w:spacing w:after="0"/>
              <w:jc w:val="both"/>
              <w:rPr>
                <w:rFonts w:ascii="Arial" w:hAnsi="Arial" w:cs="Arial"/>
                <w:b/>
                <w:bCs/>
                <w:sz w:val="24"/>
                <w:szCs w:val="24"/>
              </w:rPr>
            </w:pPr>
            <w:r>
              <w:rPr>
                <w:rFonts w:ascii="Arial" w:hAnsi="Arial" w:cs="Arial"/>
                <w:b/>
                <w:bCs/>
                <w:sz w:val="24"/>
                <w:szCs w:val="24"/>
              </w:rPr>
              <w:t>Ne</w:t>
            </w:r>
          </w:p>
        </w:tc>
      </w:tr>
      <w:tr w:rsidR="00406228" w:rsidRPr="00722DF4" w:rsidTr="000C3CEC">
        <w:tc>
          <w:tcPr>
            <w:tcW w:w="294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Pejzaž</w:t>
            </w:r>
          </w:p>
        </w:tc>
        <w:tc>
          <w:tcPr>
            <w:tcW w:w="4820" w:type="dxa"/>
          </w:tcPr>
          <w:p w:rsidR="00406228" w:rsidRPr="00722DF4" w:rsidRDefault="00406228" w:rsidP="00722DF4">
            <w:pPr>
              <w:autoSpaceDE w:val="0"/>
              <w:autoSpaceDN w:val="0"/>
              <w:adjustRightInd w:val="0"/>
              <w:spacing w:after="0"/>
              <w:jc w:val="both"/>
              <w:rPr>
                <w:rFonts w:ascii="Arial" w:hAnsi="Arial" w:cs="Arial"/>
                <w:bCs/>
                <w:sz w:val="24"/>
                <w:szCs w:val="24"/>
              </w:rPr>
            </w:pPr>
            <w:r w:rsidRPr="00722DF4">
              <w:rPr>
                <w:rFonts w:ascii="Arial" w:hAnsi="Arial" w:cs="Arial"/>
                <w:bCs/>
                <w:sz w:val="24"/>
                <w:szCs w:val="24"/>
              </w:rPr>
              <w:t>- uticaj na promjene pejzaža i kvalitet vizura</w:t>
            </w:r>
          </w:p>
        </w:tc>
        <w:tc>
          <w:tcPr>
            <w:tcW w:w="1813" w:type="dxa"/>
          </w:tcPr>
          <w:p w:rsidR="00406228" w:rsidRPr="00722DF4" w:rsidRDefault="00406228" w:rsidP="00722DF4">
            <w:pPr>
              <w:autoSpaceDE w:val="0"/>
              <w:autoSpaceDN w:val="0"/>
              <w:adjustRightInd w:val="0"/>
              <w:spacing w:after="0"/>
              <w:jc w:val="both"/>
              <w:rPr>
                <w:rFonts w:ascii="Arial" w:hAnsi="Arial" w:cs="Arial"/>
                <w:b/>
                <w:bCs/>
                <w:sz w:val="24"/>
                <w:szCs w:val="24"/>
              </w:rPr>
            </w:pPr>
            <w:r w:rsidRPr="00722DF4">
              <w:rPr>
                <w:rFonts w:ascii="Arial" w:hAnsi="Arial" w:cs="Arial"/>
                <w:b/>
                <w:bCs/>
                <w:sz w:val="24"/>
                <w:szCs w:val="24"/>
              </w:rPr>
              <w:t>Da</w:t>
            </w:r>
          </w:p>
        </w:tc>
      </w:tr>
    </w:tbl>
    <w:p w:rsidR="00406228" w:rsidRPr="00722DF4" w:rsidRDefault="00406228" w:rsidP="00722DF4">
      <w:pPr>
        <w:autoSpaceDE w:val="0"/>
        <w:autoSpaceDN w:val="0"/>
        <w:adjustRightInd w:val="0"/>
        <w:spacing w:after="0"/>
        <w:jc w:val="both"/>
        <w:rPr>
          <w:rFonts w:ascii="Arial" w:hAnsi="Arial" w:cs="Arial"/>
          <w:sz w:val="24"/>
          <w:szCs w:val="24"/>
        </w:rPr>
      </w:pPr>
    </w:p>
    <w:p w:rsidR="004C419C" w:rsidRPr="00722DF4" w:rsidRDefault="004C419C" w:rsidP="00722DF4">
      <w:pPr>
        <w:pStyle w:val="Heading1"/>
        <w:numPr>
          <w:ilvl w:val="0"/>
          <w:numId w:val="0"/>
        </w:numPr>
        <w:spacing w:before="0"/>
        <w:jc w:val="both"/>
        <w:rPr>
          <w:rFonts w:cs="Arial"/>
          <w:szCs w:val="24"/>
        </w:rPr>
      </w:pPr>
    </w:p>
    <w:p w:rsidR="003770FA" w:rsidRDefault="003770FA" w:rsidP="00722DF4">
      <w:pPr>
        <w:spacing w:after="0"/>
        <w:jc w:val="both"/>
        <w:rPr>
          <w:rFonts w:ascii="Arial" w:hAnsi="Arial" w:cs="Arial"/>
          <w:sz w:val="24"/>
          <w:szCs w:val="24"/>
        </w:rPr>
      </w:pPr>
      <w:r w:rsidRPr="00722DF4">
        <w:rPr>
          <w:rFonts w:ascii="Arial" w:hAnsi="Arial" w:cs="Arial"/>
          <w:sz w:val="24"/>
          <w:szCs w:val="24"/>
        </w:rPr>
        <w:t>Posledice prilagođavanja prirodnog okruženja po</w:t>
      </w:r>
      <w:r w:rsidR="00F428F7">
        <w:rPr>
          <w:rFonts w:ascii="Arial" w:hAnsi="Arial" w:cs="Arial"/>
          <w:sz w:val="24"/>
          <w:szCs w:val="24"/>
        </w:rPr>
        <w:t>trebama društvene zajednice najčešće su neoč</w:t>
      </w:r>
      <w:r w:rsidRPr="00722DF4">
        <w:rPr>
          <w:rFonts w:ascii="Arial" w:hAnsi="Arial" w:cs="Arial"/>
          <w:sz w:val="24"/>
          <w:szCs w:val="24"/>
        </w:rPr>
        <w:t>ekivane zbog postojanja vrlo osetljive ravnoteže svih ekoloških elemenata. Tehnogeni uticaj u ekosistemu može svojim povratnim djelovanjem na prvobitne inicijatore da dovede do novih stanja i nepovoljnih efekata</w:t>
      </w:r>
      <w:r w:rsidR="00F428F7">
        <w:rPr>
          <w:rFonts w:ascii="Arial" w:hAnsi="Arial" w:cs="Arial"/>
          <w:sz w:val="24"/>
          <w:szCs w:val="24"/>
        </w:rPr>
        <w:t xml:space="preserve"> na životnu sredinu i na samog č</w:t>
      </w:r>
      <w:r w:rsidRPr="00722DF4">
        <w:rPr>
          <w:rFonts w:ascii="Arial" w:hAnsi="Arial" w:cs="Arial"/>
          <w:sz w:val="24"/>
          <w:szCs w:val="24"/>
        </w:rPr>
        <w:t>ovjeka. Saglasno tome</w:t>
      </w:r>
      <w:r w:rsidR="00F428F7">
        <w:rPr>
          <w:rFonts w:ascii="Arial" w:hAnsi="Arial" w:cs="Arial"/>
          <w:sz w:val="24"/>
          <w:szCs w:val="24"/>
        </w:rPr>
        <w:t>, uvije</w:t>
      </w:r>
      <w:r w:rsidRPr="00722DF4">
        <w:rPr>
          <w:rFonts w:ascii="Arial" w:hAnsi="Arial" w:cs="Arial"/>
          <w:sz w:val="24"/>
          <w:szCs w:val="24"/>
        </w:rPr>
        <w:t xml:space="preserve">k se kao prioritet postavlja obaveza definisanja mogućih uticaja u odnosu na osnovne ekološke kategorije kao što su: vazduh, voda, </w:t>
      </w:r>
      <w:r w:rsidR="00F428F7">
        <w:rPr>
          <w:rFonts w:ascii="Arial" w:hAnsi="Arial" w:cs="Arial"/>
          <w:sz w:val="24"/>
          <w:szCs w:val="24"/>
        </w:rPr>
        <w:t>tlo, klima, flora, fauna, pejzaž</w:t>
      </w:r>
      <w:r w:rsidRPr="00722DF4">
        <w:rPr>
          <w:rFonts w:ascii="Arial" w:hAnsi="Arial" w:cs="Arial"/>
          <w:sz w:val="24"/>
          <w:szCs w:val="24"/>
        </w:rPr>
        <w:t xml:space="preserve"> i dr. </w:t>
      </w:r>
    </w:p>
    <w:p w:rsidR="00F428F7" w:rsidRPr="00722DF4" w:rsidRDefault="00F428F7" w:rsidP="00722DF4">
      <w:pPr>
        <w:spacing w:after="0"/>
        <w:jc w:val="both"/>
        <w:rPr>
          <w:rFonts w:ascii="Arial" w:hAnsi="Arial" w:cs="Arial"/>
          <w:sz w:val="24"/>
          <w:szCs w:val="24"/>
        </w:rPr>
      </w:pPr>
    </w:p>
    <w:p w:rsidR="003770FA" w:rsidRPr="00722DF4" w:rsidRDefault="003770FA" w:rsidP="00722DF4">
      <w:pPr>
        <w:spacing w:after="0"/>
        <w:jc w:val="both"/>
        <w:rPr>
          <w:rFonts w:ascii="Arial" w:hAnsi="Arial" w:cs="Arial"/>
          <w:sz w:val="24"/>
          <w:szCs w:val="24"/>
        </w:rPr>
      </w:pPr>
      <w:r w:rsidRPr="00722DF4">
        <w:rPr>
          <w:rFonts w:ascii="Arial" w:hAnsi="Arial" w:cs="Arial"/>
          <w:sz w:val="24"/>
          <w:szCs w:val="24"/>
        </w:rPr>
        <w:t xml:space="preserve">Analiza mogućih uticaja na životnu sredinu je sprovedena na bazi potencijalnih efekata/posledica koje ti uticaji mogu imati na vrijednosti pojedinih komponenti </w:t>
      </w:r>
    </w:p>
    <w:p w:rsidR="003770FA" w:rsidRDefault="003770FA" w:rsidP="00722DF4">
      <w:pPr>
        <w:spacing w:after="0"/>
        <w:jc w:val="both"/>
        <w:rPr>
          <w:rFonts w:ascii="Arial" w:hAnsi="Arial" w:cs="Arial"/>
          <w:sz w:val="24"/>
          <w:szCs w:val="24"/>
        </w:rPr>
      </w:pPr>
      <w:r w:rsidRPr="00722DF4">
        <w:rPr>
          <w:rFonts w:ascii="Arial" w:hAnsi="Arial" w:cs="Arial"/>
          <w:sz w:val="24"/>
          <w:szCs w:val="24"/>
        </w:rPr>
        <w:t>- elemenata ekosistema. Vrijednosti - komponente ekosistema su oni aspek</w:t>
      </w:r>
      <w:r w:rsidR="00F428F7">
        <w:rPr>
          <w:rFonts w:ascii="Arial" w:hAnsi="Arial" w:cs="Arial"/>
          <w:sz w:val="24"/>
          <w:szCs w:val="24"/>
        </w:rPr>
        <w:t>ti ili elementi postojećeg okruž</w:t>
      </w:r>
      <w:r w:rsidRPr="00722DF4">
        <w:rPr>
          <w:rFonts w:ascii="Arial" w:hAnsi="Arial" w:cs="Arial"/>
          <w:sz w:val="24"/>
          <w:szCs w:val="24"/>
        </w:rPr>
        <w:t>enj</w:t>
      </w:r>
      <w:r w:rsidR="00F428F7">
        <w:rPr>
          <w:rFonts w:ascii="Arial" w:hAnsi="Arial" w:cs="Arial"/>
          <w:sz w:val="24"/>
          <w:szCs w:val="24"/>
        </w:rPr>
        <w:t>a koji se smatraju važnim i znač</w:t>
      </w:r>
      <w:r w:rsidRPr="00722DF4">
        <w:rPr>
          <w:rFonts w:ascii="Arial" w:hAnsi="Arial" w:cs="Arial"/>
          <w:sz w:val="24"/>
          <w:szCs w:val="24"/>
        </w:rPr>
        <w:t xml:space="preserve">ajnim u smislu zaštite od potencijalnih efekata planiranih aktivnosti. U tabeli </w:t>
      </w:r>
      <w:r w:rsidR="00F428F7" w:rsidRPr="00F428F7">
        <w:rPr>
          <w:rFonts w:ascii="Arial" w:hAnsi="Arial" w:cs="Arial"/>
          <w:sz w:val="24"/>
          <w:szCs w:val="24"/>
        </w:rPr>
        <w:t>6.1.</w:t>
      </w:r>
      <w:r w:rsidRPr="00722DF4">
        <w:rPr>
          <w:rFonts w:ascii="Arial" w:hAnsi="Arial" w:cs="Arial"/>
          <w:color w:val="FF0000"/>
          <w:sz w:val="24"/>
          <w:szCs w:val="24"/>
        </w:rPr>
        <w:t xml:space="preserve"> </w:t>
      </w:r>
      <w:r w:rsidRPr="00722DF4">
        <w:rPr>
          <w:rFonts w:ascii="Arial" w:hAnsi="Arial" w:cs="Arial"/>
          <w:sz w:val="24"/>
          <w:szCs w:val="24"/>
        </w:rPr>
        <w:t>je prikazan rezultat određivanja polja djelovanj</w:t>
      </w:r>
      <w:r w:rsidR="00F428F7">
        <w:rPr>
          <w:rFonts w:ascii="Arial" w:hAnsi="Arial" w:cs="Arial"/>
          <w:sz w:val="24"/>
          <w:szCs w:val="24"/>
        </w:rPr>
        <w:t>a predmetnog Plana kako na fizič</w:t>
      </w:r>
      <w:r w:rsidRPr="00722DF4">
        <w:rPr>
          <w:rFonts w:ascii="Arial" w:hAnsi="Arial" w:cs="Arial"/>
          <w:sz w:val="24"/>
          <w:szCs w:val="24"/>
        </w:rPr>
        <w:t>ko i prirodno oktuženje tako i na socijalne i ekonomske aspekte okruženja. Tabe</w:t>
      </w:r>
      <w:r w:rsidR="00F428F7">
        <w:rPr>
          <w:rFonts w:ascii="Arial" w:hAnsi="Arial" w:cs="Arial"/>
          <w:sz w:val="24"/>
          <w:szCs w:val="24"/>
        </w:rPr>
        <w:t>la prikazuje do kog obima različ</w:t>
      </w:r>
      <w:r w:rsidRPr="00722DF4">
        <w:rPr>
          <w:rFonts w:ascii="Arial" w:hAnsi="Arial" w:cs="Arial"/>
          <w:sz w:val="24"/>
          <w:szCs w:val="24"/>
        </w:rPr>
        <w:t xml:space="preserve">ite komponente - faze Plana mogu uticati na široku lepezu kategorija – elemenata životne sredine tokom pripremnih radova na lokaciji, ali i kasnije u fazi realizacije projekta. </w:t>
      </w:r>
    </w:p>
    <w:p w:rsidR="00F428F7" w:rsidRPr="00722DF4" w:rsidRDefault="00F428F7" w:rsidP="00722DF4">
      <w:pPr>
        <w:spacing w:after="0"/>
        <w:jc w:val="both"/>
        <w:rPr>
          <w:rFonts w:ascii="Arial" w:hAnsi="Arial" w:cs="Arial"/>
          <w:sz w:val="24"/>
          <w:szCs w:val="24"/>
        </w:rPr>
      </w:pPr>
    </w:p>
    <w:p w:rsidR="003770FA" w:rsidRDefault="003770FA" w:rsidP="00722DF4">
      <w:pPr>
        <w:spacing w:after="0"/>
        <w:jc w:val="both"/>
        <w:rPr>
          <w:rFonts w:ascii="Arial" w:hAnsi="Arial" w:cs="Arial"/>
          <w:sz w:val="24"/>
          <w:szCs w:val="24"/>
        </w:rPr>
      </w:pPr>
      <w:r w:rsidRPr="00722DF4">
        <w:rPr>
          <w:rFonts w:ascii="Arial" w:hAnsi="Arial" w:cs="Arial"/>
          <w:sz w:val="24"/>
          <w:szCs w:val="24"/>
        </w:rPr>
        <w:t xml:space="preserve">Analiza uticaja na životnu sredinu sprovedena za </w:t>
      </w:r>
      <w:r w:rsidR="00F428F7">
        <w:rPr>
          <w:rFonts w:ascii="Arial" w:hAnsi="Arial" w:cs="Arial"/>
          <w:sz w:val="24"/>
          <w:szCs w:val="24"/>
        </w:rPr>
        <w:t>potrebe ovog Plana razmatra znač</w:t>
      </w:r>
      <w:r w:rsidRPr="00722DF4">
        <w:rPr>
          <w:rFonts w:ascii="Arial" w:hAnsi="Arial" w:cs="Arial"/>
          <w:sz w:val="24"/>
          <w:szCs w:val="24"/>
        </w:rPr>
        <w:t>aj potencijalnih efeka</w:t>
      </w:r>
      <w:r w:rsidR="00F428F7">
        <w:rPr>
          <w:rFonts w:ascii="Arial" w:hAnsi="Arial" w:cs="Arial"/>
          <w:sz w:val="24"/>
          <w:szCs w:val="24"/>
        </w:rPr>
        <w:t>ta na životnu sredinu koji se oč</w:t>
      </w:r>
      <w:r w:rsidRPr="00722DF4">
        <w:rPr>
          <w:rFonts w:ascii="Arial" w:hAnsi="Arial" w:cs="Arial"/>
          <w:sz w:val="24"/>
          <w:szCs w:val="24"/>
        </w:rPr>
        <w:t xml:space="preserve">ekuju na bazi primjene najboljih raspoloživih tehnika (BAT) u fazi projektovanja i razvoja planiranih projekta i najbolje prakse upravljanja (BMP) koja se primjenjuje tokom izgradnje i eksploatacije novih ležišta kamena. </w:t>
      </w:r>
    </w:p>
    <w:p w:rsidR="00F428F7" w:rsidRPr="00722DF4" w:rsidRDefault="00F428F7" w:rsidP="00722DF4">
      <w:pPr>
        <w:spacing w:after="0"/>
        <w:jc w:val="both"/>
        <w:rPr>
          <w:rFonts w:ascii="Arial" w:hAnsi="Arial" w:cs="Arial"/>
          <w:sz w:val="24"/>
          <w:szCs w:val="24"/>
        </w:rPr>
      </w:pPr>
    </w:p>
    <w:p w:rsidR="003770FA" w:rsidRDefault="003770FA" w:rsidP="00722DF4">
      <w:pPr>
        <w:spacing w:after="0"/>
        <w:jc w:val="both"/>
        <w:rPr>
          <w:rFonts w:ascii="Arial" w:hAnsi="Arial" w:cs="Arial"/>
          <w:sz w:val="24"/>
          <w:szCs w:val="24"/>
        </w:rPr>
      </w:pPr>
      <w:r w:rsidRPr="00722DF4">
        <w:rPr>
          <w:rFonts w:ascii="Arial" w:hAnsi="Arial" w:cs="Arial"/>
          <w:sz w:val="24"/>
          <w:szCs w:val="24"/>
        </w:rPr>
        <w:t>Efekti na životnu sre</w:t>
      </w:r>
      <w:r w:rsidR="00F428F7">
        <w:rPr>
          <w:rFonts w:ascii="Arial" w:hAnsi="Arial" w:cs="Arial"/>
          <w:sz w:val="24"/>
          <w:szCs w:val="24"/>
        </w:rPr>
        <w:t>dinu su razvstani na sledeći nač</w:t>
      </w:r>
      <w:r w:rsidRPr="00722DF4">
        <w:rPr>
          <w:rFonts w:ascii="Arial" w:hAnsi="Arial" w:cs="Arial"/>
          <w:sz w:val="24"/>
          <w:szCs w:val="24"/>
        </w:rPr>
        <w:t xml:space="preserve">in: </w:t>
      </w:r>
    </w:p>
    <w:p w:rsidR="001258E2" w:rsidRDefault="001258E2" w:rsidP="00722DF4">
      <w:pPr>
        <w:spacing w:after="0"/>
        <w:jc w:val="both"/>
        <w:rPr>
          <w:rFonts w:ascii="Arial" w:hAnsi="Arial" w:cs="Arial"/>
          <w:sz w:val="24"/>
          <w:szCs w:val="24"/>
        </w:rPr>
      </w:pPr>
    </w:p>
    <w:p w:rsidR="001258E2" w:rsidRPr="00722DF4" w:rsidRDefault="001258E2" w:rsidP="00722DF4">
      <w:pPr>
        <w:spacing w:after="0"/>
        <w:jc w:val="both"/>
        <w:rPr>
          <w:rFonts w:ascii="Arial" w:hAnsi="Arial" w:cs="Arial"/>
          <w:sz w:val="24"/>
          <w:szCs w:val="24"/>
        </w:rPr>
      </w:pPr>
    </w:p>
    <w:p w:rsidR="003770FA" w:rsidRDefault="00F428F7" w:rsidP="00663F7F">
      <w:pPr>
        <w:numPr>
          <w:ilvl w:val="0"/>
          <w:numId w:val="29"/>
        </w:numPr>
        <w:spacing w:after="0"/>
        <w:jc w:val="both"/>
        <w:rPr>
          <w:rFonts w:ascii="Arial" w:hAnsi="Arial" w:cs="Arial"/>
          <w:sz w:val="24"/>
          <w:szCs w:val="24"/>
        </w:rPr>
      </w:pPr>
      <w:r>
        <w:rPr>
          <w:rFonts w:ascii="Arial" w:hAnsi="Arial" w:cs="Arial"/>
          <w:sz w:val="24"/>
          <w:szCs w:val="24"/>
        </w:rPr>
        <w:t>Fizič</w:t>
      </w:r>
      <w:r w:rsidR="003770FA" w:rsidRPr="00722DF4">
        <w:rPr>
          <w:rFonts w:ascii="Arial" w:hAnsi="Arial" w:cs="Arial"/>
          <w:sz w:val="24"/>
          <w:szCs w:val="24"/>
        </w:rPr>
        <w:t xml:space="preserve">ko okruženje – zemljište (fiziografija, geologija i tlo), voda (površinski i podzemni resursi) i vazduh (klima, kvalitet vazduha i buka); </w:t>
      </w:r>
    </w:p>
    <w:p w:rsidR="001258E2" w:rsidRPr="00722DF4" w:rsidRDefault="001258E2" w:rsidP="00722DF4">
      <w:pPr>
        <w:spacing w:after="0"/>
        <w:jc w:val="both"/>
        <w:rPr>
          <w:rFonts w:ascii="Arial" w:hAnsi="Arial" w:cs="Arial"/>
          <w:sz w:val="24"/>
          <w:szCs w:val="24"/>
        </w:rPr>
      </w:pPr>
    </w:p>
    <w:p w:rsidR="003770FA" w:rsidRDefault="00C321EE" w:rsidP="00663F7F">
      <w:pPr>
        <w:numPr>
          <w:ilvl w:val="0"/>
          <w:numId w:val="28"/>
        </w:numPr>
        <w:spacing w:after="0"/>
        <w:jc w:val="both"/>
        <w:rPr>
          <w:rFonts w:ascii="Arial" w:hAnsi="Arial" w:cs="Arial"/>
          <w:sz w:val="24"/>
          <w:szCs w:val="24"/>
        </w:rPr>
      </w:pPr>
      <w:r w:rsidRPr="00722DF4">
        <w:rPr>
          <w:rFonts w:ascii="Arial" w:hAnsi="Arial" w:cs="Arial"/>
          <w:sz w:val="24"/>
          <w:szCs w:val="24"/>
        </w:rPr>
        <w:t>Prirodno (biološko) okruž</w:t>
      </w:r>
      <w:r w:rsidR="00F428F7">
        <w:rPr>
          <w:rFonts w:ascii="Arial" w:hAnsi="Arial" w:cs="Arial"/>
          <w:sz w:val="24"/>
          <w:szCs w:val="24"/>
        </w:rPr>
        <w:t>enje – akvatič</w:t>
      </w:r>
      <w:r w:rsidR="003770FA" w:rsidRPr="00722DF4">
        <w:rPr>
          <w:rFonts w:ascii="Arial" w:hAnsi="Arial" w:cs="Arial"/>
          <w:sz w:val="24"/>
          <w:szCs w:val="24"/>
        </w:rPr>
        <w:t xml:space="preserve">ni i kopneni habitati – staništa; </w:t>
      </w:r>
      <w:r w:rsidRPr="00722DF4">
        <w:rPr>
          <w:rFonts w:ascii="Arial" w:hAnsi="Arial" w:cs="Arial"/>
          <w:sz w:val="24"/>
          <w:szCs w:val="24"/>
        </w:rPr>
        <w:t xml:space="preserve">kao </w:t>
      </w:r>
      <w:r w:rsidR="00F428F7">
        <w:rPr>
          <w:rFonts w:ascii="Arial" w:hAnsi="Arial" w:cs="Arial"/>
          <w:sz w:val="24"/>
          <w:szCs w:val="24"/>
        </w:rPr>
        <w:t xml:space="preserve">i </w:t>
      </w:r>
      <w:r w:rsidRPr="00722DF4">
        <w:rPr>
          <w:rFonts w:ascii="Arial" w:hAnsi="Arial" w:cs="Arial"/>
          <w:sz w:val="24"/>
          <w:szCs w:val="24"/>
        </w:rPr>
        <w:t>p</w:t>
      </w:r>
      <w:r w:rsidR="00F428F7">
        <w:rPr>
          <w:rFonts w:ascii="Arial" w:hAnsi="Arial" w:cs="Arial"/>
          <w:sz w:val="24"/>
          <w:szCs w:val="24"/>
        </w:rPr>
        <w:t>ejzažne karakteristike prostora;</w:t>
      </w:r>
    </w:p>
    <w:p w:rsidR="001258E2" w:rsidRPr="00722DF4" w:rsidRDefault="001258E2" w:rsidP="00722DF4">
      <w:pPr>
        <w:spacing w:after="0"/>
        <w:jc w:val="both"/>
        <w:rPr>
          <w:rFonts w:ascii="Arial" w:hAnsi="Arial" w:cs="Arial"/>
          <w:sz w:val="24"/>
          <w:szCs w:val="24"/>
        </w:rPr>
      </w:pPr>
    </w:p>
    <w:p w:rsidR="00F428F7" w:rsidRDefault="003770FA" w:rsidP="00663F7F">
      <w:pPr>
        <w:numPr>
          <w:ilvl w:val="0"/>
          <w:numId w:val="27"/>
        </w:numPr>
        <w:spacing w:after="0"/>
        <w:jc w:val="both"/>
        <w:rPr>
          <w:rFonts w:ascii="Arial" w:hAnsi="Arial" w:cs="Arial"/>
          <w:sz w:val="24"/>
          <w:szCs w:val="24"/>
        </w:rPr>
      </w:pPr>
      <w:r w:rsidRPr="00722DF4">
        <w:rPr>
          <w:rFonts w:ascii="Arial" w:hAnsi="Arial" w:cs="Arial"/>
          <w:sz w:val="24"/>
          <w:szCs w:val="24"/>
        </w:rPr>
        <w:t>Socio-ekonomsko okru</w:t>
      </w:r>
      <w:r w:rsidR="00F428F7">
        <w:rPr>
          <w:rFonts w:ascii="Arial" w:hAnsi="Arial" w:cs="Arial"/>
          <w:sz w:val="24"/>
          <w:szCs w:val="24"/>
        </w:rPr>
        <w:t>ž</w:t>
      </w:r>
      <w:r w:rsidRPr="00722DF4">
        <w:rPr>
          <w:rFonts w:ascii="Arial" w:hAnsi="Arial" w:cs="Arial"/>
          <w:sz w:val="24"/>
          <w:szCs w:val="24"/>
        </w:rPr>
        <w:t xml:space="preserve">enje – postojeća i planirana upotreba zemljišta i resursa i ekonomske aktivnosti u vezi sa tim; </w:t>
      </w:r>
    </w:p>
    <w:p w:rsidR="001258E2" w:rsidRDefault="001258E2" w:rsidP="00722DF4">
      <w:pPr>
        <w:spacing w:after="0"/>
        <w:jc w:val="both"/>
        <w:rPr>
          <w:rFonts w:ascii="Arial" w:hAnsi="Arial" w:cs="Arial"/>
          <w:sz w:val="24"/>
          <w:szCs w:val="24"/>
        </w:rPr>
      </w:pPr>
    </w:p>
    <w:p w:rsidR="004C419C" w:rsidRDefault="00F428F7" w:rsidP="00663F7F">
      <w:pPr>
        <w:numPr>
          <w:ilvl w:val="0"/>
          <w:numId w:val="26"/>
        </w:numPr>
        <w:spacing w:after="0"/>
        <w:jc w:val="both"/>
        <w:rPr>
          <w:rFonts w:ascii="Arial" w:hAnsi="Arial" w:cs="Arial"/>
          <w:sz w:val="24"/>
          <w:szCs w:val="24"/>
        </w:rPr>
      </w:pPr>
      <w:r>
        <w:rPr>
          <w:rFonts w:ascii="Arial" w:hAnsi="Arial" w:cs="Arial"/>
          <w:sz w:val="24"/>
          <w:szCs w:val="24"/>
        </w:rPr>
        <w:t>Kulturno okruž</w:t>
      </w:r>
      <w:r w:rsidR="003770FA" w:rsidRPr="00722DF4">
        <w:rPr>
          <w:rFonts w:ascii="Arial" w:hAnsi="Arial" w:cs="Arial"/>
          <w:sz w:val="24"/>
          <w:szCs w:val="24"/>
        </w:rPr>
        <w:t>enje – arheološke, kulturne i nas</w:t>
      </w:r>
      <w:r>
        <w:rPr>
          <w:rFonts w:ascii="Arial" w:hAnsi="Arial" w:cs="Arial"/>
          <w:sz w:val="24"/>
          <w:szCs w:val="24"/>
        </w:rPr>
        <w:t>ledne karakteristike koje uključ</w:t>
      </w:r>
      <w:r w:rsidR="003770FA" w:rsidRPr="00722DF4">
        <w:rPr>
          <w:rFonts w:ascii="Arial" w:hAnsi="Arial" w:cs="Arial"/>
          <w:sz w:val="24"/>
          <w:szCs w:val="24"/>
        </w:rPr>
        <w:t>uju bilo koju lokaci</w:t>
      </w:r>
      <w:r>
        <w:rPr>
          <w:rFonts w:ascii="Arial" w:hAnsi="Arial" w:cs="Arial"/>
          <w:sz w:val="24"/>
          <w:szCs w:val="24"/>
        </w:rPr>
        <w:t>ju ili svojstvo istorijskog znač</w:t>
      </w:r>
      <w:r w:rsidR="003770FA" w:rsidRPr="00722DF4">
        <w:rPr>
          <w:rFonts w:ascii="Arial" w:hAnsi="Arial" w:cs="Arial"/>
          <w:sz w:val="24"/>
          <w:szCs w:val="24"/>
        </w:rPr>
        <w:t>aja koje bi se moglo naći po</w:t>
      </w:r>
      <w:r>
        <w:rPr>
          <w:rFonts w:ascii="Arial" w:hAnsi="Arial" w:cs="Arial"/>
          <w:sz w:val="24"/>
          <w:szCs w:val="24"/>
        </w:rPr>
        <w:t xml:space="preserve">d uticajem </w:t>
      </w:r>
      <w:r>
        <w:rPr>
          <w:rFonts w:ascii="Arial" w:hAnsi="Arial" w:cs="Arial"/>
          <w:sz w:val="24"/>
          <w:szCs w:val="24"/>
        </w:rPr>
        <w:lastRenderedPageBreak/>
        <w:t>fizič</w:t>
      </w:r>
      <w:r w:rsidR="003770FA" w:rsidRPr="00722DF4">
        <w:rPr>
          <w:rFonts w:ascii="Arial" w:hAnsi="Arial" w:cs="Arial"/>
          <w:sz w:val="24"/>
          <w:szCs w:val="24"/>
        </w:rPr>
        <w:t>kog aspekta projekta. Ovaj potencijalni tip uticaj</w:t>
      </w:r>
      <w:r>
        <w:rPr>
          <w:rFonts w:ascii="Arial" w:hAnsi="Arial" w:cs="Arial"/>
          <w:sz w:val="24"/>
          <w:szCs w:val="24"/>
        </w:rPr>
        <w:t>a se ne oč</w:t>
      </w:r>
      <w:r w:rsidR="00C321EE" w:rsidRPr="00722DF4">
        <w:rPr>
          <w:rFonts w:ascii="Arial" w:hAnsi="Arial" w:cs="Arial"/>
          <w:sz w:val="24"/>
          <w:szCs w:val="24"/>
        </w:rPr>
        <w:t>ekuje na bazi raspolož</w:t>
      </w:r>
      <w:r w:rsidR="003770FA" w:rsidRPr="00722DF4">
        <w:rPr>
          <w:rFonts w:ascii="Arial" w:hAnsi="Arial" w:cs="Arial"/>
          <w:sz w:val="24"/>
          <w:szCs w:val="24"/>
        </w:rPr>
        <w:t>ivih informacija i neće se dalje razmatrati.</w:t>
      </w:r>
    </w:p>
    <w:p w:rsidR="00F428F7" w:rsidRPr="00722DF4" w:rsidRDefault="00F428F7" w:rsidP="00F428F7">
      <w:pPr>
        <w:spacing w:after="0"/>
        <w:jc w:val="both"/>
        <w:rPr>
          <w:rFonts w:ascii="Arial" w:hAnsi="Arial" w:cs="Arial"/>
          <w:sz w:val="24"/>
          <w:szCs w:val="24"/>
        </w:rPr>
      </w:pPr>
    </w:p>
    <w:p w:rsidR="00264A87" w:rsidRDefault="00264A87" w:rsidP="00F428F7">
      <w:pPr>
        <w:pStyle w:val="Heading2"/>
        <w:numPr>
          <w:ilvl w:val="0"/>
          <w:numId w:val="0"/>
        </w:numPr>
      </w:pPr>
      <w:bookmarkStart w:id="48" w:name="_Toc6172837"/>
      <w:r w:rsidRPr="00722DF4">
        <w:t xml:space="preserve">6.2.  </w:t>
      </w:r>
      <w:r w:rsidR="00F428F7">
        <w:t>Uticaji na k</w:t>
      </w:r>
      <w:r w:rsidRPr="00722DF4">
        <w:t>valitet vazduha</w:t>
      </w:r>
      <w:bookmarkEnd w:id="48"/>
      <w:r w:rsidRPr="00722DF4">
        <w:t xml:space="preserve"> </w:t>
      </w:r>
    </w:p>
    <w:p w:rsidR="00F428F7" w:rsidRPr="00722DF4" w:rsidRDefault="00F428F7" w:rsidP="00722DF4">
      <w:pPr>
        <w:spacing w:after="0"/>
        <w:jc w:val="both"/>
        <w:rPr>
          <w:rFonts w:ascii="Arial" w:hAnsi="Arial" w:cs="Arial"/>
          <w:b/>
          <w:sz w:val="24"/>
          <w:szCs w:val="24"/>
        </w:rPr>
      </w:pPr>
    </w:p>
    <w:p w:rsidR="00F428F7" w:rsidRDefault="00F428F7" w:rsidP="00722DF4">
      <w:pPr>
        <w:spacing w:after="0"/>
        <w:jc w:val="both"/>
        <w:rPr>
          <w:rFonts w:ascii="Arial" w:hAnsi="Arial" w:cs="Arial"/>
          <w:sz w:val="24"/>
          <w:szCs w:val="24"/>
        </w:rPr>
      </w:pPr>
      <w:r>
        <w:rPr>
          <w:rFonts w:ascii="Arial" w:hAnsi="Arial" w:cs="Arial"/>
          <w:sz w:val="24"/>
          <w:szCs w:val="24"/>
        </w:rPr>
        <w:t>Znač</w:t>
      </w:r>
      <w:r w:rsidR="00264A87" w:rsidRPr="00722DF4">
        <w:rPr>
          <w:rFonts w:ascii="Arial" w:hAnsi="Arial" w:cs="Arial"/>
          <w:sz w:val="24"/>
          <w:szCs w:val="24"/>
        </w:rPr>
        <w:t>ajnu potencijalnu opasnost za vazduh u životnoj sred</w:t>
      </w:r>
      <w:r>
        <w:rPr>
          <w:rFonts w:ascii="Arial" w:hAnsi="Arial" w:cs="Arial"/>
          <w:sz w:val="24"/>
          <w:szCs w:val="24"/>
        </w:rPr>
        <w:t>ini predstavljaju suspendovane č</w:t>
      </w:r>
      <w:r w:rsidR="00264A87" w:rsidRPr="00722DF4">
        <w:rPr>
          <w:rFonts w:ascii="Arial" w:hAnsi="Arial" w:cs="Arial"/>
          <w:sz w:val="24"/>
          <w:szCs w:val="24"/>
        </w:rPr>
        <w:t>e</w:t>
      </w:r>
      <w:r>
        <w:rPr>
          <w:rFonts w:ascii="Arial" w:hAnsi="Arial" w:cs="Arial"/>
          <w:sz w:val="24"/>
          <w:szCs w:val="24"/>
        </w:rPr>
        <w:t>stice (mineralna prašina) č</w:t>
      </w:r>
      <w:r w:rsidR="00264A87" w:rsidRPr="00722DF4">
        <w:rPr>
          <w:rFonts w:ascii="Arial" w:hAnsi="Arial" w:cs="Arial"/>
          <w:sz w:val="24"/>
          <w:szCs w:val="24"/>
        </w:rPr>
        <w:t xml:space="preserve">ije vrijednosti imisija, u određenim prirodnim </w:t>
      </w:r>
      <w:r>
        <w:rPr>
          <w:rFonts w:ascii="Arial" w:hAnsi="Arial" w:cs="Arial"/>
          <w:sz w:val="24"/>
          <w:szCs w:val="24"/>
        </w:rPr>
        <w:t>uslovima, mogu biti iznad granič</w:t>
      </w:r>
      <w:r w:rsidR="00264A87" w:rsidRPr="00722DF4">
        <w:rPr>
          <w:rFonts w:ascii="Arial" w:hAnsi="Arial" w:cs="Arial"/>
          <w:sz w:val="24"/>
          <w:szCs w:val="24"/>
        </w:rPr>
        <w:t>nih vrijednosti</w:t>
      </w:r>
      <w:r>
        <w:rPr>
          <w:rFonts w:ascii="Arial" w:hAnsi="Arial" w:cs="Arial"/>
          <w:sz w:val="24"/>
          <w:szCs w:val="24"/>
        </w:rPr>
        <w:t xml:space="preserve"> propisanih za nastanjena područ</w:t>
      </w:r>
      <w:r w:rsidR="00264A87" w:rsidRPr="00722DF4">
        <w:rPr>
          <w:rFonts w:ascii="Arial" w:hAnsi="Arial" w:cs="Arial"/>
          <w:sz w:val="24"/>
          <w:szCs w:val="24"/>
        </w:rPr>
        <w:t>ja.</w:t>
      </w:r>
    </w:p>
    <w:p w:rsidR="00264A87" w:rsidRDefault="00264A87" w:rsidP="00722DF4">
      <w:pPr>
        <w:spacing w:after="0"/>
        <w:jc w:val="both"/>
        <w:rPr>
          <w:rFonts w:ascii="Arial" w:hAnsi="Arial" w:cs="Arial"/>
          <w:sz w:val="24"/>
          <w:szCs w:val="24"/>
        </w:rPr>
      </w:pPr>
      <w:r w:rsidRPr="00722DF4">
        <w:rPr>
          <w:rFonts w:ascii="Arial" w:hAnsi="Arial" w:cs="Arial"/>
          <w:sz w:val="24"/>
          <w:szCs w:val="24"/>
        </w:rPr>
        <w:t xml:space="preserve"> Nastajanje disperzne faze (lebdeće prašine) u vazduhu radne okoline vezano je u većoj ili manjoj mjeri za sve projektovane faze tehnološkog procesa. </w:t>
      </w:r>
    </w:p>
    <w:p w:rsidR="00241DE9" w:rsidRPr="00722DF4" w:rsidRDefault="00241DE9" w:rsidP="00722DF4">
      <w:pPr>
        <w:spacing w:after="0"/>
        <w:jc w:val="both"/>
        <w:rPr>
          <w:rFonts w:ascii="Arial" w:hAnsi="Arial" w:cs="Arial"/>
          <w:sz w:val="24"/>
          <w:szCs w:val="24"/>
        </w:rPr>
      </w:pPr>
    </w:p>
    <w:p w:rsidR="00241DE9" w:rsidRDefault="00241DE9" w:rsidP="00722DF4">
      <w:pPr>
        <w:spacing w:after="0"/>
        <w:jc w:val="both"/>
        <w:rPr>
          <w:rFonts w:ascii="Arial" w:hAnsi="Arial" w:cs="Arial"/>
          <w:sz w:val="24"/>
          <w:szCs w:val="24"/>
        </w:rPr>
      </w:pPr>
      <w:r>
        <w:rPr>
          <w:rFonts w:ascii="Arial" w:hAnsi="Arial" w:cs="Arial"/>
          <w:sz w:val="24"/>
          <w:szCs w:val="24"/>
        </w:rPr>
        <w:t>Karakteristič</w:t>
      </w:r>
      <w:r w:rsidR="00264A87" w:rsidRPr="00722DF4">
        <w:rPr>
          <w:rFonts w:ascii="Arial" w:hAnsi="Arial" w:cs="Arial"/>
          <w:sz w:val="24"/>
          <w:szCs w:val="24"/>
        </w:rPr>
        <w:t>ni izvori zag</w:t>
      </w:r>
      <w:r>
        <w:rPr>
          <w:rFonts w:ascii="Arial" w:hAnsi="Arial" w:cs="Arial"/>
          <w:sz w:val="24"/>
          <w:szCs w:val="24"/>
        </w:rPr>
        <w:t>ađivanja vazduha suspendovanim česticama su: tač</w:t>
      </w:r>
      <w:r w:rsidR="00264A87" w:rsidRPr="00722DF4">
        <w:rPr>
          <w:rFonts w:ascii="Arial" w:hAnsi="Arial" w:cs="Arial"/>
          <w:sz w:val="24"/>
          <w:szCs w:val="24"/>
        </w:rPr>
        <w:t>k</w:t>
      </w:r>
      <w:r>
        <w:rPr>
          <w:rFonts w:ascii="Arial" w:hAnsi="Arial" w:cs="Arial"/>
          <w:sz w:val="24"/>
          <w:szCs w:val="24"/>
        </w:rPr>
        <w:t>asti (bušaća garnitura, utovarač</w:t>
      </w:r>
      <w:r w:rsidR="00264A87" w:rsidRPr="00722DF4">
        <w:rPr>
          <w:rFonts w:ascii="Arial" w:hAnsi="Arial" w:cs="Arial"/>
          <w:sz w:val="24"/>
          <w:szCs w:val="24"/>
        </w:rPr>
        <w:t>i), linijski (putevi na površ</w:t>
      </w:r>
      <w:r>
        <w:rPr>
          <w:rFonts w:ascii="Arial" w:hAnsi="Arial" w:cs="Arial"/>
          <w:sz w:val="24"/>
          <w:szCs w:val="24"/>
        </w:rPr>
        <w:t>inskom kopu i koncesionom područ</w:t>
      </w:r>
      <w:r w:rsidR="00264A87" w:rsidRPr="00722DF4">
        <w:rPr>
          <w:rFonts w:ascii="Arial" w:hAnsi="Arial" w:cs="Arial"/>
          <w:sz w:val="24"/>
          <w:szCs w:val="24"/>
        </w:rPr>
        <w:t>ju), površinski (aktivne površine na površinskom kopu, odlagališta i jalovište).</w:t>
      </w:r>
    </w:p>
    <w:p w:rsidR="00AC5C0F" w:rsidRDefault="00AC5C0F" w:rsidP="00722DF4">
      <w:pPr>
        <w:spacing w:after="0"/>
        <w:jc w:val="both"/>
        <w:rPr>
          <w:rFonts w:ascii="Arial" w:hAnsi="Arial" w:cs="Arial"/>
          <w:sz w:val="24"/>
          <w:szCs w:val="24"/>
        </w:rPr>
      </w:pPr>
    </w:p>
    <w:p w:rsidR="00241DE9" w:rsidRDefault="00241DE9" w:rsidP="00722DF4">
      <w:pPr>
        <w:spacing w:after="0"/>
        <w:jc w:val="both"/>
        <w:rPr>
          <w:rFonts w:ascii="Arial" w:hAnsi="Arial" w:cs="Arial"/>
          <w:sz w:val="24"/>
          <w:szCs w:val="24"/>
        </w:rPr>
      </w:pPr>
      <w:r>
        <w:rPr>
          <w:rFonts w:ascii="Arial" w:hAnsi="Arial" w:cs="Arial"/>
          <w:sz w:val="24"/>
          <w:szCs w:val="24"/>
        </w:rPr>
        <w:t xml:space="preserve"> Primarne izvore č</w:t>
      </w:r>
      <w:r w:rsidR="00264A87" w:rsidRPr="00722DF4">
        <w:rPr>
          <w:rFonts w:ascii="Arial" w:hAnsi="Arial" w:cs="Arial"/>
          <w:sz w:val="24"/>
          <w:szCs w:val="24"/>
        </w:rPr>
        <w:t>ine rudarske mašine i tehnološka opre</w:t>
      </w:r>
      <w:r>
        <w:rPr>
          <w:rFonts w:ascii="Arial" w:hAnsi="Arial" w:cs="Arial"/>
          <w:sz w:val="24"/>
          <w:szCs w:val="24"/>
        </w:rPr>
        <w:t>ma u radu, a sekundarne izvore č</w:t>
      </w:r>
      <w:r w:rsidR="00264A87" w:rsidRPr="00722DF4">
        <w:rPr>
          <w:rFonts w:ascii="Arial" w:hAnsi="Arial" w:cs="Arial"/>
          <w:sz w:val="24"/>
          <w:szCs w:val="24"/>
        </w:rPr>
        <w:t>ine sve aktivne površine, koje pod uticajem vjetra emituju u vazdušnu sredinu lebdeću frakciju iz nataloţene prašine. Ukupan intenzitet zagađivanja vazduha mineralnom prašinom je u velikoj zavisnosti o</w:t>
      </w:r>
      <w:r>
        <w:rPr>
          <w:rFonts w:ascii="Arial" w:hAnsi="Arial" w:cs="Arial"/>
          <w:sz w:val="24"/>
          <w:szCs w:val="24"/>
        </w:rPr>
        <w:t>d meteoroloških uslova, što znač</w:t>
      </w:r>
      <w:r w:rsidR="00264A87" w:rsidRPr="00722DF4">
        <w:rPr>
          <w:rFonts w:ascii="Arial" w:hAnsi="Arial" w:cs="Arial"/>
          <w:sz w:val="24"/>
          <w:szCs w:val="24"/>
        </w:rPr>
        <w:t>i da povremeno u sušnim periodima tokom godine može preds</w:t>
      </w:r>
      <w:r>
        <w:rPr>
          <w:rFonts w:ascii="Arial" w:hAnsi="Arial" w:cs="Arial"/>
          <w:sz w:val="24"/>
          <w:szCs w:val="24"/>
        </w:rPr>
        <w:t>tavljati potencijalnog zagađivač</w:t>
      </w:r>
      <w:r w:rsidR="00264A87" w:rsidRPr="00722DF4">
        <w:rPr>
          <w:rFonts w:ascii="Arial" w:hAnsi="Arial" w:cs="Arial"/>
          <w:sz w:val="24"/>
          <w:szCs w:val="24"/>
        </w:rPr>
        <w:t>a vazduha u aktivnoj sredini. Zagađivanje vazduha izduvnim gasovima iz motora rudarskih utovarnih, transportnih i pomoćnih mašina vezano je za emisije sledećih gasova: ugljen</w:t>
      </w:r>
      <w:r>
        <w:rPr>
          <w:rFonts w:ascii="Arial" w:hAnsi="Arial" w:cs="Arial"/>
          <w:sz w:val="24"/>
          <w:szCs w:val="24"/>
        </w:rPr>
        <w:t>monoksida CO, ugljendioksida CO</w:t>
      </w:r>
      <w:r>
        <w:rPr>
          <w:rFonts w:ascii="Arial" w:hAnsi="Arial" w:cs="Arial"/>
          <w:sz w:val="24"/>
          <w:szCs w:val="24"/>
          <w:vertAlign w:val="subscript"/>
        </w:rPr>
        <w:t>2</w:t>
      </w:r>
      <w:r w:rsidR="00264A87" w:rsidRPr="00722DF4">
        <w:rPr>
          <w:rFonts w:ascii="Arial" w:hAnsi="Arial" w:cs="Arial"/>
          <w:sz w:val="24"/>
          <w:szCs w:val="24"/>
        </w:rPr>
        <w:t>, azotni</w:t>
      </w:r>
      <w:r>
        <w:rPr>
          <w:rFonts w:ascii="Arial" w:hAnsi="Arial" w:cs="Arial"/>
          <w:sz w:val="24"/>
          <w:szCs w:val="24"/>
        </w:rPr>
        <w:t>h oksida NOx, sumpordioksida SO</w:t>
      </w:r>
      <w:r>
        <w:rPr>
          <w:rFonts w:ascii="Arial" w:hAnsi="Arial" w:cs="Arial"/>
          <w:sz w:val="24"/>
          <w:szCs w:val="24"/>
          <w:vertAlign w:val="subscript"/>
        </w:rPr>
        <w:t>2</w:t>
      </w:r>
      <w:r w:rsidR="00264A87" w:rsidRPr="00722DF4">
        <w:rPr>
          <w:rFonts w:ascii="Arial" w:hAnsi="Arial" w:cs="Arial"/>
          <w:sz w:val="24"/>
          <w:szCs w:val="24"/>
        </w:rPr>
        <w:t>, akroleina i dr. Polutanti kao što su izduvni gasovi, na površinskim kopovima sa diskontinualnom tehnologijom eksploatacije, po intenzitetu emi</w:t>
      </w:r>
      <w:r>
        <w:rPr>
          <w:rFonts w:ascii="Arial" w:hAnsi="Arial" w:cs="Arial"/>
          <w:sz w:val="24"/>
          <w:szCs w:val="24"/>
        </w:rPr>
        <w:t>sije spadaju u male izvore zagađ</w:t>
      </w:r>
      <w:r w:rsidR="00264A87" w:rsidRPr="00722DF4">
        <w:rPr>
          <w:rFonts w:ascii="Arial" w:hAnsi="Arial" w:cs="Arial"/>
          <w:sz w:val="24"/>
          <w:szCs w:val="24"/>
        </w:rPr>
        <w:t>en</w:t>
      </w:r>
      <w:r>
        <w:rPr>
          <w:rFonts w:ascii="Arial" w:hAnsi="Arial" w:cs="Arial"/>
          <w:sz w:val="24"/>
          <w:szCs w:val="24"/>
        </w:rPr>
        <w:t>ja i ne evidentiraju se kao značajni uzročnici ugrožavanja ž</w:t>
      </w:r>
      <w:r w:rsidR="00264A87" w:rsidRPr="00722DF4">
        <w:rPr>
          <w:rFonts w:ascii="Arial" w:hAnsi="Arial" w:cs="Arial"/>
          <w:sz w:val="24"/>
          <w:szCs w:val="24"/>
        </w:rPr>
        <w:t>ivo</w:t>
      </w:r>
      <w:r>
        <w:rPr>
          <w:rFonts w:ascii="Arial" w:hAnsi="Arial" w:cs="Arial"/>
          <w:sz w:val="24"/>
          <w:szCs w:val="24"/>
        </w:rPr>
        <w:t xml:space="preserve">tne sredine u nastanjenim područjima. </w:t>
      </w:r>
    </w:p>
    <w:p w:rsidR="00241DE9" w:rsidRDefault="00241DE9" w:rsidP="00722DF4">
      <w:pPr>
        <w:spacing w:after="0"/>
        <w:jc w:val="both"/>
        <w:rPr>
          <w:rFonts w:ascii="Arial" w:hAnsi="Arial" w:cs="Arial"/>
          <w:sz w:val="24"/>
          <w:szCs w:val="24"/>
        </w:rPr>
      </w:pPr>
    </w:p>
    <w:p w:rsidR="00AC5C0F" w:rsidRPr="00722DF4" w:rsidRDefault="00241DE9" w:rsidP="00AC5C0F">
      <w:pPr>
        <w:spacing w:after="0"/>
        <w:jc w:val="both"/>
        <w:rPr>
          <w:rFonts w:ascii="Arial" w:hAnsi="Arial" w:cs="Arial"/>
          <w:sz w:val="24"/>
          <w:szCs w:val="24"/>
        </w:rPr>
      </w:pPr>
      <w:r>
        <w:rPr>
          <w:rFonts w:ascii="Arial" w:hAnsi="Arial" w:cs="Arial"/>
          <w:sz w:val="24"/>
          <w:szCs w:val="24"/>
        </w:rPr>
        <w:t>Normirane vrijednosti k</w:t>
      </w:r>
      <w:r w:rsidR="00264A87" w:rsidRPr="00722DF4">
        <w:rPr>
          <w:rFonts w:ascii="Arial" w:hAnsi="Arial" w:cs="Arial"/>
          <w:sz w:val="24"/>
          <w:szCs w:val="24"/>
        </w:rPr>
        <w:t>ao rezultat potrebe za procjenom, analizom i umanjenjem utic</w:t>
      </w:r>
      <w:r>
        <w:rPr>
          <w:rFonts w:ascii="Arial" w:hAnsi="Arial" w:cs="Arial"/>
          <w:sz w:val="24"/>
          <w:szCs w:val="24"/>
        </w:rPr>
        <w:t>aja pojedinih aerozagađenja na čoveka, biljke, ž</w:t>
      </w:r>
      <w:r w:rsidR="00264A87" w:rsidRPr="00722DF4">
        <w:rPr>
          <w:rFonts w:ascii="Arial" w:hAnsi="Arial" w:cs="Arial"/>
          <w:sz w:val="24"/>
          <w:szCs w:val="24"/>
        </w:rPr>
        <w:t>ivotinje i materijale donete su zakonske norme koje regulišu ovu problematiku, pre svih Zakon o zaštiti vazduha („Sl. list CG” br. 25/10 i 43/15) i na osnovu njega donijete</w:t>
      </w:r>
      <w:r>
        <w:rPr>
          <w:rFonts w:ascii="Arial" w:hAnsi="Arial" w:cs="Arial"/>
          <w:sz w:val="24"/>
          <w:szCs w:val="24"/>
        </w:rPr>
        <w:t xml:space="preserve"> Uredbe o utvrđivanju vrsta zagaćujućih materija, granič</w:t>
      </w:r>
      <w:r w:rsidR="00264A87" w:rsidRPr="00722DF4">
        <w:rPr>
          <w:rFonts w:ascii="Arial" w:hAnsi="Arial" w:cs="Arial"/>
          <w:sz w:val="24"/>
          <w:szCs w:val="24"/>
        </w:rPr>
        <w:t>nih vrijednosti i drugih standarda kvaliteta vazduha ("Sluţbeni list CG", broj 25/12). Zakonom o zaštiti vazduha uređuje se upravl</w:t>
      </w:r>
      <w:r>
        <w:rPr>
          <w:rFonts w:ascii="Arial" w:hAnsi="Arial" w:cs="Arial"/>
          <w:sz w:val="24"/>
          <w:szCs w:val="24"/>
        </w:rPr>
        <w:t>janje kvalitetom vazduha i određ</w:t>
      </w:r>
      <w:r w:rsidR="00264A87" w:rsidRPr="00722DF4">
        <w:rPr>
          <w:rFonts w:ascii="Arial" w:hAnsi="Arial" w:cs="Arial"/>
          <w:sz w:val="24"/>
          <w:szCs w:val="24"/>
        </w:rPr>
        <w:t>uju mjere, na</w:t>
      </w:r>
      <w:r>
        <w:rPr>
          <w:rFonts w:ascii="Arial" w:hAnsi="Arial" w:cs="Arial"/>
          <w:sz w:val="24"/>
          <w:szCs w:val="24"/>
        </w:rPr>
        <w:t>č</w:t>
      </w:r>
      <w:r w:rsidR="00264A87" w:rsidRPr="00722DF4">
        <w:rPr>
          <w:rFonts w:ascii="Arial" w:hAnsi="Arial" w:cs="Arial"/>
          <w:sz w:val="24"/>
          <w:szCs w:val="24"/>
        </w:rPr>
        <w:t>in organizovanja i kontr</w:t>
      </w:r>
      <w:r>
        <w:rPr>
          <w:rFonts w:ascii="Arial" w:hAnsi="Arial" w:cs="Arial"/>
          <w:sz w:val="24"/>
          <w:szCs w:val="24"/>
        </w:rPr>
        <w:t>ola sprovođ</w:t>
      </w:r>
      <w:r w:rsidR="00264A87" w:rsidRPr="00722DF4">
        <w:rPr>
          <w:rFonts w:ascii="Arial" w:hAnsi="Arial" w:cs="Arial"/>
          <w:sz w:val="24"/>
          <w:szCs w:val="24"/>
        </w:rPr>
        <w:t>enja zaštite i poboljšanja kvaliteta vazduha kao prirodne vrijed</w:t>
      </w:r>
      <w:r>
        <w:rPr>
          <w:rFonts w:ascii="Arial" w:hAnsi="Arial" w:cs="Arial"/>
          <w:sz w:val="24"/>
          <w:szCs w:val="24"/>
        </w:rPr>
        <w:t>nosti od opšteg interesa koja uđ</w:t>
      </w:r>
      <w:r w:rsidR="00264A87" w:rsidRPr="00722DF4">
        <w:rPr>
          <w:rFonts w:ascii="Arial" w:hAnsi="Arial" w:cs="Arial"/>
          <w:sz w:val="24"/>
          <w:szCs w:val="24"/>
        </w:rPr>
        <w:t xml:space="preserve">ivaju posebnu zaštitu. Na osnovu njega Uredbom </w:t>
      </w:r>
      <w:r>
        <w:rPr>
          <w:rFonts w:ascii="Arial" w:hAnsi="Arial" w:cs="Arial"/>
          <w:sz w:val="24"/>
          <w:szCs w:val="24"/>
        </w:rPr>
        <w:t>se utvrđuju</w:t>
      </w:r>
      <w:r w:rsidR="00264A87" w:rsidRPr="00722DF4">
        <w:rPr>
          <w:rFonts w:ascii="Arial" w:hAnsi="Arial" w:cs="Arial"/>
          <w:sz w:val="24"/>
          <w:szCs w:val="24"/>
        </w:rPr>
        <w:t xml:space="preserve"> vr</w:t>
      </w:r>
      <w:r>
        <w:rPr>
          <w:rFonts w:ascii="Arial" w:hAnsi="Arial" w:cs="Arial"/>
          <w:sz w:val="24"/>
          <w:szCs w:val="24"/>
        </w:rPr>
        <w:t>ste zagađujućih materija, granič</w:t>
      </w:r>
      <w:r w:rsidR="00264A87" w:rsidRPr="00722DF4">
        <w:rPr>
          <w:rFonts w:ascii="Arial" w:hAnsi="Arial" w:cs="Arial"/>
          <w:sz w:val="24"/>
          <w:szCs w:val="24"/>
        </w:rPr>
        <w:t>ne vrijednosti i drugi standardi kvaliteta vazduha, granice ocenjiv</w:t>
      </w:r>
      <w:r>
        <w:rPr>
          <w:rFonts w:ascii="Arial" w:hAnsi="Arial" w:cs="Arial"/>
          <w:sz w:val="24"/>
          <w:szCs w:val="24"/>
        </w:rPr>
        <w:t>anja, ciljne vrijednosti, kritič</w:t>
      </w:r>
      <w:r w:rsidR="00264A87" w:rsidRPr="00722DF4">
        <w:rPr>
          <w:rFonts w:ascii="Arial" w:hAnsi="Arial" w:cs="Arial"/>
          <w:sz w:val="24"/>
          <w:szCs w:val="24"/>
        </w:rPr>
        <w:t xml:space="preserve">ni nivoi i potrebne mjere </w:t>
      </w:r>
      <w:r w:rsidR="00264A87" w:rsidRPr="00722DF4">
        <w:rPr>
          <w:rFonts w:ascii="Arial" w:hAnsi="Arial" w:cs="Arial"/>
          <w:sz w:val="24"/>
          <w:szCs w:val="24"/>
        </w:rPr>
        <w:lastRenderedPageBreak/>
        <w:t>zaštite zdravlja ljudi, koje se pri njihovoj pojavi moraju preduzeti, kao i rokov</w:t>
      </w:r>
      <w:r>
        <w:rPr>
          <w:rFonts w:ascii="Arial" w:hAnsi="Arial" w:cs="Arial"/>
          <w:sz w:val="24"/>
          <w:szCs w:val="24"/>
        </w:rPr>
        <w:t>i za postepeno dostizanje granič</w:t>
      </w:r>
      <w:r w:rsidR="00264A87" w:rsidRPr="00722DF4">
        <w:rPr>
          <w:rFonts w:ascii="Arial" w:hAnsi="Arial" w:cs="Arial"/>
          <w:sz w:val="24"/>
          <w:szCs w:val="24"/>
        </w:rPr>
        <w:t>nih i ciljnih vrijedn</w:t>
      </w:r>
      <w:r>
        <w:rPr>
          <w:rFonts w:ascii="Arial" w:hAnsi="Arial" w:cs="Arial"/>
          <w:sz w:val="24"/>
          <w:szCs w:val="24"/>
        </w:rPr>
        <w:t>osti kvaliteta vazduha i dugoroč</w:t>
      </w:r>
      <w:r w:rsidR="00264A87" w:rsidRPr="00722DF4">
        <w:rPr>
          <w:rFonts w:ascii="Arial" w:hAnsi="Arial" w:cs="Arial"/>
          <w:sz w:val="24"/>
          <w:szCs w:val="24"/>
        </w:rPr>
        <w:t xml:space="preserve">nih ciljeva za ozon. </w:t>
      </w:r>
    </w:p>
    <w:p w:rsidR="00241DE9" w:rsidRDefault="00241DE9" w:rsidP="00722DF4">
      <w:pPr>
        <w:spacing w:after="0"/>
        <w:jc w:val="both"/>
        <w:rPr>
          <w:rFonts w:ascii="Arial" w:hAnsi="Arial" w:cs="Arial"/>
          <w:sz w:val="24"/>
          <w:szCs w:val="24"/>
        </w:rPr>
      </w:pPr>
    </w:p>
    <w:p w:rsidR="007F39F0" w:rsidRPr="007806FD" w:rsidRDefault="00AC5C0F" w:rsidP="00722DF4">
      <w:pPr>
        <w:spacing w:after="0"/>
        <w:jc w:val="both"/>
        <w:rPr>
          <w:rFonts w:ascii="Arial" w:hAnsi="Arial" w:cs="Arial"/>
        </w:rPr>
      </w:pPr>
      <w:r w:rsidRPr="007806FD">
        <w:rPr>
          <w:rFonts w:ascii="Arial" w:hAnsi="Arial" w:cs="Arial"/>
          <w:b/>
        </w:rPr>
        <w:t>Tabela 6.2</w:t>
      </w:r>
      <w:r w:rsidR="007F39F0" w:rsidRPr="007806FD">
        <w:rPr>
          <w:rFonts w:ascii="Arial" w:hAnsi="Arial" w:cs="Arial"/>
          <w:b/>
        </w:rPr>
        <w:t>.</w:t>
      </w:r>
      <w:r w:rsidR="007F39F0" w:rsidRPr="007806FD">
        <w:rPr>
          <w:rFonts w:ascii="Arial" w:hAnsi="Arial" w:cs="Arial"/>
        </w:rPr>
        <w:t xml:space="preserve"> Ciljane vrijednosti koncentracija teških metala </w:t>
      </w:r>
      <w:r w:rsidR="00241DE9" w:rsidRPr="007806FD">
        <w:rPr>
          <w:rFonts w:ascii="Arial" w:hAnsi="Arial" w:cs="Arial"/>
        </w:rPr>
        <w:t>i policikličnih aromatič</w:t>
      </w:r>
      <w:r w:rsidR="007F39F0" w:rsidRPr="007806FD">
        <w:rPr>
          <w:rFonts w:ascii="Arial" w:hAnsi="Arial" w:cs="Arial"/>
        </w:rPr>
        <w:t>nih ugljovodonika i PM2,5</w:t>
      </w:r>
      <w:r w:rsidR="00241DE9" w:rsidRPr="007806FD">
        <w:rPr>
          <w:rFonts w:ascii="Arial" w:hAnsi="Arial" w:cs="Arial"/>
        </w:rPr>
        <w:t xml:space="preserve"> za zaštitu zdravlja </w:t>
      </w:r>
      <w:r w:rsidR="00241DE9" w:rsidRPr="007806FD">
        <w:rPr>
          <w:rFonts w:ascii="Arial" w:hAnsi="Arial" w:cs="Arial"/>
          <w:i/>
        </w:rPr>
        <w:t>(Prema Služ</w:t>
      </w:r>
      <w:r w:rsidR="007F39F0" w:rsidRPr="007806FD">
        <w:rPr>
          <w:rFonts w:ascii="Arial" w:hAnsi="Arial" w:cs="Arial"/>
          <w:i/>
        </w:rPr>
        <w:t>benom listu CG br. 25/12)</w:t>
      </w:r>
    </w:p>
    <w:p w:rsidR="00264A87"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5512435" cy="124206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cstate="print"/>
                    <a:srcRect/>
                    <a:stretch>
                      <a:fillRect/>
                    </a:stretch>
                  </pic:blipFill>
                  <pic:spPr bwMode="auto">
                    <a:xfrm>
                      <a:off x="0" y="0"/>
                      <a:ext cx="5512435" cy="1242060"/>
                    </a:xfrm>
                    <a:prstGeom prst="rect">
                      <a:avLst/>
                    </a:prstGeom>
                    <a:noFill/>
                    <a:ln w="9525">
                      <a:noFill/>
                      <a:miter lim="800000"/>
                      <a:headEnd/>
                      <a:tailEnd/>
                    </a:ln>
                  </pic:spPr>
                </pic:pic>
              </a:graphicData>
            </a:graphic>
          </wp:inline>
        </w:drawing>
      </w:r>
    </w:p>
    <w:p w:rsidR="00241DE9" w:rsidRDefault="00241DE9" w:rsidP="00722DF4">
      <w:pPr>
        <w:spacing w:after="0"/>
        <w:jc w:val="both"/>
        <w:rPr>
          <w:rFonts w:ascii="Arial" w:hAnsi="Arial" w:cs="Arial"/>
          <w:sz w:val="24"/>
          <w:szCs w:val="24"/>
        </w:rPr>
      </w:pPr>
    </w:p>
    <w:p w:rsidR="00AC5C0F" w:rsidRDefault="007F39F0" w:rsidP="00722DF4">
      <w:pPr>
        <w:spacing w:after="0"/>
        <w:jc w:val="both"/>
        <w:rPr>
          <w:rFonts w:ascii="Arial" w:hAnsi="Arial" w:cs="Arial"/>
          <w:sz w:val="24"/>
          <w:szCs w:val="24"/>
        </w:rPr>
      </w:pPr>
      <w:r w:rsidRPr="00722DF4">
        <w:rPr>
          <w:rFonts w:ascii="Arial" w:hAnsi="Arial" w:cs="Arial"/>
          <w:sz w:val="24"/>
          <w:szCs w:val="24"/>
        </w:rPr>
        <w:t>Prostiranje štetnih mater</w:t>
      </w:r>
      <w:r w:rsidR="00241DE9">
        <w:rPr>
          <w:rFonts w:ascii="Arial" w:hAnsi="Arial" w:cs="Arial"/>
          <w:sz w:val="24"/>
          <w:szCs w:val="24"/>
        </w:rPr>
        <w:t>ija zavisi od vrste izvora zagađenja, odnosno da li je izvor tač</w:t>
      </w:r>
      <w:r w:rsidRPr="00722DF4">
        <w:rPr>
          <w:rFonts w:ascii="Arial" w:hAnsi="Arial" w:cs="Arial"/>
          <w:sz w:val="24"/>
          <w:szCs w:val="24"/>
        </w:rPr>
        <w:t>kasti (prizemni ili visinski), površinski izvor ili linijs</w:t>
      </w:r>
      <w:r w:rsidR="00241DE9">
        <w:rPr>
          <w:rFonts w:ascii="Arial" w:hAnsi="Arial" w:cs="Arial"/>
          <w:sz w:val="24"/>
          <w:szCs w:val="24"/>
        </w:rPr>
        <w:t>ki. U metodološkim istraživanjima i praktičnim analizama i procjenama najčešće se za određ</w:t>
      </w:r>
      <w:r w:rsidRPr="00722DF4">
        <w:rPr>
          <w:rFonts w:ascii="Arial" w:hAnsi="Arial" w:cs="Arial"/>
          <w:sz w:val="24"/>
          <w:szCs w:val="24"/>
        </w:rPr>
        <w:t>ivanje prostiranja štetnih materija koriste gaus</w:t>
      </w:r>
      <w:r w:rsidR="00241DE9">
        <w:rPr>
          <w:rFonts w:ascii="Arial" w:hAnsi="Arial" w:cs="Arial"/>
          <w:sz w:val="24"/>
          <w:szCs w:val="24"/>
        </w:rPr>
        <w:t xml:space="preserve">ovi modeli. </w:t>
      </w:r>
    </w:p>
    <w:p w:rsidR="00EC7F62" w:rsidRPr="00722DF4" w:rsidRDefault="00EC7F62" w:rsidP="00722DF4">
      <w:pPr>
        <w:spacing w:after="0"/>
        <w:jc w:val="both"/>
        <w:rPr>
          <w:rFonts w:ascii="Arial" w:hAnsi="Arial" w:cs="Arial"/>
          <w:sz w:val="24"/>
          <w:szCs w:val="24"/>
        </w:rPr>
      </w:pPr>
    </w:p>
    <w:p w:rsidR="00241DE9" w:rsidRDefault="00241DE9" w:rsidP="00B6390F">
      <w:pPr>
        <w:pStyle w:val="Normal1"/>
        <w:spacing w:line="276" w:lineRule="auto"/>
      </w:pPr>
      <w:r>
        <w:t>Potencijalna opasnost od zagađivanja vazduha u ž</w:t>
      </w:r>
      <w:r w:rsidR="007F39F0" w:rsidRPr="00722DF4">
        <w:t>ivotnoj sredini u najvećoj mjeri je u funkciji dispergovanja sitnih frakcija prašine sa suvih površina i distribucije, pod uticajem vjetra, izvan rudarskog kompleksa.</w:t>
      </w:r>
      <w:r>
        <w:t xml:space="preserve"> Aktivne etaž</w:t>
      </w:r>
      <w:r w:rsidR="007F39F0" w:rsidRPr="00722DF4">
        <w:t>e na površinskim kopovima i odlagalištima jalovine (površinski emitori) i putevi kamionskog trans</w:t>
      </w:r>
      <w:r>
        <w:t>porta (Iinijski emitori) u određ</w:t>
      </w:r>
      <w:r w:rsidR="007F39F0" w:rsidRPr="00722DF4">
        <w:t>enim prirodnim uslovima (deficit vlage, visoka temperatura, pove</w:t>
      </w:r>
      <w:r>
        <w:t>ćana brzina vjetra) postaju znač</w:t>
      </w:r>
      <w:r w:rsidR="007F39F0" w:rsidRPr="00722DF4">
        <w:t xml:space="preserve">ajni emitori prašine. Dodatnom emitovanju doprinose, u manjoj mjeri, rudarske mašine i tehnološka oprema neposredno u radu na otkopavanju, transportu i odlaganju. </w:t>
      </w:r>
    </w:p>
    <w:p w:rsidR="00241DE9" w:rsidRPr="004D7972" w:rsidRDefault="00241DE9" w:rsidP="00B6390F">
      <w:pPr>
        <w:pStyle w:val="Normal1"/>
        <w:spacing w:line="276" w:lineRule="auto"/>
      </w:pPr>
    </w:p>
    <w:p w:rsidR="007F39F0" w:rsidRDefault="007F39F0" w:rsidP="00B6390F">
      <w:pPr>
        <w:pStyle w:val="Normal1"/>
        <w:spacing w:line="276" w:lineRule="auto"/>
      </w:pPr>
      <w:r w:rsidRPr="00722DF4">
        <w:t>U tabeli 6.</w:t>
      </w:r>
      <w:r w:rsidR="00AC5C0F">
        <w:rPr>
          <w:lang w:val="sr-Latn-CS"/>
        </w:rPr>
        <w:t>3.</w:t>
      </w:r>
      <w:r w:rsidRPr="00722DF4">
        <w:t xml:space="preserve"> prikazani su faktori emisije prašine u zavisnosti od tipa aktivnosti i opreme</w:t>
      </w:r>
      <w:r w:rsidR="00AC5C0F">
        <w:rPr>
          <w:lang w:val="sr-Latn-CS"/>
        </w:rPr>
        <w:t xml:space="preserve"> koji se uobičajeno koriste u proizvodnji mineralnih resursa.</w:t>
      </w:r>
      <w:r w:rsidRPr="00722DF4">
        <w:t xml:space="preserve"> </w:t>
      </w:r>
      <w:r w:rsidR="00AC5C0F">
        <w:t>Intenzitet aerozaga</w:t>
      </w:r>
      <w:r w:rsidR="00AC5C0F">
        <w:rPr>
          <w:lang w:val="sr-Latn-CS"/>
        </w:rPr>
        <w:t>đ</w:t>
      </w:r>
      <w:r w:rsidRPr="00722DF4">
        <w:t>enja zavisi od sledećeg niza faktora: prirodnih karakteristika stijenskog masiva, klimatskih i meteoroloških uslova, tehnologije eksploatacije leţišta mineralnih sirovina, efikasnosti</w:t>
      </w:r>
      <w:r w:rsidR="00AC5C0F">
        <w:t xml:space="preserve"> primijenjenog postupka za spre</w:t>
      </w:r>
      <w:r w:rsidR="00AC5C0F">
        <w:rPr>
          <w:lang w:val="sr-Latn-CS"/>
        </w:rPr>
        <w:t>č</w:t>
      </w:r>
      <w:r w:rsidRPr="00722DF4">
        <w:t xml:space="preserve">avanje emitovanja prašine. </w:t>
      </w:r>
    </w:p>
    <w:p w:rsidR="00241DE9" w:rsidRPr="00241DE9" w:rsidRDefault="00241DE9" w:rsidP="00241DE9"/>
    <w:p w:rsidR="004D7972" w:rsidRDefault="004D7972" w:rsidP="00241DE9">
      <w:pPr>
        <w:spacing w:after="0"/>
        <w:jc w:val="both"/>
        <w:rPr>
          <w:rFonts w:ascii="Arial" w:hAnsi="Arial" w:cs="Arial"/>
          <w:b/>
          <w:sz w:val="24"/>
          <w:szCs w:val="24"/>
        </w:rPr>
      </w:pPr>
    </w:p>
    <w:p w:rsidR="004D7972" w:rsidRDefault="004D7972" w:rsidP="00241DE9">
      <w:pPr>
        <w:spacing w:after="0"/>
        <w:jc w:val="both"/>
        <w:rPr>
          <w:rFonts w:ascii="Arial" w:hAnsi="Arial" w:cs="Arial"/>
          <w:b/>
          <w:sz w:val="24"/>
          <w:szCs w:val="24"/>
        </w:rPr>
      </w:pPr>
    </w:p>
    <w:p w:rsidR="004D7972" w:rsidRDefault="004D7972" w:rsidP="00241DE9">
      <w:pPr>
        <w:spacing w:after="0"/>
        <w:jc w:val="both"/>
        <w:rPr>
          <w:rFonts w:ascii="Arial" w:hAnsi="Arial" w:cs="Arial"/>
          <w:b/>
          <w:sz w:val="24"/>
          <w:szCs w:val="24"/>
        </w:rPr>
      </w:pPr>
    </w:p>
    <w:p w:rsidR="004D7972" w:rsidRDefault="004D7972" w:rsidP="00241DE9">
      <w:pPr>
        <w:spacing w:after="0"/>
        <w:jc w:val="both"/>
        <w:rPr>
          <w:rFonts w:ascii="Arial" w:hAnsi="Arial" w:cs="Arial"/>
          <w:b/>
          <w:sz w:val="24"/>
          <w:szCs w:val="24"/>
        </w:rPr>
      </w:pPr>
    </w:p>
    <w:p w:rsidR="007806FD" w:rsidRDefault="007806FD" w:rsidP="00241DE9">
      <w:pPr>
        <w:spacing w:after="0"/>
        <w:jc w:val="both"/>
        <w:rPr>
          <w:rFonts w:ascii="Arial" w:hAnsi="Arial" w:cs="Arial"/>
          <w:b/>
          <w:sz w:val="24"/>
          <w:szCs w:val="24"/>
        </w:rPr>
      </w:pPr>
    </w:p>
    <w:p w:rsidR="004D7972" w:rsidRDefault="004D7972" w:rsidP="00241DE9">
      <w:pPr>
        <w:spacing w:after="0"/>
        <w:jc w:val="both"/>
        <w:rPr>
          <w:rFonts w:ascii="Arial" w:hAnsi="Arial" w:cs="Arial"/>
          <w:b/>
          <w:sz w:val="24"/>
          <w:szCs w:val="24"/>
        </w:rPr>
      </w:pPr>
    </w:p>
    <w:p w:rsidR="00652BC8" w:rsidRPr="007806FD" w:rsidRDefault="00241DE9" w:rsidP="00722DF4">
      <w:pPr>
        <w:spacing w:after="0"/>
        <w:jc w:val="both"/>
        <w:rPr>
          <w:rFonts w:ascii="Arial" w:hAnsi="Arial" w:cs="Arial"/>
          <w:i/>
        </w:rPr>
      </w:pPr>
      <w:r w:rsidRPr="007806FD">
        <w:rPr>
          <w:rFonts w:ascii="Arial" w:hAnsi="Arial" w:cs="Arial"/>
          <w:b/>
        </w:rPr>
        <w:lastRenderedPageBreak/>
        <w:t>Tabela 6.</w:t>
      </w:r>
      <w:r w:rsidR="00AC5C0F" w:rsidRPr="007806FD">
        <w:rPr>
          <w:rFonts w:ascii="Arial" w:hAnsi="Arial" w:cs="Arial"/>
          <w:b/>
        </w:rPr>
        <w:t>3</w:t>
      </w:r>
      <w:r w:rsidRPr="007806FD">
        <w:rPr>
          <w:rFonts w:ascii="Arial" w:hAnsi="Arial" w:cs="Arial"/>
          <w:b/>
        </w:rPr>
        <w:t>.</w:t>
      </w:r>
      <w:r w:rsidRPr="007806FD">
        <w:rPr>
          <w:rFonts w:ascii="Arial" w:hAnsi="Arial" w:cs="Arial"/>
        </w:rPr>
        <w:t xml:space="preserve"> Faktori emisije prašine u zavisnosti od tipa aktivnosti i opreme, </w:t>
      </w:r>
      <w:r w:rsidR="00E34207" w:rsidRPr="007806FD">
        <w:rPr>
          <w:rFonts w:ascii="Arial" w:hAnsi="Arial" w:cs="Arial"/>
          <w:i/>
        </w:rPr>
        <w:t>(</w:t>
      </w:r>
      <w:r w:rsidRPr="007806FD">
        <w:rPr>
          <w:rFonts w:ascii="Arial" w:hAnsi="Arial" w:cs="Arial"/>
          <w:i/>
        </w:rPr>
        <w:t>National Pollutant Inventory (2011) i EPA (US EPA AP-42)</w:t>
      </w:r>
      <w:r w:rsidR="00E34207" w:rsidRPr="007806FD">
        <w:rPr>
          <w:rFonts w:ascii="Arial" w:hAnsi="Arial" w:cs="Arial"/>
          <w:i/>
        </w:rPr>
        <w:t>)</w:t>
      </w:r>
    </w:p>
    <w:p w:rsidR="00652BC8" w:rsidRPr="00722DF4" w:rsidRDefault="001210F4" w:rsidP="00722DF4">
      <w:pPr>
        <w:spacing w:after="0"/>
        <w:jc w:val="both"/>
        <w:rPr>
          <w:rFonts w:ascii="Arial" w:hAnsi="Arial" w:cs="Arial"/>
          <w:sz w:val="24"/>
          <w:szCs w:val="24"/>
        </w:rPr>
      </w:pPr>
      <w:r>
        <w:rPr>
          <w:rFonts w:ascii="Arial" w:hAnsi="Arial" w:cs="Arial"/>
          <w:noProof/>
          <w:sz w:val="24"/>
          <w:szCs w:val="24"/>
        </w:rPr>
        <w:drawing>
          <wp:inline distT="0" distB="0" distL="0" distR="0">
            <wp:extent cx="6047105" cy="2941320"/>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srcRect/>
                    <a:stretch>
                      <a:fillRect/>
                    </a:stretch>
                  </pic:blipFill>
                  <pic:spPr bwMode="auto">
                    <a:xfrm>
                      <a:off x="0" y="0"/>
                      <a:ext cx="6047105" cy="2941320"/>
                    </a:xfrm>
                    <a:prstGeom prst="rect">
                      <a:avLst/>
                    </a:prstGeom>
                    <a:noFill/>
                    <a:ln w="9525">
                      <a:noFill/>
                      <a:miter lim="800000"/>
                      <a:headEnd/>
                      <a:tailEnd/>
                    </a:ln>
                  </pic:spPr>
                </pic:pic>
              </a:graphicData>
            </a:graphic>
          </wp:inline>
        </w:drawing>
      </w:r>
    </w:p>
    <w:p w:rsidR="00E34207" w:rsidRDefault="00E34207" w:rsidP="00722DF4">
      <w:pPr>
        <w:spacing w:after="0"/>
        <w:jc w:val="both"/>
        <w:rPr>
          <w:rFonts w:ascii="Arial" w:hAnsi="Arial" w:cs="Arial"/>
          <w:sz w:val="24"/>
          <w:szCs w:val="24"/>
        </w:rPr>
      </w:pPr>
    </w:p>
    <w:p w:rsidR="009605DF" w:rsidRPr="009605DF" w:rsidRDefault="009605DF" w:rsidP="009605DF">
      <w:pPr>
        <w:pStyle w:val="Normal1"/>
        <w:spacing w:line="276" w:lineRule="auto"/>
        <w:rPr>
          <w:lang w:val="sr-Latn-CS"/>
        </w:rPr>
      </w:pPr>
      <w:r>
        <w:rPr>
          <w:lang w:val="sr-Latn-CS"/>
        </w:rPr>
        <w:t>Najčešće s</w:t>
      </w:r>
      <w:r w:rsidRPr="00722DF4">
        <w:t>u</w:t>
      </w:r>
      <w:r>
        <w:rPr>
          <w:lang w:val="sr-Latn-CS"/>
        </w:rPr>
        <w:t xml:space="preserve"> u</w:t>
      </w:r>
      <w:r w:rsidRPr="00722DF4">
        <w:t xml:space="preserve"> pitanju prizemni i niski izv</w:t>
      </w:r>
      <w:r>
        <w:t xml:space="preserve">ori distribucija suspendovanih </w:t>
      </w:r>
      <w:r>
        <w:rPr>
          <w:lang w:val="sr-Latn-CS"/>
        </w:rPr>
        <w:t>č</w:t>
      </w:r>
      <w:r w:rsidRPr="00722DF4">
        <w:t>estica</w:t>
      </w:r>
      <w:r>
        <w:rPr>
          <w:lang w:val="sr-Latn-CS"/>
        </w:rPr>
        <w:t xml:space="preserve"> pa je i distribucija</w:t>
      </w:r>
      <w:r w:rsidRPr="00722DF4">
        <w:t xml:space="preserve"> ograni</w:t>
      </w:r>
      <w:r>
        <w:rPr>
          <w:lang w:val="sr-Latn-CS"/>
        </w:rPr>
        <w:t>č</w:t>
      </w:r>
      <w:r w:rsidRPr="00722DF4">
        <w:t>ena je na relativno male daljine</w:t>
      </w:r>
      <w:r>
        <w:rPr>
          <w:lang w:val="sr-Latn-CS"/>
        </w:rPr>
        <w:t xml:space="preserve">. U zavisnosti od prirodnih uslova, </w:t>
      </w:r>
      <w:r w:rsidRPr="00722DF4">
        <w:t>odnosno klimatskih i meteoroloških faktora</w:t>
      </w:r>
      <w:r>
        <w:rPr>
          <w:lang w:val="sr-Latn-CS"/>
        </w:rPr>
        <w:t xml:space="preserve">, može se očekivati </w:t>
      </w:r>
      <w:r>
        <w:t>da će u određ</w:t>
      </w:r>
      <w:r w:rsidRPr="00722DF4">
        <w:t>enim uslovima sitne frakcije biti nošene i na veće udaljenosti.</w:t>
      </w:r>
      <w:r>
        <w:rPr>
          <w:lang w:val="sr-Latn-CS"/>
        </w:rPr>
        <w:t xml:space="preserve"> </w:t>
      </w:r>
    </w:p>
    <w:p w:rsidR="00317F6B" w:rsidRDefault="00317F6B" w:rsidP="00B6390F">
      <w:pPr>
        <w:pStyle w:val="Normal1"/>
        <w:spacing w:line="276" w:lineRule="auto"/>
        <w:rPr>
          <w:lang w:val="sr-Latn-CS"/>
        </w:rPr>
      </w:pPr>
    </w:p>
    <w:p w:rsidR="00317F6B" w:rsidRPr="00317F6B" w:rsidRDefault="00317F6B" w:rsidP="00B6390F">
      <w:pPr>
        <w:pStyle w:val="Normal1"/>
        <w:spacing w:line="276" w:lineRule="auto"/>
        <w:rPr>
          <w:lang w:val="sr-Latn-CS"/>
        </w:rPr>
      </w:pPr>
      <w:r>
        <w:rPr>
          <w:lang w:val="sr-Latn-CS"/>
        </w:rPr>
        <w:t xml:space="preserve">Kada se govori o uticaju proizvodnje minrelnih sirovina na kvalitet vazduha posebno treba istaći otpad koji nastaje u procesu proizvodnje. Odlagališta jalovine dobijene u procesu proizvodnje mogu značajno doprineti pogoršanju kvaliteta vazduha, pre svega raznošenjem čestica prašine sa odlagališta. Hemijski, odnosno mineralni sastav otpada zavisi od tehnologije proizvodnje i od same mineralne sirovine. </w:t>
      </w:r>
    </w:p>
    <w:p w:rsidR="00E34207" w:rsidRPr="00722DF4" w:rsidRDefault="00E34207" w:rsidP="00722DF4">
      <w:pPr>
        <w:spacing w:after="0"/>
        <w:jc w:val="both"/>
        <w:rPr>
          <w:rFonts w:ascii="Arial" w:hAnsi="Arial" w:cs="Arial"/>
          <w:sz w:val="24"/>
          <w:szCs w:val="24"/>
        </w:rPr>
      </w:pPr>
    </w:p>
    <w:p w:rsidR="00D0702F" w:rsidRDefault="00E34207" w:rsidP="00E34207">
      <w:pPr>
        <w:pStyle w:val="Heading2"/>
        <w:numPr>
          <w:ilvl w:val="0"/>
          <w:numId w:val="0"/>
        </w:numPr>
      </w:pPr>
      <w:bookmarkStart w:id="49" w:name="_Toc6172838"/>
      <w:r>
        <w:t>6.3</w:t>
      </w:r>
      <w:r w:rsidR="00D0702F" w:rsidRPr="00722DF4">
        <w:t xml:space="preserve">. </w:t>
      </w:r>
      <w:r>
        <w:t>Uticaji na k</w:t>
      </w:r>
      <w:r w:rsidR="00D0702F" w:rsidRPr="00722DF4">
        <w:t>valitet voda</w:t>
      </w:r>
      <w:bookmarkEnd w:id="49"/>
      <w:r w:rsidR="00D0702F" w:rsidRPr="00722DF4">
        <w:t xml:space="preserve"> </w:t>
      </w:r>
    </w:p>
    <w:p w:rsidR="00E34207" w:rsidRPr="00722DF4" w:rsidRDefault="00E34207" w:rsidP="00722DF4">
      <w:pPr>
        <w:spacing w:after="0"/>
        <w:jc w:val="both"/>
        <w:rPr>
          <w:rFonts w:ascii="Arial" w:hAnsi="Arial" w:cs="Arial"/>
          <w:sz w:val="24"/>
          <w:szCs w:val="24"/>
        </w:rPr>
      </w:pPr>
    </w:p>
    <w:p w:rsidR="00D0702F" w:rsidRDefault="000153B6" w:rsidP="00722DF4">
      <w:pPr>
        <w:spacing w:after="0"/>
        <w:jc w:val="both"/>
        <w:rPr>
          <w:rFonts w:ascii="Arial" w:hAnsi="Arial" w:cs="Arial"/>
          <w:sz w:val="24"/>
          <w:szCs w:val="24"/>
        </w:rPr>
      </w:pPr>
      <w:r w:rsidRPr="00722DF4">
        <w:rPr>
          <w:rFonts w:ascii="Arial" w:hAnsi="Arial" w:cs="Arial"/>
          <w:sz w:val="24"/>
          <w:szCs w:val="24"/>
        </w:rPr>
        <w:t>Površinska eksploatacija lež</w:t>
      </w:r>
      <w:r w:rsidR="00D0702F" w:rsidRPr="00722DF4">
        <w:rPr>
          <w:rFonts w:ascii="Arial" w:hAnsi="Arial" w:cs="Arial"/>
          <w:sz w:val="24"/>
          <w:szCs w:val="24"/>
        </w:rPr>
        <w:t>išta prema karakter</w:t>
      </w:r>
      <w:r w:rsidRPr="00722DF4">
        <w:rPr>
          <w:rFonts w:ascii="Arial" w:hAnsi="Arial" w:cs="Arial"/>
          <w:sz w:val="24"/>
          <w:szCs w:val="24"/>
        </w:rPr>
        <w:t>istikama tehnološkog procesa mož</w:t>
      </w:r>
      <w:r w:rsidR="00D0702F" w:rsidRPr="00722DF4">
        <w:rPr>
          <w:rFonts w:ascii="Arial" w:hAnsi="Arial" w:cs="Arial"/>
          <w:sz w:val="24"/>
          <w:szCs w:val="24"/>
        </w:rPr>
        <w:t xml:space="preserve">e usloviti promjene </w:t>
      </w:r>
      <w:r w:rsidRPr="00722DF4">
        <w:rPr>
          <w:rFonts w:ascii="Arial" w:hAnsi="Arial" w:cs="Arial"/>
          <w:sz w:val="24"/>
          <w:szCs w:val="24"/>
        </w:rPr>
        <w:t>hidrogeoloških i hidroloških režima už</w:t>
      </w:r>
      <w:r w:rsidR="00E34207">
        <w:rPr>
          <w:rFonts w:ascii="Arial" w:hAnsi="Arial" w:cs="Arial"/>
          <w:sz w:val="24"/>
          <w:szCs w:val="24"/>
        </w:rPr>
        <w:t>eg i šireg područ</w:t>
      </w:r>
      <w:r w:rsidR="00D0702F" w:rsidRPr="00722DF4">
        <w:rPr>
          <w:rFonts w:ascii="Arial" w:hAnsi="Arial" w:cs="Arial"/>
          <w:sz w:val="24"/>
          <w:szCs w:val="24"/>
        </w:rPr>
        <w:t>ja eksploatacije kao i emisije štetnih materija u površinske i podzemne vode.</w:t>
      </w:r>
    </w:p>
    <w:p w:rsidR="00E34207" w:rsidRPr="00722DF4" w:rsidRDefault="00E34207" w:rsidP="00722DF4">
      <w:pPr>
        <w:spacing w:after="0"/>
        <w:jc w:val="both"/>
        <w:rPr>
          <w:rFonts w:ascii="Arial" w:hAnsi="Arial" w:cs="Arial"/>
          <w:sz w:val="24"/>
          <w:szCs w:val="24"/>
        </w:rPr>
      </w:pPr>
    </w:p>
    <w:p w:rsidR="00D0702F" w:rsidRDefault="00E34207" w:rsidP="00722DF4">
      <w:pPr>
        <w:spacing w:after="0"/>
        <w:jc w:val="both"/>
        <w:rPr>
          <w:rFonts w:ascii="Arial" w:hAnsi="Arial" w:cs="Arial"/>
          <w:sz w:val="24"/>
          <w:szCs w:val="24"/>
        </w:rPr>
      </w:pPr>
      <w:r>
        <w:rPr>
          <w:rFonts w:ascii="Arial" w:hAnsi="Arial" w:cs="Arial"/>
          <w:sz w:val="24"/>
          <w:szCs w:val="24"/>
        </w:rPr>
        <w:t>U cilju obezbjeđ</w:t>
      </w:r>
      <w:r w:rsidR="00D0702F" w:rsidRPr="00722DF4">
        <w:rPr>
          <w:rFonts w:ascii="Arial" w:hAnsi="Arial" w:cs="Arial"/>
          <w:sz w:val="24"/>
          <w:szCs w:val="24"/>
        </w:rPr>
        <w:t>ivanja potrebne sigurnosti pri površinskoj eksploataciji neophodno je izvršiti prethodne radove na eksploatacionom polju u funkciji zaštite površinskog kopa od voda. Navedeni radovi se odnose na odvodnjavanje eksploatacionog polja</w:t>
      </w:r>
      <w:r>
        <w:rPr>
          <w:rFonts w:ascii="Arial" w:hAnsi="Arial" w:cs="Arial"/>
          <w:sz w:val="24"/>
          <w:szCs w:val="24"/>
        </w:rPr>
        <w:t>,</w:t>
      </w:r>
      <w:r w:rsidR="00D0702F" w:rsidRPr="00722DF4">
        <w:rPr>
          <w:rFonts w:ascii="Arial" w:hAnsi="Arial" w:cs="Arial"/>
          <w:sz w:val="24"/>
          <w:szCs w:val="24"/>
        </w:rPr>
        <w:t xml:space="preserve"> a ukoliko je potrebno i izmještanje aktivnih vodotokova izvan eksploatacionog polja, izradu zaštitnih </w:t>
      </w:r>
      <w:r w:rsidR="00D0702F" w:rsidRPr="00722DF4">
        <w:rPr>
          <w:rFonts w:ascii="Arial" w:hAnsi="Arial" w:cs="Arial"/>
          <w:sz w:val="24"/>
          <w:szCs w:val="24"/>
        </w:rPr>
        <w:lastRenderedPageBreak/>
        <w:t>ekrana i bunara, i izradu kanala po obodu eksploatacionog polja za odvodnjavanje atmosferskih voda. Radovi na zaštiti površinskog kopa od površinskih i podzemnih voda izaziva</w:t>
      </w:r>
      <w:r>
        <w:rPr>
          <w:rFonts w:ascii="Arial" w:hAnsi="Arial" w:cs="Arial"/>
          <w:sz w:val="24"/>
          <w:szCs w:val="24"/>
        </w:rPr>
        <w:t>ju promjene prirodnog vodnog režima područ</w:t>
      </w:r>
      <w:r w:rsidR="00D0702F" w:rsidRPr="00722DF4">
        <w:rPr>
          <w:rFonts w:ascii="Arial" w:hAnsi="Arial" w:cs="Arial"/>
          <w:sz w:val="24"/>
          <w:szCs w:val="24"/>
        </w:rPr>
        <w:t xml:space="preserve">ja </w:t>
      </w:r>
      <w:r>
        <w:rPr>
          <w:rFonts w:ascii="Arial" w:hAnsi="Arial" w:cs="Arial"/>
          <w:sz w:val="24"/>
          <w:szCs w:val="24"/>
        </w:rPr>
        <w:t>što mož</w:t>
      </w:r>
      <w:r w:rsidR="00D0702F" w:rsidRPr="00722DF4">
        <w:rPr>
          <w:rFonts w:ascii="Arial" w:hAnsi="Arial" w:cs="Arial"/>
          <w:sz w:val="24"/>
          <w:szCs w:val="24"/>
        </w:rPr>
        <w:t xml:space="preserve">e uticati i na spuštanje nivoa podzemnih voda i izvan eksploatacionog polja. </w:t>
      </w:r>
    </w:p>
    <w:p w:rsidR="00E34207" w:rsidRDefault="00E34207" w:rsidP="00722DF4">
      <w:pPr>
        <w:spacing w:after="0"/>
        <w:jc w:val="both"/>
        <w:rPr>
          <w:rFonts w:ascii="Arial" w:hAnsi="Arial" w:cs="Arial"/>
          <w:sz w:val="24"/>
          <w:szCs w:val="24"/>
        </w:rPr>
      </w:pPr>
    </w:p>
    <w:p w:rsidR="00E34207" w:rsidRDefault="00E34207" w:rsidP="00722DF4">
      <w:pPr>
        <w:spacing w:after="0"/>
        <w:jc w:val="both"/>
        <w:rPr>
          <w:rFonts w:ascii="Arial" w:hAnsi="Arial" w:cs="Arial"/>
          <w:sz w:val="24"/>
          <w:szCs w:val="24"/>
        </w:rPr>
      </w:pPr>
      <w:r>
        <w:rPr>
          <w:rFonts w:ascii="Arial" w:hAnsi="Arial" w:cs="Arial"/>
          <w:sz w:val="24"/>
          <w:szCs w:val="24"/>
        </w:rPr>
        <w:t xml:space="preserve">Rudarsku proizvodnju različitih mineralnih sirovina neretko prati određena količina otapda – jalovine, koji može biti različitog hemisjkog satava, u zavisnosti od vrste mineralne sirovine. Kada se govori o uticaju aktivnosti vezanih za eksploataciju mineralnih sirovina na kvalitet voda, posebnu pažnju treba posvetiti načinu odlaganja, odnosno organizacije jalovišta. </w:t>
      </w:r>
    </w:p>
    <w:p w:rsidR="00E34207" w:rsidRDefault="00E34207" w:rsidP="00722DF4">
      <w:pPr>
        <w:spacing w:after="0"/>
        <w:jc w:val="both"/>
        <w:rPr>
          <w:rFonts w:ascii="Arial" w:hAnsi="Arial" w:cs="Arial"/>
          <w:sz w:val="24"/>
          <w:szCs w:val="24"/>
        </w:rPr>
      </w:pPr>
    </w:p>
    <w:p w:rsidR="00E34207" w:rsidRDefault="00E34207" w:rsidP="00722DF4">
      <w:pPr>
        <w:spacing w:after="0"/>
        <w:jc w:val="both"/>
        <w:rPr>
          <w:rFonts w:ascii="Arial" w:hAnsi="Arial" w:cs="Arial"/>
          <w:sz w:val="24"/>
          <w:szCs w:val="24"/>
        </w:rPr>
      </w:pPr>
      <w:r>
        <w:rPr>
          <w:rFonts w:ascii="Arial" w:hAnsi="Arial" w:cs="Arial"/>
          <w:sz w:val="24"/>
          <w:szCs w:val="24"/>
        </w:rPr>
        <w:t>Ovaj važan segment uticaja na kvalitet vode, koji može biti različit u zavisnosti od hemijskih i fizičkih karakteristika same mineralne sirovine, u cilju pop</w:t>
      </w:r>
      <w:r w:rsidR="001B255C">
        <w:rPr>
          <w:rFonts w:ascii="Arial" w:hAnsi="Arial" w:cs="Arial"/>
          <w:sz w:val="24"/>
          <w:szCs w:val="24"/>
        </w:rPr>
        <w:t>tunog sagledavanja i definisanja</w:t>
      </w:r>
      <w:r>
        <w:rPr>
          <w:rFonts w:ascii="Arial" w:hAnsi="Arial" w:cs="Arial"/>
          <w:sz w:val="24"/>
          <w:szCs w:val="24"/>
        </w:rPr>
        <w:t>, mora b</w:t>
      </w:r>
      <w:r w:rsidR="001B255C">
        <w:rPr>
          <w:rFonts w:ascii="Arial" w:hAnsi="Arial" w:cs="Arial"/>
          <w:sz w:val="24"/>
          <w:szCs w:val="24"/>
        </w:rPr>
        <w:t>iti predmet razmatranja elaborata</w:t>
      </w:r>
      <w:r>
        <w:rPr>
          <w:rFonts w:ascii="Arial" w:hAnsi="Arial" w:cs="Arial"/>
          <w:sz w:val="24"/>
          <w:szCs w:val="24"/>
        </w:rPr>
        <w:t xml:space="preserve"> procjene uticaja na životnu sredinu koji se radi za svaku pojedinačnu lokaciju</w:t>
      </w:r>
      <w:r w:rsidR="001B255C">
        <w:rPr>
          <w:rFonts w:ascii="Arial" w:hAnsi="Arial" w:cs="Arial"/>
          <w:sz w:val="24"/>
          <w:szCs w:val="24"/>
        </w:rPr>
        <w:t xml:space="preserve"> (rudnik)</w:t>
      </w:r>
      <w:r>
        <w:rPr>
          <w:rFonts w:ascii="Arial" w:hAnsi="Arial" w:cs="Arial"/>
          <w:sz w:val="24"/>
          <w:szCs w:val="24"/>
        </w:rPr>
        <w:t xml:space="preserve">. </w:t>
      </w:r>
    </w:p>
    <w:p w:rsidR="00317F6B" w:rsidRDefault="00317F6B" w:rsidP="00722DF4">
      <w:pPr>
        <w:spacing w:after="0"/>
        <w:jc w:val="both"/>
        <w:rPr>
          <w:rFonts w:ascii="Arial" w:hAnsi="Arial" w:cs="Arial"/>
          <w:sz w:val="24"/>
          <w:szCs w:val="24"/>
        </w:rPr>
      </w:pPr>
    </w:p>
    <w:p w:rsidR="00AE3CFA" w:rsidRDefault="00317F6B" w:rsidP="00722DF4">
      <w:pPr>
        <w:spacing w:after="0"/>
        <w:jc w:val="both"/>
        <w:rPr>
          <w:rFonts w:ascii="Arial" w:hAnsi="Arial" w:cs="Arial"/>
          <w:sz w:val="24"/>
          <w:szCs w:val="24"/>
        </w:rPr>
      </w:pPr>
      <w:r>
        <w:rPr>
          <w:rFonts w:ascii="Arial" w:hAnsi="Arial" w:cs="Arial"/>
          <w:sz w:val="24"/>
          <w:szCs w:val="24"/>
        </w:rPr>
        <w:t>Imajući u vidu aktivnosti predviđene Planom, može se reći da sa stanovišta uticija na kvalitet voda najveći uticaji vezani su za proizvodnju metaličnih mineralnih sirovina kao i energenata, ondnosno uglja. Proizvodnja na</w:t>
      </w:r>
      <w:r w:rsidR="00AE3CFA">
        <w:rPr>
          <w:rFonts w:ascii="Arial" w:hAnsi="Arial" w:cs="Arial"/>
          <w:sz w:val="24"/>
          <w:szCs w:val="24"/>
        </w:rPr>
        <w:t>vede</w:t>
      </w:r>
      <w:r>
        <w:rPr>
          <w:rFonts w:ascii="Arial" w:hAnsi="Arial" w:cs="Arial"/>
          <w:sz w:val="24"/>
          <w:szCs w:val="24"/>
        </w:rPr>
        <w:t>nih mineralnih sirovina podrazumjeva izvesnu količinu otpada, odnosno jalovišta, koji u zavisnosti od tehnologije proizvodnje i same minralne sirovine, imaju različit</w:t>
      </w:r>
      <w:r w:rsidR="00AE3CFA">
        <w:rPr>
          <w:rFonts w:ascii="Arial" w:hAnsi="Arial" w:cs="Arial"/>
          <w:sz w:val="24"/>
          <w:szCs w:val="24"/>
        </w:rPr>
        <w:t xml:space="preserve"> hemijski sastav.</w:t>
      </w:r>
    </w:p>
    <w:p w:rsidR="00AE3CFA" w:rsidRPr="00AE3CFA" w:rsidRDefault="00AE3CFA" w:rsidP="00AE3CFA">
      <w:pPr>
        <w:spacing w:after="0"/>
        <w:jc w:val="both"/>
        <w:rPr>
          <w:rFonts w:ascii="Arial" w:hAnsi="Arial" w:cs="Arial"/>
          <w:sz w:val="24"/>
          <w:szCs w:val="24"/>
          <w:lang w:val="hr-HR"/>
        </w:rPr>
      </w:pPr>
      <w:r>
        <w:rPr>
          <w:rFonts w:ascii="Arial" w:hAnsi="Arial" w:cs="Arial"/>
          <w:sz w:val="24"/>
          <w:szCs w:val="24"/>
          <w:lang w:val="hr-HR"/>
        </w:rPr>
        <w:t>F</w:t>
      </w:r>
      <w:r w:rsidRPr="00AE3CFA">
        <w:rPr>
          <w:rFonts w:ascii="Arial" w:hAnsi="Arial" w:cs="Arial"/>
          <w:sz w:val="24"/>
          <w:szCs w:val="24"/>
          <w:lang w:val="hr-HR"/>
        </w:rPr>
        <w:t xml:space="preserve">ormiranje kiselih rudničkih voda u oblastima ležišta i eksploatacije sulfidnih minerala </w:t>
      </w:r>
      <w:r>
        <w:rPr>
          <w:rFonts w:ascii="Arial" w:hAnsi="Arial" w:cs="Arial"/>
          <w:sz w:val="24"/>
          <w:szCs w:val="24"/>
          <w:lang w:val="hr-HR"/>
        </w:rPr>
        <w:t xml:space="preserve">je </w:t>
      </w:r>
      <w:r w:rsidRPr="00AE3CFA">
        <w:rPr>
          <w:rFonts w:ascii="Arial" w:hAnsi="Arial" w:cs="Arial"/>
          <w:sz w:val="24"/>
          <w:szCs w:val="24"/>
          <w:lang w:val="hr-HR"/>
        </w:rPr>
        <w:t>prirodni proces, kao posledica o</w:t>
      </w:r>
      <w:r w:rsidRPr="00AE3CFA">
        <w:rPr>
          <w:rFonts w:ascii="Arial" w:hAnsi="Arial" w:cs="Arial"/>
          <w:sz w:val="24"/>
          <w:szCs w:val="24"/>
          <w:lang w:val="sr-Latn-CS"/>
        </w:rPr>
        <w:t>ksidacije</w:t>
      </w:r>
      <w:r w:rsidRPr="00AE3CFA">
        <w:rPr>
          <w:rFonts w:ascii="Arial" w:hAnsi="Arial" w:cs="Arial"/>
          <w:sz w:val="24"/>
          <w:szCs w:val="24"/>
          <w:lang w:val="hr-HR"/>
        </w:rPr>
        <w:t xml:space="preserve"> </w:t>
      </w:r>
      <w:r w:rsidRPr="00AE3CFA">
        <w:rPr>
          <w:rFonts w:ascii="Arial" w:hAnsi="Arial" w:cs="Arial"/>
          <w:sz w:val="24"/>
          <w:szCs w:val="24"/>
          <w:lang w:val="sr-Latn-CS"/>
        </w:rPr>
        <w:t>sulfidnih</w:t>
      </w:r>
      <w:r w:rsidRPr="00AE3CFA">
        <w:rPr>
          <w:rFonts w:ascii="Arial" w:hAnsi="Arial" w:cs="Arial"/>
          <w:sz w:val="24"/>
          <w:szCs w:val="24"/>
          <w:lang w:val="hr-HR"/>
        </w:rPr>
        <w:t xml:space="preserve"> </w:t>
      </w:r>
      <w:r w:rsidRPr="00AE3CFA">
        <w:rPr>
          <w:rFonts w:ascii="Arial" w:hAnsi="Arial" w:cs="Arial"/>
          <w:sz w:val="24"/>
          <w:szCs w:val="24"/>
          <w:lang w:val="sr-Latn-CS"/>
        </w:rPr>
        <w:t>minerala</w:t>
      </w:r>
      <w:r w:rsidRPr="00AE3CFA">
        <w:rPr>
          <w:rFonts w:ascii="Arial" w:hAnsi="Arial" w:cs="Arial"/>
          <w:sz w:val="24"/>
          <w:szCs w:val="24"/>
          <w:lang w:val="hr-HR"/>
        </w:rPr>
        <w:t xml:space="preserve"> </w:t>
      </w:r>
      <w:r w:rsidRPr="00AE3CFA">
        <w:rPr>
          <w:rFonts w:ascii="Arial" w:hAnsi="Arial" w:cs="Arial"/>
          <w:sz w:val="24"/>
          <w:szCs w:val="24"/>
          <w:lang w:val="sr-Latn-CS"/>
        </w:rPr>
        <w:t>izlo</w:t>
      </w:r>
      <w:r w:rsidRPr="00AE3CFA">
        <w:rPr>
          <w:rFonts w:ascii="Arial" w:hAnsi="Arial" w:cs="Arial"/>
          <w:sz w:val="24"/>
          <w:szCs w:val="24"/>
          <w:lang w:val="hr-HR"/>
        </w:rPr>
        <w:t>ž</w:t>
      </w:r>
      <w:r w:rsidRPr="00AE3CFA">
        <w:rPr>
          <w:rFonts w:ascii="Arial" w:hAnsi="Arial" w:cs="Arial"/>
          <w:sz w:val="24"/>
          <w:szCs w:val="24"/>
          <w:lang w:val="sr-Latn-CS"/>
        </w:rPr>
        <w:t>enih</w:t>
      </w:r>
      <w:r w:rsidRPr="00AE3CFA">
        <w:rPr>
          <w:rFonts w:ascii="Arial" w:hAnsi="Arial" w:cs="Arial"/>
          <w:sz w:val="24"/>
          <w:szCs w:val="24"/>
          <w:lang w:val="hr-HR"/>
        </w:rPr>
        <w:t xml:space="preserve"> </w:t>
      </w:r>
      <w:r w:rsidRPr="00AE3CFA">
        <w:rPr>
          <w:rFonts w:ascii="Arial" w:hAnsi="Arial" w:cs="Arial"/>
          <w:sz w:val="24"/>
          <w:szCs w:val="24"/>
          <w:lang w:val="sr-Latn-CS"/>
        </w:rPr>
        <w:t>atmosferilijama.</w:t>
      </w:r>
      <w:r w:rsidRPr="00AE3CFA">
        <w:rPr>
          <w:rFonts w:ascii="Arial" w:hAnsi="Arial" w:cs="Arial"/>
          <w:sz w:val="24"/>
          <w:szCs w:val="24"/>
          <w:lang w:val="hr-HR"/>
        </w:rPr>
        <w:t xml:space="preserve"> </w:t>
      </w:r>
      <w:r w:rsidRPr="00AE3CFA">
        <w:rPr>
          <w:rFonts w:ascii="Arial" w:hAnsi="Arial" w:cs="Arial"/>
          <w:sz w:val="24"/>
          <w:szCs w:val="24"/>
          <w:lang w:val="sr-Latn-CS"/>
        </w:rPr>
        <w:t>Rudarskim</w:t>
      </w:r>
      <w:r w:rsidRPr="00AE3CFA">
        <w:rPr>
          <w:rFonts w:ascii="Arial" w:hAnsi="Arial" w:cs="Arial"/>
          <w:sz w:val="24"/>
          <w:szCs w:val="24"/>
          <w:lang w:val="hr-HR"/>
        </w:rPr>
        <w:t xml:space="preserve"> </w:t>
      </w:r>
      <w:r w:rsidRPr="00AE3CFA">
        <w:rPr>
          <w:rFonts w:ascii="Arial" w:hAnsi="Arial" w:cs="Arial"/>
          <w:sz w:val="24"/>
          <w:szCs w:val="24"/>
          <w:lang w:val="sr-Latn-CS"/>
        </w:rPr>
        <w:t>aktivnostima</w:t>
      </w:r>
      <w:r w:rsidRPr="00AE3CFA">
        <w:rPr>
          <w:rFonts w:ascii="Arial" w:hAnsi="Arial" w:cs="Arial"/>
          <w:sz w:val="24"/>
          <w:szCs w:val="24"/>
          <w:lang w:val="hr-HR"/>
        </w:rPr>
        <w:t xml:space="preserve"> </w:t>
      </w:r>
      <w:r w:rsidRPr="00AE3CFA">
        <w:rPr>
          <w:rFonts w:ascii="Arial" w:hAnsi="Arial" w:cs="Arial"/>
          <w:sz w:val="24"/>
          <w:szCs w:val="24"/>
          <w:lang w:val="sr-Latn-CS"/>
        </w:rPr>
        <w:t>ova</w:t>
      </w:r>
      <w:r w:rsidRPr="00AE3CFA">
        <w:rPr>
          <w:rFonts w:ascii="Arial" w:hAnsi="Arial" w:cs="Arial"/>
          <w:sz w:val="24"/>
          <w:szCs w:val="24"/>
          <w:lang w:val="hr-HR"/>
        </w:rPr>
        <w:t xml:space="preserve"> </w:t>
      </w:r>
      <w:r w:rsidRPr="00AE3CFA">
        <w:rPr>
          <w:rFonts w:ascii="Arial" w:hAnsi="Arial" w:cs="Arial"/>
          <w:sz w:val="24"/>
          <w:szCs w:val="24"/>
          <w:lang w:val="sr-Latn-CS"/>
        </w:rPr>
        <w:t>oksidacija</w:t>
      </w:r>
      <w:r w:rsidRPr="00AE3CFA">
        <w:rPr>
          <w:rFonts w:ascii="Arial" w:hAnsi="Arial" w:cs="Arial"/>
          <w:sz w:val="24"/>
          <w:szCs w:val="24"/>
          <w:lang w:val="hr-HR"/>
        </w:rPr>
        <w:t xml:space="preserve"> </w:t>
      </w:r>
      <w:r w:rsidRPr="00AE3CFA">
        <w:rPr>
          <w:rFonts w:ascii="Arial" w:hAnsi="Arial" w:cs="Arial"/>
          <w:sz w:val="24"/>
          <w:szCs w:val="24"/>
          <w:lang w:val="sr-Latn-CS"/>
        </w:rPr>
        <w:t>se</w:t>
      </w:r>
      <w:r w:rsidRPr="00AE3CFA">
        <w:rPr>
          <w:rFonts w:ascii="Arial" w:hAnsi="Arial" w:cs="Arial"/>
          <w:sz w:val="24"/>
          <w:szCs w:val="24"/>
          <w:lang w:val="hr-HR"/>
        </w:rPr>
        <w:t xml:space="preserve"> </w:t>
      </w:r>
      <w:r w:rsidRPr="00AE3CFA">
        <w:rPr>
          <w:rFonts w:ascii="Arial" w:hAnsi="Arial" w:cs="Arial"/>
          <w:sz w:val="24"/>
          <w:szCs w:val="24"/>
          <w:lang w:val="sr-Latn-CS"/>
        </w:rPr>
        <w:t>ubrzava</w:t>
      </w:r>
      <w:r w:rsidRPr="00AE3CFA">
        <w:rPr>
          <w:rFonts w:ascii="Arial" w:hAnsi="Arial" w:cs="Arial"/>
          <w:sz w:val="24"/>
          <w:szCs w:val="24"/>
          <w:lang w:val="hr-HR"/>
        </w:rPr>
        <w:t xml:space="preserve"> </w:t>
      </w:r>
      <w:r w:rsidRPr="00AE3CFA">
        <w:rPr>
          <w:rFonts w:ascii="Arial" w:hAnsi="Arial" w:cs="Arial"/>
          <w:sz w:val="24"/>
          <w:szCs w:val="24"/>
          <w:lang w:val="sr-Latn-CS"/>
        </w:rPr>
        <w:t>jer</w:t>
      </w:r>
      <w:r w:rsidRPr="00AE3CFA">
        <w:rPr>
          <w:rFonts w:ascii="Arial" w:hAnsi="Arial" w:cs="Arial"/>
          <w:sz w:val="24"/>
          <w:szCs w:val="24"/>
          <w:lang w:val="hr-HR"/>
        </w:rPr>
        <w:t xml:space="preserve"> </w:t>
      </w:r>
      <w:r w:rsidRPr="00AE3CFA">
        <w:rPr>
          <w:rFonts w:ascii="Arial" w:hAnsi="Arial" w:cs="Arial"/>
          <w:sz w:val="24"/>
          <w:szCs w:val="24"/>
          <w:lang w:val="sr-Latn-CS"/>
        </w:rPr>
        <w:t>se</w:t>
      </w:r>
      <w:r w:rsidRPr="00AE3CFA">
        <w:rPr>
          <w:rFonts w:ascii="Arial" w:hAnsi="Arial" w:cs="Arial"/>
          <w:sz w:val="24"/>
          <w:szCs w:val="24"/>
          <w:lang w:val="hr-HR"/>
        </w:rPr>
        <w:t xml:space="preserve"> </w:t>
      </w:r>
      <w:r w:rsidRPr="00AE3CFA">
        <w:rPr>
          <w:rFonts w:ascii="Arial" w:hAnsi="Arial" w:cs="Arial"/>
          <w:sz w:val="24"/>
          <w:szCs w:val="24"/>
          <w:lang w:val="sr-Latn-CS"/>
        </w:rPr>
        <w:t>sulfidni</w:t>
      </w:r>
      <w:r w:rsidRPr="00AE3CFA">
        <w:rPr>
          <w:rFonts w:ascii="Arial" w:hAnsi="Arial" w:cs="Arial"/>
          <w:sz w:val="24"/>
          <w:szCs w:val="24"/>
          <w:lang w:val="hr-HR"/>
        </w:rPr>
        <w:t xml:space="preserve"> </w:t>
      </w:r>
      <w:r w:rsidRPr="00AE3CFA">
        <w:rPr>
          <w:rFonts w:ascii="Arial" w:hAnsi="Arial" w:cs="Arial"/>
          <w:sz w:val="24"/>
          <w:szCs w:val="24"/>
          <w:lang w:val="sr-Latn-CS"/>
        </w:rPr>
        <w:t>minerali</w:t>
      </w:r>
      <w:r w:rsidRPr="00AE3CFA">
        <w:rPr>
          <w:rFonts w:ascii="Arial" w:hAnsi="Arial" w:cs="Arial"/>
          <w:sz w:val="24"/>
          <w:szCs w:val="24"/>
          <w:lang w:val="hr-HR"/>
        </w:rPr>
        <w:t xml:space="preserve"> </w:t>
      </w:r>
      <w:r w:rsidRPr="00AE3CFA">
        <w:rPr>
          <w:rFonts w:ascii="Arial" w:hAnsi="Arial" w:cs="Arial"/>
          <w:sz w:val="24"/>
          <w:szCs w:val="24"/>
          <w:lang w:val="sr-Latn-CS"/>
        </w:rPr>
        <w:t>vi</w:t>
      </w:r>
      <w:r w:rsidRPr="00AE3CFA">
        <w:rPr>
          <w:rFonts w:ascii="Arial" w:hAnsi="Arial" w:cs="Arial"/>
          <w:sz w:val="24"/>
          <w:szCs w:val="24"/>
          <w:lang w:val="hr-HR"/>
        </w:rPr>
        <w:t>š</w:t>
      </w:r>
      <w:r w:rsidRPr="00AE3CFA">
        <w:rPr>
          <w:rFonts w:ascii="Arial" w:hAnsi="Arial" w:cs="Arial"/>
          <w:sz w:val="24"/>
          <w:szCs w:val="24"/>
          <w:lang w:val="sr-Latn-CS"/>
        </w:rPr>
        <w:t>e</w:t>
      </w:r>
      <w:r w:rsidRPr="00AE3CFA">
        <w:rPr>
          <w:rFonts w:ascii="Arial" w:hAnsi="Arial" w:cs="Arial"/>
          <w:sz w:val="24"/>
          <w:szCs w:val="24"/>
          <w:lang w:val="hr-HR"/>
        </w:rPr>
        <w:t xml:space="preserve"> </w:t>
      </w:r>
      <w:r w:rsidRPr="00AE3CFA">
        <w:rPr>
          <w:rFonts w:ascii="Arial" w:hAnsi="Arial" w:cs="Arial"/>
          <w:sz w:val="24"/>
          <w:szCs w:val="24"/>
          <w:lang w:val="sr-Latn-CS"/>
        </w:rPr>
        <w:t>izla</w:t>
      </w:r>
      <w:r w:rsidRPr="00AE3CFA">
        <w:rPr>
          <w:rFonts w:ascii="Arial" w:hAnsi="Arial" w:cs="Arial"/>
          <w:sz w:val="24"/>
          <w:szCs w:val="24"/>
          <w:lang w:val="hr-HR"/>
        </w:rPr>
        <w:t>ž</w:t>
      </w:r>
      <w:r w:rsidRPr="00AE3CFA">
        <w:rPr>
          <w:rFonts w:ascii="Arial" w:hAnsi="Arial" w:cs="Arial"/>
          <w:sz w:val="24"/>
          <w:szCs w:val="24"/>
          <w:lang w:val="sr-Latn-CS"/>
        </w:rPr>
        <w:t>u</w:t>
      </w:r>
      <w:r w:rsidRPr="00AE3CFA">
        <w:rPr>
          <w:rFonts w:ascii="Arial" w:hAnsi="Arial" w:cs="Arial"/>
          <w:sz w:val="24"/>
          <w:szCs w:val="24"/>
          <w:lang w:val="hr-HR"/>
        </w:rPr>
        <w:t xml:space="preserve"> </w:t>
      </w:r>
      <w:r w:rsidRPr="00AE3CFA">
        <w:rPr>
          <w:rFonts w:ascii="Arial" w:hAnsi="Arial" w:cs="Arial"/>
          <w:sz w:val="24"/>
          <w:szCs w:val="24"/>
          <w:lang w:val="sr-Latn-CS"/>
        </w:rPr>
        <w:t>atmosferilijama</w:t>
      </w:r>
      <w:r w:rsidRPr="00AE3CFA">
        <w:rPr>
          <w:rFonts w:ascii="Arial" w:hAnsi="Arial" w:cs="Arial"/>
          <w:sz w:val="24"/>
          <w:szCs w:val="24"/>
          <w:lang w:val="hr-HR"/>
        </w:rPr>
        <w:t xml:space="preserve">, </w:t>
      </w:r>
      <w:r w:rsidRPr="00AE3CFA">
        <w:rPr>
          <w:rFonts w:ascii="Arial" w:hAnsi="Arial" w:cs="Arial"/>
          <w:sz w:val="24"/>
          <w:szCs w:val="24"/>
          <w:lang w:val="sr-Latn-CS"/>
        </w:rPr>
        <w:t>a</w:t>
      </w:r>
      <w:r w:rsidRPr="00AE3CFA">
        <w:rPr>
          <w:rFonts w:ascii="Arial" w:hAnsi="Arial" w:cs="Arial"/>
          <w:sz w:val="24"/>
          <w:szCs w:val="24"/>
          <w:lang w:val="hr-HR"/>
        </w:rPr>
        <w:t xml:space="preserve"> usitnjavanjem sirovine i povećava sp</w:t>
      </w:r>
      <w:r w:rsidRPr="00AE3CFA">
        <w:rPr>
          <w:rFonts w:ascii="Arial" w:hAnsi="Arial" w:cs="Arial"/>
          <w:sz w:val="24"/>
          <w:szCs w:val="24"/>
          <w:lang w:val="sr-Latn-CS"/>
        </w:rPr>
        <w:t>ecifi</w:t>
      </w:r>
      <w:r w:rsidRPr="00AE3CFA">
        <w:rPr>
          <w:rFonts w:ascii="Arial" w:hAnsi="Arial" w:cs="Arial"/>
          <w:sz w:val="24"/>
          <w:szCs w:val="24"/>
          <w:lang w:val="hr-HR"/>
        </w:rPr>
        <w:t>č</w:t>
      </w:r>
      <w:r w:rsidRPr="00AE3CFA">
        <w:rPr>
          <w:rFonts w:ascii="Arial" w:hAnsi="Arial" w:cs="Arial"/>
          <w:sz w:val="24"/>
          <w:szCs w:val="24"/>
          <w:lang w:val="sr-Latn-CS"/>
        </w:rPr>
        <w:t>na</w:t>
      </w:r>
      <w:r w:rsidRPr="00AE3CFA">
        <w:rPr>
          <w:rFonts w:ascii="Arial" w:hAnsi="Arial" w:cs="Arial"/>
          <w:sz w:val="24"/>
          <w:szCs w:val="24"/>
          <w:lang w:val="hr-HR"/>
        </w:rPr>
        <w:t xml:space="preserve"> </w:t>
      </w:r>
      <w:r w:rsidRPr="00AE3CFA">
        <w:rPr>
          <w:rFonts w:ascii="Arial" w:hAnsi="Arial" w:cs="Arial"/>
          <w:sz w:val="24"/>
          <w:szCs w:val="24"/>
          <w:lang w:val="sr-Latn-CS"/>
        </w:rPr>
        <w:t>povr</w:t>
      </w:r>
      <w:r w:rsidRPr="00AE3CFA">
        <w:rPr>
          <w:rFonts w:ascii="Arial" w:hAnsi="Arial" w:cs="Arial"/>
          <w:sz w:val="24"/>
          <w:szCs w:val="24"/>
          <w:lang w:val="hr-HR"/>
        </w:rPr>
        <w:t>š</w:t>
      </w:r>
      <w:r w:rsidRPr="00AE3CFA">
        <w:rPr>
          <w:rFonts w:ascii="Arial" w:hAnsi="Arial" w:cs="Arial"/>
          <w:sz w:val="24"/>
          <w:szCs w:val="24"/>
          <w:lang w:val="sr-Latn-CS"/>
        </w:rPr>
        <w:t>ina</w:t>
      </w:r>
      <w:r w:rsidRPr="00AE3CFA">
        <w:rPr>
          <w:rFonts w:ascii="Arial" w:hAnsi="Arial" w:cs="Arial"/>
          <w:sz w:val="24"/>
          <w:szCs w:val="24"/>
          <w:lang w:val="hr-HR"/>
        </w:rPr>
        <w:t xml:space="preserve"> </w:t>
      </w:r>
      <w:r w:rsidRPr="00AE3CFA">
        <w:rPr>
          <w:rFonts w:ascii="Arial" w:hAnsi="Arial" w:cs="Arial"/>
          <w:sz w:val="24"/>
          <w:szCs w:val="24"/>
          <w:lang w:val="sr-Latn-CS"/>
        </w:rPr>
        <w:t>minerala</w:t>
      </w:r>
      <w:r w:rsidRPr="00AE3CFA">
        <w:rPr>
          <w:rFonts w:ascii="Arial" w:hAnsi="Arial" w:cs="Arial"/>
          <w:sz w:val="24"/>
          <w:szCs w:val="24"/>
          <w:lang w:val="hr-HR"/>
        </w:rPr>
        <w:t>.</w:t>
      </w:r>
      <w:r>
        <w:rPr>
          <w:rFonts w:ascii="Arial" w:hAnsi="Arial" w:cs="Arial"/>
          <w:sz w:val="24"/>
          <w:szCs w:val="24"/>
          <w:lang w:val="hr-HR"/>
        </w:rPr>
        <w:t xml:space="preserve"> </w:t>
      </w:r>
      <w:r w:rsidRPr="00AE3CFA">
        <w:rPr>
          <w:rFonts w:ascii="Arial" w:hAnsi="Arial" w:cs="Arial"/>
          <w:sz w:val="24"/>
          <w:szCs w:val="24"/>
          <w:lang w:val="sr-Latn-CS"/>
        </w:rPr>
        <w:t>Oksidacija</w:t>
      </w:r>
      <w:r w:rsidRPr="00AE3CFA">
        <w:rPr>
          <w:rFonts w:ascii="Arial" w:hAnsi="Arial" w:cs="Arial"/>
          <w:sz w:val="24"/>
          <w:szCs w:val="24"/>
          <w:lang w:val="hr-HR"/>
        </w:rPr>
        <w:t xml:space="preserve"> </w:t>
      </w:r>
      <w:r w:rsidRPr="00AE3CFA">
        <w:rPr>
          <w:rFonts w:ascii="Arial" w:hAnsi="Arial" w:cs="Arial"/>
          <w:sz w:val="24"/>
          <w:szCs w:val="24"/>
          <w:lang w:val="sr-Latn-CS"/>
        </w:rPr>
        <w:t>sulfida</w:t>
      </w:r>
      <w:r w:rsidRPr="00AE3CFA">
        <w:rPr>
          <w:rFonts w:ascii="Arial" w:hAnsi="Arial" w:cs="Arial"/>
          <w:sz w:val="24"/>
          <w:szCs w:val="24"/>
          <w:lang w:val="hr-HR"/>
        </w:rPr>
        <w:t xml:space="preserve"> </w:t>
      </w:r>
      <w:r w:rsidRPr="00AE3CFA">
        <w:rPr>
          <w:rFonts w:ascii="Arial" w:hAnsi="Arial" w:cs="Arial"/>
          <w:sz w:val="24"/>
          <w:szCs w:val="24"/>
          <w:lang w:val="sr-Latn-CS"/>
        </w:rPr>
        <w:t>nije</w:t>
      </w:r>
      <w:r w:rsidRPr="00AE3CFA">
        <w:rPr>
          <w:rFonts w:ascii="Arial" w:hAnsi="Arial" w:cs="Arial"/>
          <w:sz w:val="24"/>
          <w:szCs w:val="24"/>
          <w:lang w:val="hr-HR"/>
        </w:rPr>
        <w:t xml:space="preserve"> </w:t>
      </w:r>
      <w:r w:rsidRPr="00AE3CFA">
        <w:rPr>
          <w:rFonts w:ascii="Arial" w:hAnsi="Arial" w:cs="Arial"/>
          <w:sz w:val="24"/>
          <w:szCs w:val="24"/>
          <w:lang w:val="sr-Latn-CS"/>
        </w:rPr>
        <w:t>specifi</w:t>
      </w:r>
      <w:r w:rsidRPr="00AE3CFA">
        <w:rPr>
          <w:rFonts w:ascii="Arial" w:hAnsi="Arial" w:cs="Arial"/>
          <w:sz w:val="24"/>
          <w:szCs w:val="24"/>
          <w:lang w:val="hr-HR"/>
        </w:rPr>
        <w:t>č</w:t>
      </w:r>
      <w:r w:rsidRPr="00AE3CFA">
        <w:rPr>
          <w:rFonts w:ascii="Arial" w:hAnsi="Arial" w:cs="Arial"/>
          <w:sz w:val="24"/>
          <w:szCs w:val="24"/>
          <w:lang w:val="sr-Latn-CS"/>
        </w:rPr>
        <w:t>no</w:t>
      </w:r>
      <w:r w:rsidRPr="00AE3CFA">
        <w:rPr>
          <w:rFonts w:ascii="Arial" w:hAnsi="Arial" w:cs="Arial"/>
          <w:sz w:val="24"/>
          <w:szCs w:val="24"/>
          <w:lang w:val="hr-HR"/>
        </w:rPr>
        <w:t xml:space="preserve"> </w:t>
      </w:r>
      <w:r w:rsidRPr="00AE3CFA">
        <w:rPr>
          <w:rFonts w:ascii="Arial" w:hAnsi="Arial" w:cs="Arial"/>
          <w:sz w:val="24"/>
          <w:szCs w:val="24"/>
          <w:lang w:val="sr-Latn-CS"/>
        </w:rPr>
        <w:t>vezana</w:t>
      </w:r>
      <w:r w:rsidRPr="00AE3CFA">
        <w:rPr>
          <w:rFonts w:ascii="Arial" w:hAnsi="Arial" w:cs="Arial"/>
          <w:sz w:val="24"/>
          <w:szCs w:val="24"/>
          <w:lang w:val="hr-HR"/>
        </w:rPr>
        <w:t xml:space="preserve"> </w:t>
      </w:r>
      <w:r w:rsidRPr="00AE3CFA">
        <w:rPr>
          <w:rFonts w:ascii="Arial" w:hAnsi="Arial" w:cs="Arial"/>
          <w:sz w:val="24"/>
          <w:szCs w:val="24"/>
          <w:lang w:val="sr-Latn-CS"/>
        </w:rPr>
        <w:t>samo</w:t>
      </w:r>
      <w:r w:rsidRPr="00AE3CFA">
        <w:rPr>
          <w:rFonts w:ascii="Arial" w:hAnsi="Arial" w:cs="Arial"/>
          <w:sz w:val="24"/>
          <w:szCs w:val="24"/>
          <w:lang w:val="hr-HR"/>
        </w:rPr>
        <w:t xml:space="preserve"> </w:t>
      </w:r>
      <w:r w:rsidRPr="00AE3CFA">
        <w:rPr>
          <w:rFonts w:ascii="Arial" w:hAnsi="Arial" w:cs="Arial"/>
          <w:sz w:val="24"/>
          <w:szCs w:val="24"/>
          <w:lang w:val="sr-Latn-CS"/>
        </w:rPr>
        <w:t>za ležišta i</w:t>
      </w:r>
      <w:r w:rsidRPr="00AE3CFA">
        <w:rPr>
          <w:rFonts w:ascii="Arial" w:hAnsi="Arial" w:cs="Arial"/>
          <w:sz w:val="24"/>
          <w:szCs w:val="24"/>
          <w:lang w:val="hr-HR"/>
        </w:rPr>
        <w:t xml:space="preserve"> </w:t>
      </w:r>
      <w:r w:rsidRPr="00AE3CFA">
        <w:rPr>
          <w:rFonts w:ascii="Arial" w:hAnsi="Arial" w:cs="Arial"/>
          <w:sz w:val="24"/>
          <w:szCs w:val="24"/>
          <w:lang w:val="sr-Latn-CS"/>
        </w:rPr>
        <w:t>jalovi</w:t>
      </w:r>
      <w:r w:rsidRPr="00AE3CFA">
        <w:rPr>
          <w:rFonts w:ascii="Arial" w:hAnsi="Arial" w:cs="Arial"/>
          <w:sz w:val="24"/>
          <w:szCs w:val="24"/>
          <w:lang w:val="hr-HR"/>
        </w:rPr>
        <w:t>š</w:t>
      </w:r>
      <w:r w:rsidRPr="00AE3CFA">
        <w:rPr>
          <w:rFonts w:ascii="Arial" w:hAnsi="Arial" w:cs="Arial"/>
          <w:sz w:val="24"/>
          <w:szCs w:val="24"/>
          <w:lang w:val="sr-Latn-CS"/>
        </w:rPr>
        <w:t>ta</w:t>
      </w:r>
      <w:r w:rsidRPr="00AE3CFA">
        <w:rPr>
          <w:rFonts w:ascii="Arial" w:hAnsi="Arial" w:cs="Arial"/>
          <w:sz w:val="24"/>
          <w:szCs w:val="24"/>
          <w:lang w:val="hr-HR"/>
        </w:rPr>
        <w:t xml:space="preserve">, </w:t>
      </w:r>
      <w:r w:rsidRPr="00AE3CFA">
        <w:rPr>
          <w:rFonts w:ascii="Arial" w:hAnsi="Arial" w:cs="Arial"/>
          <w:sz w:val="24"/>
          <w:szCs w:val="24"/>
          <w:lang w:val="sr-Latn-CS"/>
        </w:rPr>
        <w:t>ve</w:t>
      </w:r>
      <w:r w:rsidRPr="00AE3CFA">
        <w:rPr>
          <w:rFonts w:ascii="Arial" w:hAnsi="Arial" w:cs="Arial"/>
          <w:sz w:val="24"/>
          <w:szCs w:val="24"/>
          <w:lang w:val="hr-HR"/>
        </w:rPr>
        <w:t xml:space="preserve">ć </w:t>
      </w:r>
      <w:r w:rsidRPr="00AE3CFA">
        <w:rPr>
          <w:rFonts w:ascii="Arial" w:hAnsi="Arial" w:cs="Arial"/>
          <w:sz w:val="24"/>
          <w:szCs w:val="24"/>
          <w:lang w:val="sr-Latn-CS"/>
        </w:rPr>
        <w:t>prati</w:t>
      </w:r>
      <w:r w:rsidRPr="00AE3CFA">
        <w:rPr>
          <w:rFonts w:ascii="Arial" w:hAnsi="Arial" w:cs="Arial"/>
          <w:sz w:val="24"/>
          <w:szCs w:val="24"/>
          <w:lang w:val="hr-HR"/>
        </w:rPr>
        <w:t xml:space="preserve"> </w:t>
      </w:r>
      <w:r w:rsidRPr="00AE3CFA">
        <w:rPr>
          <w:rFonts w:ascii="Arial" w:hAnsi="Arial" w:cs="Arial"/>
          <w:sz w:val="24"/>
          <w:szCs w:val="24"/>
          <w:lang w:val="sr-Latn-CS"/>
        </w:rPr>
        <w:t>sve</w:t>
      </w:r>
      <w:r w:rsidRPr="00AE3CFA">
        <w:rPr>
          <w:rFonts w:ascii="Arial" w:hAnsi="Arial" w:cs="Arial"/>
          <w:sz w:val="24"/>
          <w:szCs w:val="24"/>
          <w:lang w:val="hr-HR"/>
        </w:rPr>
        <w:t xml:space="preserve"> </w:t>
      </w:r>
      <w:r w:rsidRPr="00AE3CFA">
        <w:rPr>
          <w:rFonts w:ascii="Arial" w:hAnsi="Arial" w:cs="Arial"/>
          <w:sz w:val="24"/>
          <w:szCs w:val="24"/>
          <w:lang w:val="sr-Latn-CS"/>
        </w:rPr>
        <w:t>vidove</w:t>
      </w:r>
      <w:r w:rsidRPr="00AE3CFA">
        <w:rPr>
          <w:rFonts w:ascii="Arial" w:hAnsi="Arial" w:cs="Arial"/>
          <w:sz w:val="24"/>
          <w:szCs w:val="24"/>
          <w:lang w:val="hr-HR"/>
        </w:rPr>
        <w:t xml:space="preserve"> </w:t>
      </w:r>
      <w:r w:rsidRPr="00AE3CFA">
        <w:rPr>
          <w:rFonts w:ascii="Arial" w:hAnsi="Arial" w:cs="Arial"/>
          <w:sz w:val="24"/>
          <w:szCs w:val="24"/>
          <w:lang w:val="sr-Latn-CS"/>
        </w:rPr>
        <w:t>eksploatacije</w:t>
      </w:r>
      <w:r w:rsidRPr="00AE3CFA">
        <w:rPr>
          <w:rFonts w:ascii="Arial" w:hAnsi="Arial" w:cs="Arial"/>
          <w:sz w:val="24"/>
          <w:szCs w:val="24"/>
          <w:lang w:val="hr-HR"/>
        </w:rPr>
        <w:t xml:space="preserve"> </w:t>
      </w:r>
      <w:r w:rsidRPr="00AE3CFA">
        <w:rPr>
          <w:rFonts w:ascii="Arial" w:hAnsi="Arial" w:cs="Arial"/>
          <w:sz w:val="24"/>
          <w:szCs w:val="24"/>
          <w:lang w:val="sr-Latn-CS"/>
        </w:rPr>
        <w:t>mineralnih</w:t>
      </w:r>
      <w:r w:rsidRPr="00AE3CFA">
        <w:rPr>
          <w:rFonts w:ascii="Arial" w:hAnsi="Arial" w:cs="Arial"/>
          <w:sz w:val="24"/>
          <w:szCs w:val="24"/>
          <w:lang w:val="hr-HR"/>
        </w:rPr>
        <w:t xml:space="preserve"> </w:t>
      </w:r>
      <w:r w:rsidRPr="00AE3CFA">
        <w:rPr>
          <w:rFonts w:ascii="Arial" w:hAnsi="Arial" w:cs="Arial"/>
          <w:sz w:val="24"/>
          <w:szCs w:val="24"/>
          <w:lang w:val="sr-Latn-CS"/>
        </w:rPr>
        <w:t>sirovina</w:t>
      </w:r>
      <w:r w:rsidRPr="00AE3CFA">
        <w:rPr>
          <w:rFonts w:ascii="Arial" w:hAnsi="Arial" w:cs="Arial"/>
          <w:sz w:val="24"/>
          <w:szCs w:val="24"/>
          <w:lang w:val="hr-HR"/>
        </w:rPr>
        <w:t xml:space="preserve">, </w:t>
      </w:r>
      <w:r w:rsidRPr="00AE3CFA">
        <w:rPr>
          <w:rFonts w:ascii="Arial" w:hAnsi="Arial" w:cs="Arial"/>
          <w:sz w:val="24"/>
          <w:szCs w:val="24"/>
          <w:lang w:val="sr-Latn-CS"/>
        </w:rPr>
        <w:t>odnosno</w:t>
      </w:r>
      <w:r w:rsidRPr="00AE3CFA">
        <w:rPr>
          <w:rFonts w:ascii="Arial" w:hAnsi="Arial" w:cs="Arial"/>
          <w:sz w:val="24"/>
          <w:szCs w:val="24"/>
          <w:lang w:val="hr-HR"/>
        </w:rPr>
        <w:t xml:space="preserve"> </w:t>
      </w:r>
      <w:r w:rsidRPr="00AE3CFA">
        <w:rPr>
          <w:rFonts w:ascii="Arial" w:hAnsi="Arial" w:cs="Arial"/>
          <w:sz w:val="24"/>
          <w:szCs w:val="24"/>
          <w:lang w:val="sr-Latn-CS"/>
        </w:rPr>
        <w:t>sve</w:t>
      </w:r>
      <w:r w:rsidRPr="00AE3CFA">
        <w:rPr>
          <w:rFonts w:ascii="Arial" w:hAnsi="Arial" w:cs="Arial"/>
          <w:sz w:val="24"/>
          <w:szCs w:val="24"/>
          <w:lang w:val="hr-HR"/>
        </w:rPr>
        <w:t xml:space="preserve"> </w:t>
      </w:r>
      <w:r w:rsidRPr="00AE3CFA">
        <w:rPr>
          <w:rFonts w:ascii="Arial" w:hAnsi="Arial" w:cs="Arial"/>
          <w:sz w:val="24"/>
          <w:szCs w:val="24"/>
          <w:lang w:val="sr-Latn-CS"/>
        </w:rPr>
        <w:t>rudarske</w:t>
      </w:r>
      <w:r w:rsidRPr="00AE3CFA">
        <w:rPr>
          <w:rFonts w:ascii="Arial" w:hAnsi="Arial" w:cs="Arial"/>
          <w:sz w:val="24"/>
          <w:szCs w:val="24"/>
          <w:lang w:val="hr-HR"/>
        </w:rPr>
        <w:t xml:space="preserve"> </w:t>
      </w:r>
      <w:r w:rsidRPr="00AE3CFA">
        <w:rPr>
          <w:rFonts w:ascii="Arial" w:hAnsi="Arial" w:cs="Arial"/>
          <w:sz w:val="24"/>
          <w:szCs w:val="24"/>
          <w:lang w:val="sr-Latn-CS"/>
        </w:rPr>
        <w:t>radove</w:t>
      </w:r>
      <w:r w:rsidRPr="00AE3CFA">
        <w:rPr>
          <w:rFonts w:ascii="Arial" w:hAnsi="Arial" w:cs="Arial"/>
          <w:sz w:val="24"/>
          <w:szCs w:val="24"/>
          <w:lang w:val="hr-HR"/>
        </w:rPr>
        <w:t>.</w:t>
      </w:r>
    </w:p>
    <w:p w:rsidR="00AE3CFA" w:rsidRDefault="00AE3CFA" w:rsidP="00722DF4">
      <w:pPr>
        <w:spacing w:after="0"/>
        <w:jc w:val="both"/>
        <w:rPr>
          <w:rFonts w:ascii="Arial" w:hAnsi="Arial" w:cs="Arial"/>
          <w:sz w:val="24"/>
          <w:szCs w:val="24"/>
        </w:rPr>
      </w:pPr>
    </w:p>
    <w:p w:rsidR="00AE3CFA" w:rsidRPr="00AE3CFA" w:rsidRDefault="00AE3CFA" w:rsidP="00AE3CFA">
      <w:pPr>
        <w:spacing w:after="0"/>
        <w:jc w:val="both"/>
        <w:rPr>
          <w:rFonts w:ascii="Arial" w:hAnsi="Arial" w:cs="Arial"/>
          <w:sz w:val="24"/>
          <w:szCs w:val="24"/>
          <w:lang w:val="sr-Latn-CS"/>
        </w:rPr>
      </w:pPr>
      <w:r w:rsidRPr="00AE3CFA">
        <w:rPr>
          <w:rFonts w:ascii="Arial" w:hAnsi="Arial" w:cs="Arial"/>
          <w:sz w:val="24"/>
          <w:szCs w:val="24"/>
          <w:lang w:val="sr-Latn-CS"/>
        </w:rPr>
        <w:t>Na fizičkohemijski sastav prirodnih voda, a to znači i podzemnih voda, u sulfidnim rudnim ležištima utiču složeni fizičkohemijski i mikrobiološki procesi u prisustvu vode i/ili kiseon</w:t>
      </w:r>
      <w:r>
        <w:rPr>
          <w:rFonts w:ascii="Arial" w:hAnsi="Arial" w:cs="Arial"/>
          <w:sz w:val="24"/>
          <w:szCs w:val="24"/>
          <w:lang w:val="sr-Latn-CS"/>
        </w:rPr>
        <w:t xml:space="preserve">ika. </w:t>
      </w:r>
      <w:r w:rsidRPr="00AE3CFA">
        <w:rPr>
          <w:rFonts w:ascii="Arial" w:hAnsi="Arial" w:cs="Arial"/>
          <w:sz w:val="24"/>
          <w:szCs w:val="24"/>
          <w:lang w:val="sr-Latn-CS"/>
        </w:rPr>
        <w:t>Sumporno-kiselinski proces oksidacije se obično odvija u gornjim delovima ležišta sulfidnih minerala (galenit, sfalerit, pirit, halkopirit, cinabarit i dr.), pod dejstvom vode i slobodnog kiseonika, pri čemu se zbog formirane sumporne kiseline (H</w:t>
      </w:r>
      <w:r w:rsidRPr="00AE3CFA">
        <w:rPr>
          <w:rFonts w:ascii="Arial" w:hAnsi="Arial" w:cs="Arial"/>
          <w:sz w:val="24"/>
          <w:szCs w:val="24"/>
          <w:vertAlign w:val="subscript"/>
          <w:lang w:val="sr-Latn-CS"/>
        </w:rPr>
        <w:t>2</w:t>
      </w:r>
      <w:r w:rsidRPr="00AE3CFA">
        <w:rPr>
          <w:rFonts w:ascii="Arial" w:hAnsi="Arial" w:cs="Arial"/>
          <w:sz w:val="24"/>
          <w:szCs w:val="24"/>
          <w:lang w:val="sr-Latn-CS"/>
        </w:rPr>
        <w:t>SO</w:t>
      </w:r>
      <w:r w:rsidRPr="00AE3CFA">
        <w:rPr>
          <w:rFonts w:ascii="Arial" w:hAnsi="Arial" w:cs="Arial"/>
          <w:sz w:val="24"/>
          <w:szCs w:val="24"/>
          <w:vertAlign w:val="subscript"/>
          <w:lang w:val="sr-Latn-CS"/>
        </w:rPr>
        <w:t>4</w:t>
      </w:r>
      <w:r w:rsidRPr="00AE3CFA">
        <w:rPr>
          <w:rFonts w:ascii="Arial" w:hAnsi="Arial" w:cs="Arial"/>
          <w:sz w:val="24"/>
          <w:szCs w:val="24"/>
          <w:lang w:val="sr-Latn-CS"/>
        </w:rPr>
        <w:t xml:space="preserve">), pH vode snižava i do vrednosti između 2 i 3. Brzinu oksidacije mogu da povećavaju 10-20 puta bakterije iz roda </w:t>
      </w:r>
      <w:r w:rsidRPr="00AE3CFA">
        <w:rPr>
          <w:rFonts w:ascii="Arial" w:hAnsi="Arial" w:cs="Arial"/>
          <w:i/>
          <w:iCs/>
          <w:sz w:val="24"/>
          <w:szCs w:val="24"/>
          <w:lang w:val="sr-Latn-CS"/>
        </w:rPr>
        <w:t>Thiobacillus,</w:t>
      </w:r>
      <w:r w:rsidRPr="00AE3CFA">
        <w:rPr>
          <w:rFonts w:ascii="Arial" w:hAnsi="Arial" w:cs="Arial"/>
          <w:sz w:val="24"/>
          <w:szCs w:val="24"/>
          <w:lang w:val="sr-Latn-CS"/>
        </w:rPr>
        <w:t xml:space="preserve"> i to posebno vrsta</w:t>
      </w:r>
      <w:r w:rsidRPr="00AE3CFA">
        <w:rPr>
          <w:rFonts w:ascii="Arial" w:hAnsi="Arial" w:cs="Arial"/>
          <w:i/>
          <w:iCs/>
          <w:sz w:val="24"/>
          <w:szCs w:val="24"/>
          <w:lang w:val="sr-Latn-CS"/>
        </w:rPr>
        <w:t xml:space="preserve"> Thiobacillus ferrooxidans</w:t>
      </w:r>
      <w:r w:rsidRPr="00AE3CFA">
        <w:rPr>
          <w:rFonts w:ascii="Arial" w:hAnsi="Arial" w:cs="Arial"/>
          <w:sz w:val="24"/>
          <w:szCs w:val="24"/>
          <w:lang w:val="sr-Latn-CS"/>
        </w:rPr>
        <w:t xml:space="preserve">, tako da je obrazovanje jako kiselih rudničkih voda praćeno prisustvom ovih bakterija. Najintenzivniji razvoj ovih bakterija je pri pH 3-4. U podzemnim vodama rudnih ležišta čiji je pH manji od 5,5 ova reakcija je spora, dok joj je brzina veća na većim pH vrednostima. </w:t>
      </w:r>
      <w:r w:rsidRPr="00AE3CFA">
        <w:rPr>
          <w:rFonts w:ascii="Arial" w:hAnsi="Arial" w:cs="Arial"/>
          <w:sz w:val="24"/>
          <w:szCs w:val="24"/>
          <w:lang w:val="sr-Latn-CS"/>
        </w:rPr>
        <w:lastRenderedPageBreak/>
        <w:t xml:space="preserve">Međutim pri pH&lt;5 u prisustvu bakterija </w:t>
      </w:r>
      <w:r w:rsidRPr="00AE3CFA">
        <w:rPr>
          <w:rFonts w:ascii="Arial" w:hAnsi="Arial" w:cs="Arial"/>
          <w:i/>
          <w:iCs/>
          <w:sz w:val="24"/>
          <w:szCs w:val="24"/>
          <w:lang w:val="sr-Latn-CS"/>
        </w:rPr>
        <w:t xml:space="preserve">Thiobacillus ferrooxidans </w:t>
      </w:r>
      <w:r w:rsidRPr="00AE3CFA">
        <w:rPr>
          <w:rFonts w:ascii="Arial" w:hAnsi="Arial" w:cs="Arial"/>
          <w:sz w:val="24"/>
          <w:szCs w:val="24"/>
          <w:lang w:val="sr-Latn-CS"/>
        </w:rPr>
        <w:t>ovaj proces se znatno ubrzava.</w:t>
      </w:r>
    </w:p>
    <w:p w:rsidR="00AE3CFA" w:rsidRDefault="00AE3CFA" w:rsidP="00AE3CFA">
      <w:pPr>
        <w:spacing w:after="0"/>
        <w:jc w:val="both"/>
        <w:rPr>
          <w:rFonts w:ascii="Arial" w:hAnsi="Arial" w:cs="Arial"/>
          <w:sz w:val="24"/>
          <w:szCs w:val="24"/>
          <w:lang w:val="sr-Latn-CS"/>
        </w:rPr>
      </w:pPr>
    </w:p>
    <w:p w:rsidR="00AE3CFA" w:rsidRPr="00AE3CFA" w:rsidRDefault="00AE3CFA" w:rsidP="00AE3CFA">
      <w:pPr>
        <w:spacing w:after="0"/>
        <w:jc w:val="both"/>
        <w:rPr>
          <w:rFonts w:ascii="Arial" w:hAnsi="Arial" w:cs="Arial"/>
          <w:sz w:val="24"/>
          <w:szCs w:val="24"/>
          <w:lang w:val="sr-Latn-CS"/>
        </w:rPr>
      </w:pPr>
      <w:r>
        <w:rPr>
          <w:rFonts w:ascii="Arial" w:hAnsi="Arial" w:cs="Arial"/>
          <w:sz w:val="24"/>
          <w:szCs w:val="24"/>
          <w:lang w:val="sr-Latn-CS"/>
        </w:rPr>
        <w:t>P</w:t>
      </w:r>
      <w:r w:rsidRPr="00AE3CFA">
        <w:rPr>
          <w:rFonts w:ascii="Arial" w:hAnsi="Arial" w:cs="Arial"/>
          <w:sz w:val="24"/>
          <w:szCs w:val="24"/>
          <w:lang w:val="sr-Latn-CS"/>
        </w:rPr>
        <w:t>roces oksidacije sulfidnih minerala potvrđuje povećana koncentracija jona sulfata (SO</w:t>
      </w:r>
      <w:r w:rsidRPr="00AE3CFA">
        <w:rPr>
          <w:rFonts w:ascii="Arial" w:hAnsi="Arial" w:cs="Arial"/>
          <w:sz w:val="24"/>
          <w:szCs w:val="24"/>
          <w:vertAlign w:val="subscript"/>
          <w:lang w:val="sr-Latn-CS"/>
        </w:rPr>
        <w:t>4</w:t>
      </w:r>
      <w:r w:rsidRPr="00AE3CFA">
        <w:rPr>
          <w:rFonts w:ascii="Arial" w:hAnsi="Arial" w:cs="Arial"/>
          <w:sz w:val="24"/>
          <w:szCs w:val="24"/>
          <w:vertAlign w:val="superscript"/>
          <w:lang w:val="sr-Latn-CS"/>
        </w:rPr>
        <w:t>2-</w:t>
      </w:r>
      <w:r w:rsidRPr="00AE3CFA">
        <w:rPr>
          <w:rFonts w:ascii="Arial" w:hAnsi="Arial" w:cs="Arial"/>
          <w:sz w:val="24"/>
          <w:szCs w:val="24"/>
          <w:lang w:val="sr-Latn-CS"/>
        </w:rPr>
        <w:t>) i jona metala, kao i povećana kiselost vode.</w:t>
      </w:r>
      <w:r>
        <w:rPr>
          <w:rFonts w:ascii="Arial" w:hAnsi="Arial" w:cs="Arial"/>
          <w:sz w:val="24"/>
          <w:szCs w:val="24"/>
          <w:lang w:val="sr-Latn-CS"/>
        </w:rPr>
        <w:t xml:space="preserve"> </w:t>
      </w:r>
      <w:r w:rsidRPr="00AE3CFA">
        <w:rPr>
          <w:rFonts w:ascii="Arial" w:hAnsi="Arial" w:cs="Arial"/>
          <w:sz w:val="24"/>
          <w:szCs w:val="24"/>
          <w:lang w:val="sr-Latn-CS"/>
        </w:rPr>
        <w:t>U drenažnim vodama rudnih ležišta i jalovišta prisutne su velike koncentracije jona, tako da u prisustvu rastvorenog kiseonika i/ili pri porastu pH dolazi do taloženja određnih sedimenata. Sastav Fe (III) čvrstih faza zavisi od pH vrednosti vode, koncentracije SO</w:t>
      </w:r>
      <w:r w:rsidRPr="00AE3CFA">
        <w:rPr>
          <w:rFonts w:ascii="Arial" w:hAnsi="Arial" w:cs="Arial"/>
          <w:sz w:val="24"/>
          <w:szCs w:val="24"/>
          <w:vertAlign w:val="subscript"/>
          <w:lang w:val="sr-Latn-CS"/>
        </w:rPr>
        <w:t>4</w:t>
      </w:r>
      <w:r w:rsidRPr="00AE3CFA">
        <w:rPr>
          <w:rFonts w:ascii="Arial" w:hAnsi="Arial" w:cs="Arial"/>
          <w:sz w:val="24"/>
          <w:szCs w:val="24"/>
          <w:vertAlign w:val="superscript"/>
          <w:lang w:val="sr-Latn-CS"/>
        </w:rPr>
        <w:t>2-</w:t>
      </w:r>
      <w:r w:rsidRPr="00AE3CFA">
        <w:rPr>
          <w:rFonts w:ascii="Arial" w:hAnsi="Arial" w:cs="Arial"/>
          <w:sz w:val="24"/>
          <w:szCs w:val="24"/>
          <w:lang w:val="sr-Latn-CS"/>
        </w:rPr>
        <w:t xml:space="preserve"> jona, prisutnih jona metala i drugih kompleksnih liganada, rastvorenog kiseonika.</w:t>
      </w:r>
    </w:p>
    <w:p w:rsidR="00AE3CFA" w:rsidRDefault="00AE3CFA" w:rsidP="00AE3CFA">
      <w:pPr>
        <w:spacing w:after="0"/>
        <w:jc w:val="both"/>
        <w:rPr>
          <w:rFonts w:ascii="Arial" w:hAnsi="Arial" w:cs="Arial"/>
          <w:sz w:val="24"/>
          <w:szCs w:val="24"/>
          <w:lang w:val="sr-Latn-CS"/>
        </w:rPr>
      </w:pPr>
    </w:p>
    <w:p w:rsidR="00AE3CFA" w:rsidRPr="00AE3CFA" w:rsidRDefault="00AE3CFA" w:rsidP="00AE3CFA">
      <w:pPr>
        <w:spacing w:after="0"/>
        <w:jc w:val="both"/>
        <w:rPr>
          <w:rFonts w:ascii="Arial" w:hAnsi="Arial" w:cs="Arial"/>
          <w:sz w:val="24"/>
          <w:szCs w:val="24"/>
          <w:lang w:val="sr-Latn-CS"/>
        </w:rPr>
      </w:pPr>
      <w:r w:rsidRPr="00AE3CFA">
        <w:rPr>
          <w:rFonts w:ascii="Arial" w:hAnsi="Arial" w:cs="Arial"/>
          <w:sz w:val="24"/>
          <w:szCs w:val="24"/>
          <w:lang w:val="sr-Latn-CS"/>
        </w:rPr>
        <w:t>Postoji veliki broj faktora koji uslovljavaju pojavu izdvajanja kiselih voda. Oni se mogu podeliti na primarne, sekundarne i tercijarne (</w:t>
      </w:r>
      <w:r w:rsidRPr="00AE3CFA">
        <w:rPr>
          <w:rFonts w:ascii="Arial" w:hAnsi="Arial" w:cs="Arial"/>
          <w:iCs/>
          <w:sz w:val="24"/>
          <w:szCs w:val="24"/>
          <w:lang w:val="sr-Latn-CS"/>
        </w:rPr>
        <w:t xml:space="preserve">Ferguson, Erickson, </w:t>
      </w:r>
      <w:r w:rsidRPr="00AE3CFA">
        <w:rPr>
          <w:rFonts w:ascii="Arial" w:hAnsi="Arial" w:cs="Arial"/>
          <w:sz w:val="24"/>
          <w:szCs w:val="24"/>
          <w:lang w:val="sr-Latn-CS"/>
        </w:rPr>
        <w:t xml:space="preserve">EA, 1997). </w:t>
      </w:r>
    </w:p>
    <w:p w:rsidR="00AE3CFA" w:rsidRPr="00AE3CFA" w:rsidRDefault="00AE3CFA" w:rsidP="00AE3CFA">
      <w:pPr>
        <w:spacing w:after="0"/>
        <w:jc w:val="both"/>
        <w:rPr>
          <w:rFonts w:ascii="Arial" w:hAnsi="Arial" w:cs="Arial"/>
          <w:sz w:val="24"/>
          <w:szCs w:val="24"/>
          <w:lang w:val="sr-Latn-CS"/>
        </w:rPr>
      </w:pPr>
    </w:p>
    <w:p w:rsidR="00AE3CFA" w:rsidRPr="00AE3CFA" w:rsidRDefault="00AE3CFA" w:rsidP="00AE3CFA">
      <w:pPr>
        <w:spacing w:after="0"/>
        <w:jc w:val="both"/>
        <w:rPr>
          <w:rFonts w:ascii="Arial" w:hAnsi="Arial" w:cs="Arial"/>
          <w:sz w:val="24"/>
          <w:szCs w:val="24"/>
          <w:lang w:val="sr-Latn-CS"/>
        </w:rPr>
      </w:pPr>
      <w:r w:rsidRPr="00AE3CFA">
        <w:rPr>
          <w:rFonts w:ascii="Arial" w:hAnsi="Arial" w:cs="Arial"/>
          <w:sz w:val="24"/>
          <w:szCs w:val="24"/>
          <w:lang w:val="sr-Latn-CS"/>
        </w:rPr>
        <w:t>Primarni faktori su direktno uključeni u procese oksidacije. To su u prvom redu postojanje vode za oksidaciju i transport, raspoloživost kiseonika i fizičke karakteristike mineralne sirovine. Manjeg značaja su i temperatura, pH vrednost, odnos feri i fero jona i mikrobiološka aktivnost.</w:t>
      </w:r>
    </w:p>
    <w:p w:rsidR="00AE3CFA" w:rsidRPr="00AE3CFA" w:rsidRDefault="00AE3CFA" w:rsidP="00AE3CFA">
      <w:pPr>
        <w:spacing w:after="0"/>
        <w:jc w:val="both"/>
        <w:rPr>
          <w:rFonts w:ascii="Arial" w:hAnsi="Arial" w:cs="Arial"/>
          <w:sz w:val="24"/>
          <w:szCs w:val="24"/>
          <w:lang w:val="sr-Latn-CS"/>
        </w:rPr>
      </w:pPr>
    </w:p>
    <w:p w:rsidR="00AE3CFA" w:rsidRPr="00AE3CFA" w:rsidRDefault="00AE3CFA" w:rsidP="00AE3CFA">
      <w:pPr>
        <w:spacing w:after="0"/>
        <w:jc w:val="both"/>
        <w:rPr>
          <w:rFonts w:ascii="Arial" w:hAnsi="Arial" w:cs="Arial"/>
          <w:sz w:val="24"/>
          <w:szCs w:val="24"/>
          <w:lang w:val="sr-Latn-CS"/>
        </w:rPr>
      </w:pPr>
      <w:r w:rsidRPr="00AE3CFA">
        <w:rPr>
          <w:rFonts w:ascii="Arial" w:hAnsi="Arial" w:cs="Arial"/>
          <w:sz w:val="24"/>
          <w:szCs w:val="24"/>
          <w:lang w:val="sr-Latn-CS"/>
        </w:rPr>
        <w:t>Sekundarni faktori koji utiču na oksidaciju su stene i materijali koji okružuju izvor zagađenja. Tako npr. karbonati su minerali koji prirodno smanjuju zagađenje (povećavaju pH), dok silikati i alumosilikati (liskun, glina) zbog adsorpcionih svojstava smanjuju koncentraciju teških metala u vodi.</w:t>
      </w:r>
    </w:p>
    <w:p w:rsidR="00AE3CFA" w:rsidRPr="00AE3CFA" w:rsidRDefault="00AE3CFA" w:rsidP="00AE3CFA">
      <w:pPr>
        <w:spacing w:after="0"/>
        <w:jc w:val="both"/>
        <w:rPr>
          <w:rFonts w:ascii="Arial" w:hAnsi="Arial" w:cs="Arial"/>
          <w:sz w:val="24"/>
          <w:szCs w:val="24"/>
          <w:lang w:val="sr-Latn-CS"/>
        </w:rPr>
      </w:pPr>
    </w:p>
    <w:p w:rsidR="00AE3CFA" w:rsidRDefault="00AE3CFA" w:rsidP="00AE3CFA">
      <w:pPr>
        <w:spacing w:after="0"/>
        <w:jc w:val="both"/>
        <w:rPr>
          <w:rFonts w:ascii="Arial" w:hAnsi="Arial" w:cs="Arial"/>
          <w:sz w:val="24"/>
          <w:szCs w:val="24"/>
          <w:lang w:val="sr-Latn-CS"/>
        </w:rPr>
      </w:pPr>
      <w:r w:rsidRPr="00AE3CFA">
        <w:rPr>
          <w:rFonts w:ascii="Arial" w:hAnsi="Arial" w:cs="Arial"/>
          <w:sz w:val="24"/>
          <w:szCs w:val="24"/>
          <w:lang w:val="sr-Cyrl-CS"/>
        </w:rPr>
        <w:t xml:space="preserve">Tercijalni faktori koji utiču na oksidaciju su klimatski uslovi. Od klimatskih uslova najznačajniji su temperatura i padavine. </w:t>
      </w:r>
    </w:p>
    <w:p w:rsidR="00AE3CFA" w:rsidRDefault="00AE3CFA" w:rsidP="00AE3CFA">
      <w:pPr>
        <w:spacing w:after="0"/>
        <w:jc w:val="both"/>
        <w:rPr>
          <w:rFonts w:ascii="Arial" w:hAnsi="Arial" w:cs="Arial"/>
          <w:sz w:val="24"/>
          <w:szCs w:val="24"/>
          <w:lang w:val="sr-Latn-CS"/>
        </w:rPr>
      </w:pPr>
    </w:p>
    <w:p w:rsidR="00AE3CFA" w:rsidRPr="00AE3CFA" w:rsidRDefault="00AE3CFA" w:rsidP="00AE3CFA">
      <w:pPr>
        <w:spacing w:after="0"/>
        <w:jc w:val="both"/>
        <w:rPr>
          <w:rFonts w:ascii="Arial" w:hAnsi="Arial" w:cs="Arial"/>
          <w:sz w:val="24"/>
          <w:szCs w:val="24"/>
          <w:lang w:val="sr-Latn-CS"/>
        </w:rPr>
      </w:pPr>
      <w:r>
        <w:rPr>
          <w:rFonts w:ascii="Arial" w:hAnsi="Arial" w:cs="Arial"/>
          <w:sz w:val="24"/>
          <w:szCs w:val="24"/>
          <w:lang w:val="sr-Latn-CS"/>
        </w:rPr>
        <w:t>Imajući u vidu ranije iznete činjenice, izvodi se zaključak da su površinske i podzemne vode u širim zonama rudarskih radova ugrožene rudarskim aktivnostima, i da je neophodno sprovoditi mjere za njihovu zaštitu.</w:t>
      </w:r>
    </w:p>
    <w:p w:rsidR="00E34207" w:rsidRPr="00722DF4" w:rsidRDefault="00E34207" w:rsidP="00722DF4">
      <w:pPr>
        <w:spacing w:after="0"/>
        <w:jc w:val="both"/>
        <w:rPr>
          <w:rFonts w:ascii="Arial" w:hAnsi="Arial" w:cs="Arial"/>
          <w:sz w:val="24"/>
          <w:szCs w:val="24"/>
        </w:rPr>
      </w:pPr>
    </w:p>
    <w:p w:rsidR="00D0702F" w:rsidRDefault="001B255C" w:rsidP="001B255C">
      <w:pPr>
        <w:pStyle w:val="Heading2"/>
        <w:numPr>
          <w:ilvl w:val="0"/>
          <w:numId w:val="0"/>
        </w:numPr>
      </w:pPr>
      <w:bookmarkStart w:id="50" w:name="_Toc6172839"/>
      <w:r>
        <w:t>6</w:t>
      </w:r>
      <w:r w:rsidR="004D7972">
        <w:t>.</w:t>
      </w:r>
      <w:r>
        <w:t>4</w:t>
      </w:r>
      <w:r w:rsidR="00D0702F" w:rsidRPr="00722DF4">
        <w:t>. Zemljište</w:t>
      </w:r>
      <w:bookmarkEnd w:id="50"/>
      <w:r w:rsidR="00D0702F" w:rsidRPr="00722DF4">
        <w:t xml:space="preserve"> </w:t>
      </w:r>
    </w:p>
    <w:p w:rsidR="00E34207" w:rsidRPr="00722DF4" w:rsidRDefault="00E34207" w:rsidP="00722DF4">
      <w:pPr>
        <w:spacing w:after="0"/>
        <w:jc w:val="both"/>
        <w:rPr>
          <w:rFonts w:ascii="Arial" w:hAnsi="Arial" w:cs="Arial"/>
          <w:sz w:val="24"/>
          <w:szCs w:val="24"/>
        </w:rPr>
      </w:pPr>
    </w:p>
    <w:p w:rsidR="001B255C" w:rsidRDefault="00D0702F" w:rsidP="00722DF4">
      <w:pPr>
        <w:spacing w:after="0"/>
        <w:jc w:val="both"/>
        <w:rPr>
          <w:rFonts w:ascii="Arial" w:hAnsi="Arial" w:cs="Arial"/>
          <w:sz w:val="24"/>
          <w:szCs w:val="24"/>
        </w:rPr>
      </w:pPr>
      <w:r w:rsidRPr="00722DF4">
        <w:rPr>
          <w:rFonts w:ascii="Arial" w:hAnsi="Arial" w:cs="Arial"/>
          <w:sz w:val="24"/>
          <w:szCs w:val="24"/>
        </w:rPr>
        <w:t>S obzirom na to da spada u teško obnovlji</w:t>
      </w:r>
      <w:r w:rsidR="001B255C">
        <w:rPr>
          <w:rFonts w:ascii="Arial" w:hAnsi="Arial" w:cs="Arial"/>
          <w:sz w:val="24"/>
          <w:szCs w:val="24"/>
        </w:rPr>
        <w:t>ve, ogranič</w:t>
      </w:r>
      <w:r w:rsidRPr="00722DF4">
        <w:rPr>
          <w:rFonts w:ascii="Arial" w:hAnsi="Arial" w:cs="Arial"/>
          <w:sz w:val="24"/>
          <w:szCs w:val="24"/>
        </w:rPr>
        <w:t>ene prirodne resurse, zauzimanje i narušavan</w:t>
      </w:r>
      <w:r w:rsidR="001B255C">
        <w:rPr>
          <w:rFonts w:ascii="Arial" w:hAnsi="Arial" w:cs="Arial"/>
          <w:sz w:val="24"/>
          <w:szCs w:val="24"/>
        </w:rPr>
        <w:t>je zemljišta predstavlja najznač</w:t>
      </w:r>
      <w:r w:rsidRPr="00722DF4">
        <w:rPr>
          <w:rFonts w:ascii="Arial" w:hAnsi="Arial" w:cs="Arial"/>
          <w:sz w:val="24"/>
          <w:szCs w:val="24"/>
        </w:rPr>
        <w:t>ajn</w:t>
      </w:r>
      <w:r w:rsidR="001B255C">
        <w:rPr>
          <w:rFonts w:ascii="Arial" w:hAnsi="Arial" w:cs="Arial"/>
          <w:sz w:val="24"/>
          <w:szCs w:val="24"/>
        </w:rPr>
        <w:t xml:space="preserve">iji konflikt industrije sa okruženjem. </w:t>
      </w:r>
    </w:p>
    <w:p w:rsidR="001B255C" w:rsidRDefault="001B255C" w:rsidP="00722DF4">
      <w:pPr>
        <w:spacing w:after="0"/>
        <w:jc w:val="both"/>
        <w:rPr>
          <w:rFonts w:ascii="Arial" w:hAnsi="Arial" w:cs="Arial"/>
          <w:sz w:val="24"/>
          <w:szCs w:val="24"/>
        </w:rPr>
      </w:pPr>
    </w:p>
    <w:p w:rsidR="001B255C" w:rsidRDefault="001B255C" w:rsidP="00722DF4">
      <w:pPr>
        <w:spacing w:after="0"/>
        <w:jc w:val="both"/>
        <w:rPr>
          <w:rFonts w:ascii="Arial" w:hAnsi="Arial" w:cs="Arial"/>
          <w:sz w:val="24"/>
          <w:szCs w:val="24"/>
        </w:rPr>
      </w:pPr>
      <w:r>
        <w:rPr>
          <w:rFonts w:ascii="Arial" w:hAnsi="Arial" w:cs="Arial"/>
          <w:sz w:val="24"/>
          <w:szCs w:val="24"/>
        </w:rPr>
        <w:t>Uticaj industrije rudarstva na zemljište je znatan i ogleda se kako u zauzetosti zemljišta koja bivaju degradirana površinskom eksploatacijom, tako i u eventualnom fizičko-hemijskom zagađenju uslijed same tehnologije proizvodnje i deponovanja jalovine.</w:t>
      </w:r>
    </w:p>
    <w:p w:rsidR="001B255C" w:rsidRDefault="001B255C" w:rsidP="00722DF4">
      <w:pPr>
        <w:spacing w:after="0"/>
        <w:jc w:val="both"/>
        <w:rPr>
          <w:rFonts w:ascii="Arial" w:hAnsi="Arial" w:cs="Arial"/>
          <w:sz w:val="24"/>
          <w:szCs w:val="24"/>
        </w:rPr>
      </w:pPr>
    </w:p>
    <w:p w:rsidR="008E72A5" w:rsidRPr="008E72A5" w:rsidRDefault="008E72A5" w:rsidP="008E72A5">
      <w:pPr>
        <w:spacing w:after="0"/>
        <w:jc w:val="both"/>
        <w:rPr>
          <w:rFonts w:ascii="Arial" w:hAnsi="Arial" w:cs="Arial"/>
          <w:sz w:val="24"/>
          <w:szCs w:val="24"/>
          <w:lang w:val="sr-Latn-CS"/>
        </w:rPr>
      </w:pPr>
      <w:r w:rsidRPr="008E72A5">
        <w:rPr>
          <w:rFonts w:ascii="Arial" w:hAnsi="Arial" w:cs="Arial"/>
          <w:sz w:val="24"/>
          <w:szCs w:val="24"/>
          <w:lang w:val="sr-Latn-CS"/>
        </w:rPr>
        <w:lastRenderedPageBreak/>
        <w:t>Površinski pedološki sloj zemljišta jeste integralni obnovljivi prirodni resurs, koji se u zavisnosti od prirodnih pogodnosti i ograničenja, s jedne, i društvenih potreba i interesa, s druge strane, može koristiti u poljoprivredi i u šumarstvu. Zbog toga se pri razradi programa rekultivacije, revitalizacije i uređenja zemljišta odlagališta mora voditi računa o uspostavljanju ekološki optimalnih odnosa između poljoprivrednih i šumskih površina, uz posebno uvažavanje želja lokalnog stanovništva.</w:t>
      </w:r>
    </w:p>
    <w:p w:rsidR="008E72A5" w:rsidRPr="00722DF4" w:rsidRDefault="008E72A5" w:rsidP="00722DF4">
      <w:pPr>
        <w:spacing w:after="0"/>
        <w:jc w:val="both"/>
        <w:rPr>
          <w:rFonts w:ascii="Arial" w:hAnsi="Arial" w:cs="Arial"/>
          <w:sz w:val="24"/>
          <w:szCs w:val="24"/>
        </w:rPr>
      </w:pPr>
    </w:p>
    <w:p w:rsidR="00827A10" w:rsidRDefault="001B255C" w:rsidP="001B255C">
      <w:pPr>
        <w:pStyle w:val="Heading2"/>
        <w:numPr>
          <w:ilvl w:val="0"/>
          <w:numId w:val="0"/>
        </w:numPr>
      </w:pPr>
      <w:bookmarkStart w:id="51" w:name="_Toc6172840"/>
      <w:r>
        <w:t>6.5</w:t>
      </w:r>
      <w:r w:rsidR="00827A10" w:rsidRPr="00722DF4">
        <w:t>. Lokalno stanovništvo</w:t>
      </w:r>
      <w:bookmarkEnd w:id="51"/>
      <w:r w:rsidR="00827A10" w:rsidRPr="00722DF4">
        <w:t xml:space="preserve"> </w:t>
      </w:r>
    </w:p>
    <w:p w:rsidR="001B255C" w:rsidRPr="00722DF4" w:rsidRDefault="001B255C" w:rsidP="00722DF4">
      <w:pPr>
        <w:spacing w:after="0"/>
        <w:jc w:val="both"/>
        <w:rPr>
          <w:rFonts w:ascii="Arial" w:hAnsi="Arial" w:cs="Arial"/>
          <w:sz w:val="24"/>
          <w:szCs w:val="24"/>
        </w:rPr>
      </w:pPr>
    </w:p>
    <w:p w:rsidR="00B034D6" w:rsidRDefault="001B255C" w:rsidP="00722DF4">
      <w:pPr>
        <w:spacing w:after="0"/>
        <w:jc w:val="both"/>
        <w:rPr>
          <w:rFonts w:ascii="Arial" w:hAnsi="Arial" w:cs="Arial"/>
          <w:sz w:val="24"/>
          <w:szCs w:val="24"/>
        </w:rPr>
      </w:pPr>
      <w:r>
        <w:rPr>
          <w:rFonts w:ascii="Arial" w:hAnsi="Arial" w:cs="Arial"/>
          <w:sz w:val="24"/>
          <w:szCs w:val="24"/>
        </w:rPr>
        <w:t xml:space="preserve">Uticaj industrije rudarstva na stanovništvo jednog područja je višestruk. Uticaji mogu biti pozitivni i negativni. </w:t>
      </w:r>
    </w:p>
    <w:p w:rsidR="00B034D6" w:rsidRDefault="00B034D6" w:rsidP="00722DF4">
      <w:pPr>
        <w:spacing w:after="0"/>
        <w:jc w:val="both"/>
        <w:rPr>
          <w:rFonts w:ascii="Arial" w:hAnsi="Arial" w:cs="Arial"/>
          <w:sz w:val="24"/>
          <w:szCs w:val="24"/>
        </w:rPr>
      </w:pPr>
    </w:p>
    <w:p w:rsidR="001B255C" w:rsidRDefault="001B255C" w:rsidP="00722DF4">
      <w:pPr>
        <w:spacing w:after="0"/>
        <w:jc w:val="both"/>
        <w:rPr>
          <w:rFonts w:ascii="Arial" w:hAnsi="Arial" w:cs="Arial"/>
          <w:sz w:val="24"/>
          <w:szCs w:val="24"/>
        </w:rPr>
      </w:pPr>
      <w:r>
        <w:rPr>
          <w:rFonts w:ascii="Arial" w:hAnsi="Arial" w:cs="Arial"/>
          <w:sz w:val="24"/>
          <w:szCs w:val="24"/>
        </w:rPr>
        <w:t>Pozitivni uticaji eksploatacije mineralnih sirovina na lokalno stanov</w:t>
      </w:r>
      <w:r w:rsidR="00A74E04">
        <w:rPr>
          <w:rFonts w:ascii="Arial" w:hAnsi="Arial" w:cs="Arial"/>
          <w:sz w:val="24"/>
          <w:szCs w:val="24"/>
        </w:rPr>
        <w:t xml:space="preserve">štvo ogleda se u </w:t>
      </w:r>
      <w:r w:rsidR="00D24A40">
        <w:rPr>
          <w:rFonts w:ascii="Arial" w:hAnsi="Arial" w:cs="Arial"/>
          <w:sz w:val="24"/>
          <w:szCs w:val="24"/>
        </w:rPr>
        <w:t xml:space="preserve">povećanju broja radnih mesta, a samim tim i kvaliteta života lokalnog stanovništva. </w:t>
      </w:r>
      <w:r w:rsidR="00B034D6">
        <w:rPr>
          <w:rFonts w:ascii="Arial" w:hAnsi="Arial" w:cs="Arial"/>
          <w:sz w:val="24"/>
          <w:szCs w:val="24"/>
        </w:rPr>
        <w:t>Ekploatacija mineralnih sirovina donosi veliki broj radnih mjesta koja se uglavnom popunjavaju iz redova lokalnog stanovništva. Čest je slučaj da manje razvijenim opštinama rudarska aktivnost bude jedina grana industrija koja je razvijena i kojoj je zaposlen najveći broj radno aktivnog stanovništva</w:t>
      </w:r>
      <w:r w:rsidR="00D809B1">
        <w:rPr>
          <w:rFonts w:ascii="Arial" w:hAnsi="Arial" w:cs="Arial"/>
          <w:sz w:val="24"/>
          <w:szCs w:val="24"/>
        </w:rPr>
        <w:t>.</w:t>
      </w:r>
    </w:p>
    <w:p w:rsidR="00D24A40" w:rsidRDefault="00D24A40" w:rsidP="00722DF4">
      <w:pPr>
        <w:spacing w:after="0"/>
        <w:jc w:val="both"/>
        <w:rPr>
          <w:rFonts w:ascii="Arial" w:hAnsi="Arial" w:cs="Arial"/>
          <w:sz w:val="24"/>
          <w:szCs w:val="24"/>
        </w:rPr>
      </w:pPr>
    </w:p>
    <w:p w:rsidR="00B034D6" w:rsidRDefault="00D24A40" w:rsidP="00722DF4">
      <w:pPr>
        <w:spacing w:after="0"/>
        <w:jc w:val="both"/>
        <w:rPr>
          <w:rFonts w:ascii="Arial" w:hAnsi="Arial" w:cs="Arial"/>
          <w:sz w:val="24"/>
          <w:szCs w:val="24"/>
        </w:rPr>
      </w:pPr>
      <w:r>
        <w:rPr>
          <w:rFonts w:ascii="Arial" w:hAnsi="Arial" w:cs="Arial"/>
          <w:sz w:val="24"/>
          <w:szCs w:val="24"/>
        </w:rPr>
        <w:t>Negativni uticaji rudarske industrije na stanovništvo ogledaju se u</w:t>
      </w:r>
      <w:r w:rsidR="00B034D6">
        <w:rPr>
          <w:rFonts w:ascii="Arial" w:hAnsi="Arial" w:cs="Arial"/>
          <w:sz w:val="24"/>
          <w:szCs w:val="24"/>
        </w:rPr>
        <w:t>:</w:t>
      </w:r>
    </w:p>
    <w:p w:rsidR="00B034D6" w:rsidRDefault="00D24A40" w:rsidP="00663F7F">
      <w:pPr>
        <w:numPr>
          <w:ilvl w:val="0"/>
          <w:numId w:val="26"/>
        </w:numPr>
        <w:spacing w:after="0"/>
        <w:jc w:val="both"/>
        <w:rPr>
          <w:rFonts w:ascii="Arial" w:hAnsi="Arial" w:cs="Arial"/>
          <w:sz w:val="24"/>
          <w:szCs w:val="24"/>
        </w:rPr>
      </w:pPr>
      <w:r>
        <w:rPr>
          <w:rFonts w:ascii="Arial" w:hAnsi="Arial" w:cs="Arial"/>
          <w:sz w:val="24"/>
          <w:szCs w:val="24"/>
        </w:rPr>
        <w:t xml:space="preserve">zagađenju vazduha, </w:t>
      </w:r>
    </w:p>
    <w:p w:rsidR="00B034D6" w:rsidRDefault="00D24A40" w:rsidP="00663F7F">
      <w:pPr>
        <w:numPr>
          <w:ilvl w:val="0"/>
          <w:numId w:val="26"/>
        </w:numPr>
        <w:spacing w:after="0"/>
        <w:jc w:val="both"/>
        <w:rPr>
          <w:rFonts w:ascii="Arial" w:hAnsi="Arial" w:cs="Arial"/>
          <w:sz w:val="24"/>
          <w:szCs w:val="24"/>
        </w:rPr>
      </w:pPr>
      <w:r>
        <w:rPr>
          <w:rFonts w:ascii="Arial" w:hAnsi="Arial" w:cs="Arial"/>
          <w:sz w:val="24"/>
          <w:szCs w:val="24"/>
        </w:rPr>
        <w:t xml:space="preserve">vode, </w:t>
      </w:r>
    </w:p>
    <w:p w:rsidR="00B034D6" w:rsidRDefault="00D24A40" w:rsidP="00663F7F">
      <w:pPr>
        <w:numPr>
          <w:ilvl w:val="0"/>
          <w:numId w:val="26"/>
        </w:numPr>
        <w:spacing w:after="0"/>
        <w:jc w:val="both"/>
        <w:rPr>
          <w:rFonts w:ascii="Arial" w:hAnsi="Arial" w:cs="Arial"/>
          <w:sz w:val="24"/>
          <w:szCs w:val="24"/>
        </w:rPr>
      </w:pPr>
      <w:r>
        <w:rPr>
          <w:rFonts w:ascii="Arial" w:hAnsi="Arial" w:cs="Arial"/>
          <w:sz w:val="24"/>
          <w:szCs w:val="24"/>
        </w:rPr>
        <w:t xml:space="preserve">zauzetosti zemljišta i </w:t>
      </w:r>
    </w:p>
    <w:p w:rsidR="00B034D6" w:rsidRDefault="00D24A40" w:rsidP="00663F7F">
      <w:pPr>
        <w:numPr>
          <w:ilvl w:val="0"/>
          <w:numId w:val="26"/>
        </w:numPr>
        <w:spacing w:after="0"/>
        <w:jc w:val="both"/>
        <w:rPr>
          <w:rFonts w:ascii="Arial" w:hAnsi="Arial" w:cs="Arial"/>
          <w:sz w:val="24"/>
          <w:szCs w:val="24"/>
        </w:rPr>
      </w:pPr>
      <w:r>
        <w:rPr>
          <w:rFonts w:ascii="Arial" w:hAnsi="Arial" w:cs="Arial"/>
          <w:sz w:val="24"/>
          <w:szCs w:val="24"/>
        </w:rPr>
        <w:t xml:space="preserve">povećanju buke. </w:t>
      </w:r>
    </w:p>
    <w:p w:rsidR="007806FD" w:rsidRDefault="007806FD" w:rsidP="007806FD">
      <w:pPr>
        <w:spacing w:after="0"/>
        <w:ind w:left="720"/>
        <w:jc w:val="both"/>
        <w:rPr>
          <w:rFonts w:ascii="Arial" w:hAnsi="Arial" w:cs="Arial"/>
          <w:sz w:val="24"/>
          <w:szCs w:val="24"/>
        </w:rPr>
      </w:pPr>
    </w:p>
    <w:p w:rsidR="00B034D6" w:rsidRPr="00B034D6" w:rsidRDefault="00B034D6" w:rsidP="00B034D6">
      <w:pPr>
        <w:spacing w:after="0"/>
        <w:jc w:val="both"/>
        <w:rPr>
          <w:rFonts w:ascii="Arial" w:hAnsi="Arial" w:cs="Arial"/>
          <w:sz w:val="24"/>
          <w:szCs w:val="24"/>
          <w:lang w:val="sr-Latn-CS"/>
        </w:rPr>
      </w:pPr>
      <w:r w:rsidRPr="00B034D6">
        <w:rPr>
          <w:rFonts w:ascii="Arial" w:hAnsi="Arial" w:cs="Arial"/>
          <w:sz w:val="24"/>
          <w:szCs w:val="24"/>
          <w:lang w:val="sr-Latn-CS"/>
        </w:rPr>
        <w:t>Uzroci mogućih negativnih uticaja i pojave zdravstvenih problema su pre svega neažurno i neadekvatno praćenje i kontrola zagađenja vazduha i nivoa buke, odsustvo ili neadekvatna primena mera zaštite od navedenih štetnih uticaja, neadekvatno održavanje opreme i uređaja kao i nedostatak svesti o mogućim opasnostima po zdravlje ljudi.</w:t>
      </w:r>
    </w:p>
    <w:p w:rsidR="00B034D6" w:rsidRDefault="00B034D6" w:rsidP="00B034D6">
      <w:pPr>
        <w:spacing w:after="0"/>
        <w:jc w:val="both"/>
        <w:rPr>
          <w:rFonts w:ascii="Arial" w:hAnsi="Arial" w:cs="Arial"/>
          <w:sz w:val="24"/>
          <w:szCs w:val="24"/>
        </w:rPr>
      </w:pPr>
    </w:p>
    <w:p w:rsidR="00B034D6" w:rsidRPr="00B034D6" w:rsidRDefault="00B034D6" w:rsidP="00B034D6">
      <w:pPr>
        <w:spacing w:after="0"/>
        <w:jc w:val="both"/>
        <w:rPr>
          <w:rFonts w:ascii="Arial" w:hAnsi="Arial" w:cs="Arial"/>
          <w:sz w:val="24"/>
          <w:szCs w:val="24"/>
          <w:lang w:val="sr-Latn-CS"/>
        </w:rPr>
      </w:pPr>
      <w:r w:rsidRPr="00B034D6">
        <w:rPr>
          <w:rFonts w:ascii="Arial" w:hAnsi="Arial" w:cs="Arial"/>
          <w:sz w:val="24"/>
          <w:szCs w:val="24"/>
          <w:lang w:val="sr-Latn-CS"/>
        </w:rPr>
        <w:t xml:space="preserve">Ustanovljeno je da se inhalacija čestica </w:t>
      </w:r>
      <w:r>
        <w:rPr>
          <w:rFonts w:ascii="Arial" w:hAnsi="Arial" w:cs="Arial"/>
          <w:sz w:val="24"/>
          <w:szCs w:val="24"/>
          <w:lang w:val="sr-Latn-CS"/>
        </w:rPr>
        <w:t>u vazduhu iz</w:t>
      </w:r>
      <w:r w:rsidRPr="00B034D6">
        <w:rPr>
          <w:rFonts w:ascii="Arial" w:hAnsi="Arial" w:cs="Arial"/>
          <w:sz w:val="24"/>
          <w:szCs w:val="24"/>
          <w:lang w:val="sr-Latn-CS"/>
        </w:rPr>
        <w:t xml:space="preserve"> spoljne sredine povezuje sa neželjenim kratkoročnim posledicama po zdravlje: povišenom stopom kardiopulmonalnog mortaliteta kod starijih osoba i egzacerbacijom astme u svim dobnim grupacijama. Ove opservacije o astmatičarima podržavaju brojne laboratorijske studije, koje pokazuju da određene vrste čestica izazivaju inflamaciju, kao i da je povećan broj alergijskih reakcija izazvanih udisanjem čestica izduvnih gasova od motora. Što se tiče dugoročnih posledica po zdravlje Ijudi, a posebno u pogledu razvoja alergija i astme, dokazi o neželjenim posledicama zbog ekspozicije česticama su ređe, ali izvesne epidemiološke studije </w:t>
      </w:r>
      <w:r w:rsidRPr="00B034D6">
        <w:rPr>
          <w:rFonts w:ascii="Arial" w:hAnsi="Arial" w:cs="Arial"/>
          <w:sz w:val="24"/>
          <w:szCs w:val="24"/>
          <w:lang w:val="sr-Latn-CS"/>
        </w:rPr>
        <w:lastRenderedPageBreak/>
        <w:t>prijavljuju rezultate koji potvrđuju funkcije pluća i zagađenja izazvanog čestičnim zagađenjem. U laboratorijskim studijama na Ijudima i životinjama dokazano je da čestice fosilnih goriva, ali i druge suspendovane čestice, pojačavaju razvitak alergijskih imunih odgovora. Razlike u odgovoru organizma se mogu odnositi na dodatnu aktivnost ovih čestica, na alergene koji se vezuju na čestice ili na inflamatorne posledice koje izazivaju same čestice.</w:t>
      </w:r>
    </w:p>
    <w:p w:rsidR="00B034D6" w:rsidRPr="00B034D6" w:rsidRDefault="00B034D6" w:rsidP="00B034D6">
      <w:pPr>
        <w:spacing w:after="0"/>
        <w:jc w:val="both"/>
        <w:rPr>
          <w:rFonts w:ascii="Arial" w:hAnsi="Arial" w:cs="Arial"/>
          <w:sz w:val="24"/>
          <w:szCs w:val="24"/>
        </w:rPr>
      </w:pPr>
    </w:p>
    <w:p w:rsidR="00827A10" w:rsidRDefault="00B66E26" w:rsidP="00B66E26">
      <w:pPr>
        <w:pStyle w:val="Heading2"/>
        <w:numPr>
          <w:ilvl w:val="0"/>
          <w:numId w:val="0"/>
        </w:numPr>
        <w:rPr>
          <w:lang w:val="sr-Latn-CS"/>
        </w:rPr>
      </w:pPr>
      <w:bookmarkStart w:id="52" w:name="_Toc6172841"/>
      <w:r>
        <w:t xml:space="preserve">6.6. </w:t>
      </w:r>
      <w:r w:rsidR="00827A10" w:rsidRPr="00722DF4">
        <w:t>Buka i vibracije</w:t>
      </w:r>
      <w:bookmarkEnd w:id="52"/>
      <w:r w:rsidR="00827A10" w:rsidRPr="00722DF4">
        <w:t xml:space="preserve"> </w:t>
      </w:r>
    </w:p>
    <w:p w:rsidR="00B66E26" w:rsidRPr="00B66E26" w:rsidRDefault="00B66E26" w:rsidP="00B66E26">
      <w:pPr>
        <w:rPr>
          <w:lang w:val="sr-Latn-CS"/>
        </w:rPr>
      </w:pPr>
    </w:p>
    <w:p w:rsidR="00D24A40" w:rsidRDefault="00827A10" w:rsidP="00722DF4">
      <w:pPr>
        <w:spacing w:after="0"/>
        <w:jc w:val="both"/>
        <w:rPr>
          <w:rFonts w:ascii="Arial" w:hAnsi="Arial" w:cs="Arial"/>
          <w:sz w:val="24"/>
          <w:szCs w:val="24"/>
        </w:rPr>
      </w:pPr>
      <w:r w:rsidRPr="00722DF4">
        <w:rPr>
          <w:rFonts w:ascii="Arial" w:hAnsi="Arial" w:cs="Arial"/>
          <w:sz w:val="24"/>
          <w:szCs w:val="24"/>
        </w:rPr>
        <w:t>Mogućnost pojave nepovoljnog uticaja prekomjerne buke u radnim okolinama postoji u svim fazama eksploatacije</w:t>
      </w:r>
      <w:r w:rsidR="00BB214A">
        <w:rPr>
          <w:rFonts w:ascii="Arial" w:hAnsi="Arial" w:cs="Arial"/>
          <w:sz w:val="24"/>
          <w:szCs w:val="24"/>
        </w:rPr>
        <w:t>,</w:t>
      </w:r>
      <w:r w:rsidRPr="00722DF4">
        <w:rPr>
          <w:rFonts w:ascii="Arial" w:hAnsi="Arial" w:cs="Arial"/>
          <w:sz w:val="24"/>
          <w:szCs w:val="24"/>
        </w:rPr>
        <w:t xml:space="preserve"> kao i</w:t>
      </w:r>
      <w:r w:rsidR="00BB214A">
        <w:rPr>
          <w:rFonts w:ascii="Arial" w:hAnsi="Arial" w:cs="Arial"/>
          <w:sz w:val="24"/>
          <w:szCs w:val="24"/>
        </w:rPr>
        <w:t xml:space="preserve"> u</w:t>
      </w:r>
      <w:r w:rsidRPr="00722DF4">
        <w:rPr>
          <w:rFonts w:ascii="Arial" w:hAnsi="Arial" w:cs="Arial"/>
          <w:sz w:val="24"/>
          <w:szCs w:val="24"/>
        </w:rPr>
        <w:t xml:space="preserve"> objektima za pripremu mineralnih sirovina. Izvori buke su rudarske mašine za otkopavanje, transport i pomoćne radove: bu</w:t>
      </w:r>
      <w:r w:rsidR="00B66E26">
        <w:rPr>
          <w:rFonts w:ascii="Arial" w:hAnsi="Arial" w:cs="Arial"/>
          <w:sz w:val="24"/>
          <w:szCs w:val="24"/>
        </w:rPr>
        <w:t>šilice sa kompresorima, utovarač</w:t>
      </w:r>
      <w:r w:rsidRPr="00722DF4">
        <w:rPr>
          <w:rFonts w:ascii="Arial" w:hAnsi="Arial" w:cs="Arial"/>
          <w:sz w:val="24"/>
          <w:szCs w:val="24"/>
        </w:rPr>
        <w:t>i, buldozeri, kamioni, autocisterne, kao i drobilice, mlinovi, sita za klasiranje i dr.</w:t>
      </w:r>
      <w:r w:rsidR="00B66E26">
        <w:rPr>
          <w:rFonts w:ascii="Arial" w:hAnsi="Arial" w:cs="Arial"/>
          <w:sz w:val="24"/>
          <w:szCs w:val="24"/>
        </w:rPr>
        <w:t xml:space="preserve"> </w:t>
      </w:r>
    </w:p>
    <w:p w:rsidR="00D24A40" w:rsidRDefault="00D24A40" w:rsidP="00722DF4">
      <w:pPr>
        <w:spacing w:after="0"/>
        <w:jc w:val="both"/>
        <w:rPr>
          <w:rFonts w:ascii="Arial" w:hAnsi="Arial" w:cs="Arial"/>
          <w:sz w:val="24"/>
          <w:szCs w:val="24"/>
        </w:rPr>
      </w:pPr>
    </w:p>
    <w:p w:rsidR="00827A10" w:rsidRDefault="00D24A40" w:rsidP="00722DF4">
      <w:pPr>
        <w:spacing w:after="0"/>
        <w:jc w:val="both"/>
        <w:rPr>
          <w:rFonts w:ascii="Arial" w:hAnsi="Arial" w:cs="Arial"/>
          <w:sz w:val="24"/>
          <w:szCs w:val="24"/>
        </w:rPr>
      </w:pPr>
      <w:r>
        <w:rPr>
          <w:rFonts w:ascii="Arial" w:hAnsi="Arial" w:cs="Arial"/>
          <w:sz w:val="24"/>
          <w:szCs w:val="24"/>
        </w:rPr>
        <w:t xml:space="preserve">Posebnu pažnju treba posvetiti uticaju minerskih radova u rudarskoj proizvodnji. </w:t>
      </w:r>
      <w:r w:rsidR="00827A10" w:rsidRPr="00722DF4">
        <w:rPr>
          <w:rFonts w:ascii="Arial" w:hAnsi="Arial" w:cs="Arial"/>
          <w:sz w:val="24"/>
          <w:szCs w:val="24"/>
        </w:rPr>
        <w:t>Pri</w:t>
      </w:r>
      <w:r w:rsidR="00B66E26">
        <w:rPr>
          <w:rFonts w:ascii="Arial" w:hAnsi="Arial" w:cs="Arial"/>
          <w:sz w:val="24"/>
          <w:szCs w:val="24"/>
        </w:rPr>
        <w:t xml:space="preserve"> projektovanju tehnologije bušač</w:t>
      </w:r>
      <w:r w:rsidR="00827A10" w:rsidRPr="00722DF4">
        <w:rPr>
          <w:rFonts w:ascii="Arial" w:hAnsi="Arial" w:cs="Arial"/>
          <w:sz w:val="24"/>
          <w:szCs w:val="24"/>
        </w:rPr>
        <w:t>ko</w:t>
      </w:r>
      <w:r>
        <w:rPr>
          <w:rFonts w:ascii="Arial" w:hAnsi="Arial" w:cs="Arial"/>
          <w:sz w:val="24"/>
          <w:szCs w:val="24"/>
        </w:rPr>
        <w:t>-</w:t>
      </w:r>
      <w:r w:rsidR="00827A10" w:rsidRPr="00722DF4">
        <w:rPr>
          <w:rFonts w:ascii="Arial" w:hAnsi="Arial" w:cs="Arial"/>
          <w:sz w:val="24"/>
          <w:szCs w:val="24"/>
        </w:rPr>
        <w:t>minersk</w:t>
      </w:r>
      <w:r w:rsidR="00B66E26">
        <w:rPr>
          <w:rFonts w:ascii="Arial" w:hAnsi="Arial" w:cs="Arial"/>
          <w:sz w:val="24"/>
          <w:szCs w:val="24"/>
        </w:rPr>
        <w:t>ih radova potrebno je voditi računa o seizmič</w:t>
      </w:r>
      <w:r w:rsidR="00827A10" w:rsidRPr="00722DF4">
        <w:rPr>
          <w:rFonts w:ascii="Arial" w:hAnsi="Arial" w:cs="Arial"/>
          <w:sz w:val="24"/>
          <w:szCs w:val="24"/>
        </w:rPr>
        <w:t>kom dejstvu na objekte koji se nalaze u blizini površinskog kopa. U tom smislu potrebno je odrediti maks</w:t>
      </w:r>
      <w:r w:rsidR="00B66E26">
        <w:rPr>
          <w:rFonts w:ascii="Arial" w:hAnsi="Arial" w:cs="Arial"/>
          <w:sz w:val="24"/>
          <w:szCs w:val="24"/>
        </w:rPr>
        <w:t>imalnu količ</w:t>
      </w:r>
      <w:r w:rsidR="00827A10" w:rsidRPr="00722DF4">
        <w:rPr>
          <w:rFonts w:ascii="Arial" w:hAnsi="Arial" w:cs="Arial"/>
          <w:sz w:val="24"/>
          <w:szCs w:val="24"/>
        </w:rPr>
        <w:t xml:space="preserve">inu eksploziva koja se smije </w:t>
      </w:r>
      <w:r w:rsidR="00B66E26">
        <w:rPr>
          <w:rFonts w:ascii="Arial" w:hAnsi="Arial" w:cs="Arial"/>
          <w:sz w:val="24"/>
          <w:szCs w:val="24"/>
        </w:rPr>
        <w:t>istovremeno aktivirati pri izvođ</w:t>
      </w:r>
      <w:r w:rsidR="00827A10" w:rsidRPr="00722DF4">
        <w:rPr>
          <w:rFonts w:ascii="Arial" w:hAnsi="Arial" w:cs="Arial"/>
          <w:sz w:val="24"/>
          <w:szCs w:val="24"/>
        </w:rPr>
        <w:t>enju miniranja. Opasnost od štetnih uticaja vibracija postoji i u pojedinim fazama rada ruda</w:t>
      </w:r>
      <w:r w:rsidR="00B66E26">
        <w:rPr>
          <w:rFonts w:ascii="Arial" w:hAnsi="Arial" w:cs="Arial"/>
          <w:sz w:val="24"/>
          <w:szCs w:val="24"/>
        </w:rPr>
        <w:t>rskih mašina i vezana je isključ</w:t>
      </w:r>
      <w:r w:rsidR="00827A10" w:rsidRPr="00722DF4">
        <w:rPr>
          <w:rFonts w:ascii="Arial" w:hAnsi="Arial" w:cs="Arial"/>
          <w:sz w:val="24"/>
          <w:szCs w:val="24"/>
        </w:rPr>
        <w:t>vo za radnu okolinu</w:t>
      </w:r>
      <w:r w:rsidR="00B66E26">
        <w:rPr>
          <w:rFonts w:ascii="Arial" w:hAnsi="Arial" w:cs="Arial"/>
          <w:sz w:val="24"/>
          <w:szCs w:val="24"/>
        </w:rPr>
        <w:t>.</w:t>
      </w:r>
    </w:p>
    <w:p w:rsidR="00B66E26" w:rsidRPr="00722DF4" w:rsidRDefault="00B66E26" w:rsidP="00722DF4">
      <w:pPr>
        <w:spacing w:after="0"/>
        <w:jc w:val="both"/>
        <w:rPr>
          <w:rFonts w:ascii="Arial" w:hAnsi="Arial" w:cs="Arial"/>
          <w:sz w:val="24"/>
          <w:szCs w:val="24"/>
        </w:rPr>
      </w:pPr>
    </w:p>
    <w:p w:rsidR="00827A10" w:rsidRPr="00700739" w:rsidRDefault="00D24A40" w:rsidP="00D24A40">
      <w:pPr>
        <w:pStyle w:val="Heading2"/>
        <w:numPr>
          <w:ilvl w:val="0"/>
          <w:numId w:val="0"/>
        </w:numPr>
        <w:rPr>
          <w:lang w:val="sr-Latn-CS"/>
        </w:rPr>
      </w:pPr>
      <w:bookmarkStart w:id="53" w:name="_Toc6172842"/>
      <w:r>
        <w:t>6.</w:t>
      </w:r>
      <w:r>
        <w:rPr>
          <w:lang w:val="sr-Latn-CS"/>
        </w:rPr>
        <w:t>7</w:t>
      </w:r>
      <w:r w:rsidR="00827A10" w:rsidRPr="00D24A40">
        <w:t>. U</w:t>
      </w:r>
      <w:r w:rsidR="00700739">
        <w:t xml:space="preserve">ticaj na </w:t>
      </w:r>
      <w:r w:rsidR="00CC71F7">
        <w:rPr>
          <w:lang w:val="sr-Latn-CS"/>
        </w:rPr>
        <w:t xml:space="preserve">biodiverzitet </w:t>
      </w:r>
      <w:r w:rsidR="00700739">
        <w:rPr>
          <w:lang w:val="sr-Latn-CS"/>
        </w:rPr>
        <w:t>i zaštićena prirodne dobra</w:t>
      </w:r>
      <w:bookmarkEnd w:id="53"/>
    </w:p>
    <w:p w:rsidR="00B66E26" w:rsidRPr="00722DF4" w:rsidRDefault="00B66E26" w:rsidP="00722DF4">
      <w:pPr>
        <w:spacing w:after="0"/>
        <w:jc w:val="both"/>
        <w:rPr>
          <w:rFonts w:ascii="Arial" w:hAnsi="Arial" w:cs="Arial"/>
          <w:sz w:val="24"/>
          <w:szCs w:val="24"/>
        </w:rPr>
      </w:pPr>
    </w:p>
    <w:p w:rsidR="00526BB0" w:rsidRPr="00526BB0" w:rsidRDefault="00827A10" w:rsidP="00526BB0">
      <w:pPr>
        <w:spacing w:after="0"/>
        <w:jc w:val="both"/>
        <w:rPr>
          <w:rFonts w:ascii="Arial" w:hAnsi="Arial" w:cs="Arial"/>
          <w:sz w:val="24"/>
          <w:szCs w:val="24"/>
        </w:rPr>
      </w:pPr>
      <w:r w:rsidRPr="00722DF4">
        <w:rPr>
          <w:rFonts w:ascii="Arial" w:hAnsi="Arial" w:cs="Arial"/>
          <w:sz w:val="24"/>
          <w:szCs w:val="24"/>
        </w:rPr>
        <w:t xml:space="preserve">Na osnovu svih dosadašnjih analiza definisanih uticaja moguće je pouzdano sagledati relevantne parametre za ocjenu uticaja </w:t>
      </w:r>
      <w:r w:rsidR="000153B6" w:rsidRPr="00722DF4">
        <w:rPr>
          <w:rFonts w:ascii="Arial" w:hAnsi="Arial" w:cs="Arial"/>
          <w:sz w:val="24"/>
          <w:szCs w:val="24"/>
        </w:rPr>
        <w:t>različitih vrsta kopova</w:t>
      </w:r>
      <w:r w:rsidRPr="00722DF4">
        <w:rPr>
          <w:rFonts w:ascii="Arial" w:hAnsi="Arial" w:cs="Arial"/>
          <w:sz w:val="24"/>
          <w:szCs w:val="24"/>
        </w:rPr>
        <w:t xml:space="preserve"> na</w:t>
      </w:r>
      <w:r w:rsidR="00D24A40">
        <w:rPr>
          <w:rFonts w:ascii="Arial" w:hAnsi="Arial" w:cs="Arial"/>
          <w:sz w:val="24"/>
          <w:szCs w:val="24"/>
        </w:rPr>
        <w:t xml:space="preserve"> floru i faunu predmetnog područ</w:t>
      </w:r>
      <w:r w:rsidRPr="00722DF4">
        <w:rPr>
          <w:rFonts w:ascii="Arial" w:hAnsi="Arial" w:cs="Arial"/>
          <w:sz w:val="24"/>
          <w:szCs w:val="24"/>
        </w:rPr>
        <w:t>ja. Najveći utic</w:t>
      </w:r>
      <w:r w:rsidR="00D24A40">
        <w:rPr>
          <w:rFonts w:ascii="Arial" w:hAnsi="Arial" w:cs="Arial"/>
          <w:sz w:val="24"/>
          <w:szCs w:val="24"/>
        </w:rPr>
        <w:t xml:space="preserve">aj u okvirima </w:t>
      </w:r>
      <w:r w:rsidR="000153B6" w:rsidRPr="00722DF4">
        <w:rPr>
          <w:rFonts w:ascii="Arial" w:hAnsi="Arial" w:cs="Arial"/>
          <w:sz w:val="24"/>
          <w:szCs w:val="24"/>
        </w:rPr>
        <w:t>eksploatacionog polja izraž</w:t>
      </w:r>
      <w:r w:rsidRPr="00722DF4">
        <w:rPr>
          <w:rFonts w:ascii="Arial" w:hAnsi="Arial" w:cs="Arial"/>
          <w:sz w:val="24"/>
          <w:szCs w:val="24"/>
        </w:rPr>
        <w:t xml:space="preserve">en je kroz već analizirani efekat zauzimanja površina, odnosno fragmentacija staništa i trajni gubitak šumskih sastojina </w:t>
      </w:r>
      <w:r w:rsidR="00526BB0">
        <w:rPr>
          <w:rFonts w:ascii="Arial" w:hAnsi="Arial" w:cs="Arial"/>
          <w:sz w:val="24"/>
          <w:szCs w:val="24"/>
        </w:rPr>
        <w:t>ili međunarodno značajnih staništa (Habitat Direktiva)</w:t>
      </w:r>
      <w:r w:rsidR="00526BB0" w:rsidRPr="00722DF4">
        <w:rPr>
          <w:rFonts w:ascii="Arial" w:hAnsi="Arial" w:cs="Arial"/>
          <w:sz w:val="24"/>
          <w:szCs w:val="24"/>
        </w:rPr>
        <w:t xml:space="preserve"> </w:t>
      </w:r>
      <w:r w:rsidRPr="00722DF4">
        <w:rPr>
          <w:rFonts w:ascii="Arial" w:hAnsi="Arial" w:cs="Arial"/>
          <w:sz w:val="24"/>
          <w:szCs w:val="24"/>
        </w:rPr>
        <w:t xml:space="preserve">koje se </w:t>
      </w:r>
      <w:r w:rsidR="00D24A40">
        <w:rPr>
          <w:rFonts w:ascii="Arial" w:hAnsi="Arial" w:cs="Arial"/>
          <w:sz w:val="24"/>
          <w:szCs w:val="24"/>
        </w:rPr>
        <w:t xml:space="preserve">mogu nalaziti na </w:t>
      </w:r>
      <w:r w:rsidRPr="00722DF4">
        <w:rPr>
          <w:rFonts w:ascii="Arial" w:hAnsi="Arial" w:cs="Arial"/>
          <w:sz w:val="24"/>
          <w:szCs w:val="24"/>
        </w:rPr>
        <w:t>predmetnoj površini. Niz drugih uticaja prisutan je u manjoj mjeri</w:t>
      </w:r>
      <w:r w:rsidR="00D24A40">
        <w:rPr>
          <w:rFonts w:ascii="Arial" w:hAnsi="Arial" w:cs="Arial"/>
          <w:sz w:val="24"/>
          <w:szCs w:val="24"/>
        </w:rPr>
        <w:t>,</w:t>
      </w:r>
      <w:r w:rsidRPr="00722DF4">
        <w:rPr>
          <w:rFonts w:ascii="Arial" w:hAnsi="Arial" w:cs="Arial"/>
          <w:sz w:val="24"/>
          <w:szCs w:val="24"/>
        </w:rPr>
        <w:t xml:space="preserve"> s tim što treba naglasiti da </w:t>
      </w:r>
      <w:r w:rsidR="000153B6" w:rsidRPr="00722DF4">
        <w:rPr>
          <w:rFonts w:ascii="Arial" w:hAnsi="Arial" w:cs="Arial"/>
          <w:sz w:val="24"/>
          <w:szCs w:val="24"/>
        </w:rPr>
        <w:t xml:space="preserve">je neophodno pažljivo </w:t>
      </w:r>
      <w:r w:rsidR="00526BB0">
        <w:rPr>
          <w:rFonts w:ascii="Arial" w:hAnsi="Arial" w:cs="Arial"/>
          <w:sz w:val="24"/>
          <w:szCs w:val="24"/>
        </w:rPr>
        <w:t xml:space="preserve">istražiti </w:t>
      </w:r>
      <w:r w:rsidR="000153B6" w:rsidRPr="00722DF4">
        <w:rPr>
          <w:rFonts w:ascii="Arial" w:hAnsi="Arial" w:cs="Arial"/>
          <w:sz w:val="24"/>
          <w:szCs w:val="24"/>
        </w:rPr>
        <w:t>mogućnost uticaja</w:t>
      </w:r>
      <w:r w:rsidR="00D24A40">
        <w:rPr>
          <w:rFonts w:ascii="Arial" w:hAnsi="Arial" w:cs="Arial"/>
          <w:sz w:val="24"/>
          <w:szCs w:val="24"/>
        </w:rPr>
        <w:t xml:space="preserve"> na</w:t>
      </w:r>
      <w:r w:rsidRPr="00722DF4">
        <w:rPr>
          <w:rFonts w:ascii="Arial" w:hAnsi="Arial" w:cs="Arial"/>
          <w:sz w:val="24"/>
          <w:szCs w:val="24"/>
        </w:rPr>
        <w:t xml:space="preserve">. </w:t>
      </w:r>
      <w:r w:rsidR="00526BB0" w:rsidRPr="00526BB0">
        <w:rPr>
          <w:rFonts w:ascii="Arial" w:hAnsi="Arial" w:cs="Arial"/>
          <w:sz w:val="24"/>
          <w:szCs w:val="24"/>
        </w:rPr>
        <w:t>Endemične i/ili rijetke i/ili međunarodno značajne biljne i životinjske vrst, uz poseban naglasak na vrsta sa malobrojnim populacijam. Devastacijom staništa usled otvaranja kopova ugrožene su posebno biljke, obzirom da životinje mogu da se kreću i promjene stanište.</w:t>
      </w:r>
    </w:p>
    <w:p w:rsidR="000153B6" w:rsidRDefault="000153B6" w:rsidP="00722DF4">
      <w:pPr>
        <w:spacing w:after="0"/>
        <w:jc w:val="both"/>
        <w:rPr>
          <w:rFonts w:ascii="Arial" w:hAnsi="Arial" w:cs="Arial"/>
          <w:sz w:val="24"/>
          <w:szCs w:val="24"/>
        </w:rPr>
      </w:pPr>
    </w:p>
    <w:p w:rsidR="00D24A40" w:rsidRPr="00722DF4" w:rsidRDefault="00D24A40" w:rsidP="00722DF4">
      <w:pPr>
        <w:spacing w:after="0"/>
        <w:jc w:val="both"/>
        <w:rPr>
          <w:rFonts w:ascii="Arial" w:hAnsi="Arial" w:cs="Arial"/>
          <w:sz w:val="24"/>
          <w:szCs w:val="24"/>
        </w:rPr>
      </w:pPr>
    </w:p>
    <w:p w:rsidR="000153B6" w:rsidRDefault="00D24A40" w:rsidP="00722DF4">
      <w:pPr>
        <w:spacing w:after="0"/>
        <w:jc w:val="both"/>
        <w:rPr>
          <w:rFonts w:ascii="Arial" w:hAnsi="Arial" w:cs="Arial"/>
          <w:sz w:val="24"/>
          <w:szCs w:val="24"/>
        </w:rPr>
      </w:pPr>
      <w:r>
        <w:rPr>
          <w:rFonts w:ascii="Arial" w:hAnsi="Arial" w:cs="Arial"/>
          <w:sz w:val="24"/>
          <w:szCs w:val="24"/>
        </w:rPr>
        <w:lastRenderedPageBreak/>
        <w:t xml:space="preserve">Pri eksploataciji </w:t>
      </w:r>
      <w:r w:rsidR="00BB214A">
        <w:rPr>
          <w:rFonts w:ascii="Arial" w:hAnsi="Arial" w:cs="Arial"/>
          <w:sz w:val="24"/>
          <w:szCs w:val="24"/>
        </w:rPr>
        <w:t>mineralnih sirovina, posebno nemat</w:t>
      </w:r>
      <w:r w:rsidR="00C02F55">
        <w:rPr>
          <w:rFonts w:ascii="Arial" w:hAnsi="Arial" w:cs="Arial"/>
          <w:sz w:val="24"/>
          <w:szCs w:val="24"/>
        </w:rPr>
        <w:t>a</w:t>
      </w:r>
      <w:r w:rsidR="00BB214A">
        <w:rPr>
          <w:rFonts w:ascii="Arial" w:hAnsi="Arial" w:cs="Arial"/>
          <w:sz w:val="24"/>
          <w:szCs w:val="24"/>
        </w:rPr>
        <w:t>ličnih,</w:t>
      </w:r>
      <w:r w:rsidR="00827A10" w:rsidRPr="00722DF4">
        <w:rPr>
          <w:rFonts w:ascii="Arial" w:hAnsi="Arial" w:cs="Arial"/>
          <w:sz w:val="24"/>
          <w:szCs w:val="24"/>
        </w:rPr>
        <w:t xml:space="preserve"> na površinskim kopovima dolazi do emisije prašine nastale miniranjem, radom mašina pri oplemenjivanju mineralne sirovine, kao i kret</w:t>
      </w:r>
      <w:r>
        <w:rPr>
          <w:rFonts w:ascii="Arial" w:hAnsi="Arial" w:cs="Arial"/>
          <w:sz w:val="24"/>
          <w:szCs w:val="24"/>
        </w:rPr>
        <w:t>anjem transportnih mašina. Talož</w:t>
      </w:r>
      <w:r w:rsidR="00827A10" w:rsidRPr="00722DF4">
        <w:rPr>
          <w:rFonts w:ascii="Arial" w:hAnsi="Arial" w:cs="Arial"/>
          <w:sz w:val="24"/>
          <w:szCs w:val="24"/>
        </w:rPr>
        <w:t>enjem nastale prašine na lišću drveća dolazi d</w:t>
      </w:r>
      <w:r>
        <w:rPr>
          <w:rFonts w:ascii="Arial" w:hAnsi="Arial" w:cs="Arial"/>
          <w:sz w:val="24"/>
          <w:szCs w:val="24"/>
        </w:rPr>
        <w:t>o smanjenja njihove fotosintetič</w:t>
      </w:r>
      <w:r w:rsidR="00827A10" w:rsidRPr="00722DF4">
        <w:rPr>
          <w:rFonts w:ascii="Arial" w:hAnsi="Arial" w:cs="Arial"/>
          <w:sz w:val="24"/>
          <w:szCs w:val="24"/>
        </w:rPr>
        <w:t>ke aktivnosti i smanjenja produkcije, odnosno prira</w:t>
      </w:r>
      <w:r>
        <w:rPr>
          <w:rFonts w:ascii="Arial" w:hAnsi="Arial" w:cs="Arial"/>
          <w:sz w:val="24"/>
          <w:szCs w:val="24"/>
        </w:rPr>
        <w:t>sta. Ovaj će uticaj biti ogranič</w:t>
      </w:r>
      <w:r w:rsidR="00827A10" w:rsidRPr="00722DF4">
        <w:rPr>
          <w:rFonts w:ascii="Arial" w:hAnsi="Arial" w:cs="Arial"/>
          <w:sz w:val="24"/>
          <w:szCs w:val="24"/>
        </w:rPr>
        <w:t xml:space="preserve">en na stabla uz rubove površinskog kopa, te na stabla koja se nalaze neposredno uz transportne puteve. </w:t>
      </w:r>
    </w:p>
    <w:p w:rsidR="00D24A40" w:rsidRPr="00722DF4" w:rsidRDefault="00D24A40" w:rsidP="00722DF4">
      <w:pPr>
        <w:spacing w:after="0"/>
        <w:jc w:val="both"/>
        <w:rPr>
          <w:rFonts w:ascii="Arial" w:hAnsi="Arial" w:cs="Arial"/>
          <w:sz w:val="24"/>
          <w:szCs w:val="24"/>
        </w:rPr>
      </w:pPr>
    </w:p>
    <w:p w:rsidR="000153B6" w:rsidRDefault="00827A10" w:rsidP="00722DF4">
      <w:pPr>
        <w:spacing w:after="0"/>
        <w:jc w:val="both"/>
        <w:rPr>
          <w:rFonts w:ascii="Arial" w:hAnsi="Arial" w:cs="Arial"/>
          <w:sz w:val="24"/>
          <w:szCs w:val="24"/>
        </w:rPr>
      </w:pPr>
      <w:r w:rsidRPr="00722DF4">
        <w:rPr>
          <w:rFonts w:ascii="Arial" w:hAnsi="Arial" w:cs="Arial"/>
          <w:sz w:val="24"/>
          <w:szCs w:val="24"/>
        </w:rPr>
        <w:t xml:space="preserve">Potencijalni negativni uticaj na šumske sastojine smještene uz rub budućeg eksploatacijskog polja i uz rub transportnih puteva predviđenih za odvoz mineralne sirovine predstavlja i zagađenje štetnim materijama koje u ekosistem mogu biti ispuštene u slučaju akcidentnih situacija, ili zbog nekontrolisanog curenja goriva i maziva radnih i transportnih mašina. </w:t>
      </w:r>
    </w:p>
    <w:p w:rsidR="00BB214A" w:rsidRPr="00722DF4" w:rsidRDefault="00BB214A" w:rsidP="00722DF4">
      <w:pPr>
        <w:spacing w:after="0"/>
        <w:jc w:val="both"/>
        <w:rPr>
          <w:rFonts w:ascii="Arial" w:hAnsi="Arial" w:cs="Arial"/>
          <w:sz w:val="24"/>
          <w:szCs w:val="24"/>
        </w:rPr>
      </w:pPr>
    </w:p>
    <w:p w:rsidR="00D24A40" w:rsidRDefault="00827A10" w:rsidP="00722DF4">
      <w:pPr>
        <w:spacing w:after="0"/>
        <w:jc w:val="both"/>
        <w:rPr>
          <w:rFonts w:ascii="Arial" w:hAnsi="Arial" w:cs="Arial"/>
          <w:sz w:val="24"/>
          <w:szCs w:val="24"/>
        </w:rPr>
      </w:pPr>
      <w:r w:rsidRPr="00722DF4">
        <w:rPr>
          <w:rFonts w:ascii="Arial" w:hAnsi="Arial" w:cs="Arial"/>
          <w:sz w:val="24"/>
          <w:szCs w:val="24"/>
        </w:rPr>
        <w:t>Prisutnost ljudi kao i buka uslijed miniranja i rada mašina na površinskom kopu, te prolazak i buka transportnih vo</w:t>
      </w:r>
      <w:r w:rsidR="00D24A40">
        <w:rPr>
          <w:rFonts w:ascii="Arial" w:hAnsi="Arial" w:cs="Arial"/>
          <w:sz w:val="24"/>
          <w:szCs w:val="24"/>
        </w:rPr>
        <w:t>zila po pristupnom putu pogoršaće</w:t>
      </w:r>
      <w:r w:rsidRPr="00722DF4">
        <w:rPr>
          <w:rFonts w:ascii="Arial" w:hAnsi="Arial" w:cs="Arial"/>
          <w:sz w:val="24"/>
          <w:szCs w:val="24"/>
        </w:rPr>
        <w:t xml:space="preserve"> uslove staništa životinjskih vrsta. Aktivnosti miniranja, oplemenjivanja mineralne sirovine i transporta značajno će povećati stepen buke. Uznemiravanje će biti najizraženije tokom radnog vremena površinskog kopa, dok će u potpunosti izostati u noćnim satima. </w:t>
      </w:r>
    </w:p>
    <w:p w:rsidR="00D24A40" w:rsidRDefault="00D24A40" w:rsidP="00722DF4">
      <w:pPr>
        <w:spacing w:after="0"/>
        <w:jc w:val="both"/>
        <w:rPr>
          <w:rFonts w:ascii="Arial" w:hAnsi="Arial" w:cs="Arial"/>
          <w:sz w:val="24"/>
          <w:szCs w:val="24"/>
        </w:rPr>
      </w:pPr>
    </w:p>
    <w:p w:rsidR="00D24A40" w:rsidRDefault="00827A10" w:rsidP="00722DF4">
      <w:pPr>
        <w:spacing w:after="0"/>
        <w:jc w:val="both"/>
        <w:rPr>
          <w:rFonts w:ascii="Arial" w:hAnsi="Arial" w:cs="Arial"/>
          <w:sz w:val="24"/>
          <w:szCs w:val="24"/>
        </w:rPr>
      </w:pPr>
      <w:r w:rsidRPr="00722DF4">
        <w:rPr>
          <w:rFonts w:ascii="Arial" w:hAnsi="Arial" w:cs="Arial"/>
          <w:sz w:val="24"/>
          <w:szCs w:val="24"/>
        </w:rPr>
        <w:t>Divljač koja je eventualno prisutna u b</w:t>
      </w:r>
      <w:r w:rsidR="00BB214A">
        <w:rPr>
          <w:rFonts w:ascii="Arial" w:hAnsi="Arial" w:cs="Arial"/>
          <w:sz w:val="24"/>
          <w:szCs w:val="24"/>
        </w:rPr>
        <w:t>ližem okruženju eksploatacionog</w:t>
      </w:r>
      <w:r w:rsidRPr="00722DF4">
        <w:rPr>
          <w:rFonts w:ascii="Arial" w:hAnsi="Arial" w:cs="Arial"/>
          <w:sz w:val="24"/>
          <w:szCs w:val="24"/>
        </w:rPr>
        <w:t xml:space="preserve"> polja n</w:t>
      </w:r>
      <w:r w:rsidR="00D24A40">
        <w:rPr>
          <w:rFonts w:ascii="Arial" w:hAnsi="Arial" w:cs="Arial"/>
          <w:sz w:val="24"/>
          <w:szCs w:val="24"/>
        </w:rPr>
        <w:t>a povišenje nivoa buke, reagova</w:t>
      </w:r>
      <w:r w:rsidRPr="00722DF4">
        <w:rPr>
          <w:rFonts w:ascii="Arial" w:hAnsi="Arial" w:cs="Arial"/>
          <w:sz w:val="24"/>
          <w:szCs w:val="24"/>
        </w:rPr>
        <w:t xml:space="preserve">će pomjeranjem izvan zone uticaja buke. Odnosno, </w:t>
      </w:r>
      <w:r w:rsidR="00D24A40">
        <w:rPr>
          <w:rFonts w:ascii="Arial" w:hAnsi="Arial" w:cs="Arial"/>
          <w:sz w:val="24"/>
          <w:szCs w:val="24"/>
        </w:rPr>
        <w:t>u toku izvođ</w:t>
      </w:r>
      <w:r w:rsidRPr="00722DF4">
        <w:rPr>
          <w:rFonts w:ascii="Arial" w:hAnsi="Arial" w:cs="Arial"/>
          <w:sz w:val="24"/>
          <w:szCs w:val="24"/>
        </w:rPr>
        <w:t xml:space="preserve">enja </w:t>
      </w:r>
      <w:r w:rsidR="000153B6" w:rsidRPr="00722DF4">
        <w:rPr>
          <w:rFonts w:ascii="Arial" w:hAnsi="Arial" w:cs="Arial"/>
          <w:sz w:val="24"/>
          <w:szCs w:val="24"/>
        </w:rPr>
        <w:t>planiranih i postojećih aktivnosti većina ž</w:t>
      </w:r>
      <w:r w:rsidRPr="00722DF4">
        <w:rPr>
          <w:rFonts w:ascii="Arial" w:hAnsi="Arial" w:cs="Arial"/>
          <w:sz w:val="24"/>
          <w:szCs w:val="24"/>
        </w:rPr>
        <w:t>ivoti</w:t>
      </w:r>
      <w:r w:rsidR="00D24A40">
        <w:rPr>
          <w:rFonts w:ascii="Arial" w:hAnsi="Arial" w:cs="Arial"/>
          <w:sz w:val="24"/>
          <w:szCs w:val="24"/>
        </w:rPr>
        <w:t xml:space="preserve">njskih vrsta će napustiti </w:t>
      </w:r>
      <w:r w:rsidRPr="00722DF4">
        <w:rPr>
          <w:rFonts w:ascii="Arial" w:hAnsi="Arial" w:cs="Arial"/>
          <w:sz w:val="24"/>
          <w:szCs w:val="24"/>
        </w:rPr>
        <w:t>eksploataci</w:t>
      </w:r>
      <w:r w:rsidR="00D24A40">
        <w:rPr>
          <w:rFonts w:ascii="Arial" w:hAnsi="Arial" w:cs="Arial"/>
          <w:sz w:val="24"/>
          <w:szCs w:val="24"/>
        </w:rPr>
        <w:t>ono podrčje sa mogućim izuzetkom ptič</w:t>
      </w:r>
      <w:r w:rsidRPr="00722DF4">
        <w:rPr>
          <w:rFonts w:ascii="Arial" w:hAnsi="Arial" w:cs="Arial"/>
          <w:sz w:val="24"/>
          <w:szCs w:val="24"/>
        </w:rPr>
        <w:t>ijih vrsta, malih glodara i reptila koji se mogu pri</w:t>
      </w:r>
      <w:r w:rsidR="00E54027" w:rsidRPr="00722DF4">
        <w:rPr>
          <w:rFonts w:ascii="Arial" w:hAnsi="Arial" w:cs="Arial"/>
          <w:sz w:val="24"/>
          <w:szCs w:val="24"/>
        </w:rPr>
        <w:t>lagoditi promijenjenom staništu</w:t>
      </w:r>
      <w:r w:rsidRPr="00722DF4">
        <w:rPr>
          <w:rFonts w:ascii="Arial" w:hAnsi="Arial" w:cs="Arial"/>
          <w:sz w:val="24"/>
          <w:szCs w:val="24"/>
        </w:rPr>
        <w:t xml:space="preserve">. Naime, </w:t>
      </w:r>
      <w:r w:rsidR="00D24A40">
        <w:rPr>
          <w:rFonts w:ascii="Arial" w:hAnsi="Arial" w:cs="Arial"/>
          <w:sz w:val="24"/>
          <w:szCs w:val="24"/>
        </w:rPr>
        <w:t xml:space="preserve">većina </w:t>
      </w:r>
      <w:r w:rsidRPr="00722DF4">
        <w:rPr>
          <w:rFonts w:ascii="Arial" w:hAnsi="Arial" w:cs="Arial"/>
          <w:sz w:val="24"/>
          <w:szCs w:val="24"/>
        </w:rPr>
        <w:t>vr</w:t>
      </w:r>
      <w:r w:rsidR="00D24A40">
        <w:rPr>
          <w:rFonts w:ascii="Arial" w:hAnsi="Arial" w:cs="Arial"/>
          <w:sz w:val="24"/>
          <w:szCs w:val="24"/>
        </w:rPr>
        <w:t>sta su pokretljive i za svoj život koriste veća prostranstva, tako da je za oč</w:t>
      </w:r>
      <w:r w:rsidRPr="00722DF4">
        <w:rPr>
          <w:rFonts w:ascii="Arial" w:hAnsi="Arial" w:cs="Arial"/>
          <w:sz w:val="24"/>
          <w:szCs w:val="24"/>
        </w:rPr>
        <w:t xml:space="preserve">ekivati da će se one </w:t>
      </w:r>
      <w:r w:rsidR="00E54027" w:rsidRPr="00722DF4">
        <w:rPr>
          <w:rFonts w:ascii="Arial" w:hAnsi="Arial" w:cs="Arial"/>
          <w:sz w:val="24"/>
          <w:szCs w:val="24"/>
        </w:rPr>
        <w:t xml:space="preserve">mogu </w:t>
      </w:r>
      <w:r w:rsidRPr="00722DF4">
        <w:rPr>
          <w:rFonts w:ascii="Arial" w:hAnsi="Arial" w:cs="Arial"/>
          <w:sz w:val="24"/>
          <w:szCs w:val="24"/>
        </w:rPr>
        <w:t>pomjeriti i pronaći nova odgovarajuća staništa. Ipak, neke od nj</w:t>
      </w:r>
      <w:r w:rsidR="00D24A40">
        <w:rPr>
          <w:rFonts w:ascii="Arial" w:hAnsi="Arial" w:cs="Arial"/>
          <w:sz w:val="24"/>
          <w:szCs w:val="24"/>
        </w:rPr>
        <w:t>ih su u određ</w:t>
      </w:r>
      <w:r w:rsidR="00E54027" w:rsidRPr="00722DF4">
        <w:rPr>
          <w:rFonts w:ascii="Arial" w:hAnsi="Arial" w:cs="Arial"/>
          <w:sz w:val="24"/>
          <w:szCs w:val="24"/>
        </w:rPr>
        <w:t>enoj mjeri prilagođ</w:t>
      </w:r>
      <w:r w:rsidRPr="00722DF4">
        <w:rPr>
          <w:rFonts w:ascii="Arial" w:hAnsi="Arial" w:cs="Arial"/>
          <w:sz w:val="24"/>
          <w:szCs w:val="24"/>
        </w:rPr>
        <w:t>ene egzistenc</w:t>
      </w:r>
      <w:r w:rsidR="00E54027" w:rsidRPr="00722DF4">
        <w:rPr>
          <w:rFonts w:ascii="Arial" w:hAnsi="Arial" w:cs="Arial"/>
          <w:sz w:val="24"/>
          <w:szCs w:val="24"/>
        </w:rPr>
        <w:t>ije na mjestima koja su pod snaž</w:t>
      </w:r>
      <w:r w:rsidRPr="00722DF4">
        <w:rPr>
          <w:rFonts w:ascii="Arial" w:hAnsi="Arial" w:cs="Arial"/>
          <w:sz w:val="24"/>
          <w:szCs w:val="24"/>
        </w:rPr>
        <w:t>nim antropogenim uticajem, tako da planirani zahvat</w:t>
      </w:r>
      <w:r w:rsidR="00E54027" w:rsidRPr="00722DF4">
        <w:rPr>
          <w:rFonts w:ascii="Arial" w:hAnsi="Arial" w:cs="Arial"/>
          <w:sz w:val="24"/>
          <w:szCs w:val="24"/>
        </w:rPr>
        <w:t>i</w:t>
      </w:r>
      <w:r w:rsidR="00D24A40">
        <w:rPr>
          <w:rFonts w:ascii="Arial" w:hAnsi="Arial" w:cs="Arial"/>
          <w:sz w:val="24"/>
          <w:szCs w:val="24"/>
        </w:rPr>
        <w:t xml:space="preserve"> neće u znač</w:t>
      </w:r>
      <w:r w:rsidRPr="00722DF4">
        <w:rPr>
          <w:rFonts w:ascii="Arial" w:hAnsi="Arial" w:cs="Arial"/>
          <w:sz w:val="24"/>
          <w:szCs w:val="24"/>
        </w:rPr>
        <w:t xml:space="preserve">ajnijoj mjeri dovesti do opadanja brojnosti ovih organizama. </w:t>
      </w:r>
    </w:p>
    <w:p w:rsidR="00D24A40" w:rsidRDefault="00D24A40" w:rsidP="00722DF4">
      <w:pPr>
        <w:spacing w:after="0"/>
        <w:jc w:val="both"/>
        <w:rPr>
          <w:rFonts w:ascii="Arial" w:hAnsi="Arial" w:cs="Arial"/>
          <w:sz w:val="24"/>
          <w:szCs w:val="24"/>
        </w:rPr>
      </w:pPr>
    </w:p>
    <w:p w:rsidR="00E54027" w:rsidRDefault="00D24A40" w:rsidP="00722DF4">
      <w:pPr>
        <w:spacing w:after="0"/>
        <w:jc w:val="both"/>
        <w:rPr>
          <w:rFonts w:ascii="Arial" w:hAnsi="Arial" w:cs="Arial"/>
          <w:sz w:val="24"/>
          <w:szCs w:val="24"/>
        </w:rPr>
      </w:pPr>
      <w:r>
        <w:rPr>
          <w:rFonts w:ascii="Arial" w:hAnsi="Arial" w:cs="Arial"/>
          <w:sz w:val="24"/>
          <w:szCs w:val="24"/>
        </w:rPr>
        <w:t>Buka koja potič</w:t>
      </w:r>
      <w:r w:rsidR="00827A10" w:rsidRPr="00722DF4">
        <w:rPr>
          <w:rFonts w:ascii="Arial" w:hAnsi="Arial" w:cs="Arial"/>
          <w:sz w:val="24"/>
          <w:szCs w:val="24"/>
        </w:rPr>
        <w:t>e od rudarskih aktivnosti na p</w:t>
      </w:r>
      <w:r w:rsidR="00E54027" w:rsidRPr="00722DF4">
        <w:rPr>
          <w:rFonts w:ascii="Arial" w:hAnsi="Arial" w:cs="Arial"/>
          <w:sz w:val="24"/>
          <w:szCs w:val="24"/>
        </w:rPr>
        <w:t xml:space="preserve">ovršinskim kopovima </w:t>
      </w:r>
      <w:r w:rsidR="00827A10" w:rsidRPr="00722DF4">
        <w:rPr>
          <w:rFonts w:ascii="Arial" w:hAnsi="Arial" w:cs="Arial"/>
          <w:sz w:val="24"/>
          <w:szCs w:val="24"/>
        </w:rPr>
        <w:t>ugl</w:t>
      </w:r>
      <w:r w:rsidR="00E54027" w:rsidRPr="00722DF4">
        <w:rPr>
          <w:rFonts w:ascii="Arial" w:hAnsi="Arial" w:cs="Arial"/>
          <w:sz w:val="24"/>
          <w:szCs w:val="24"/>
        </w:rPr>
        <w:t>avnom će nepovoljno uticati na ž</w:t>
      </w:r>
      <w:r w:rsidR="00827A10" w:rsidRPr="00722DF4">
        <w:rPr>
          <w:rFonts w:ascii="Arial" w:hAnsi="Arial" w:cs="Arial"/>
          <w:sz w:val="24"/>
          <w:szCs w:val="24"/>
        </w:rPr>
        <w:t>ivo</w:t>
      </w:r>
      <w:r w:rsidR="00E54027" w:rsidRPr="00722DF4">
        <w:rPr>
          <w:rFonts w:ascii="Arial" w:hAnsi="Arial" w:cs="Arial"/>
          <w:sz w:val="24"/>
          <w:szCs w:val="24"/>
        </w:rPr>
        <w:t>tinjski svet u neposrednom okruž</w:t>
      </w:r>
      <w:r w:rsidR="00827A10" w:rsidRPr="00722DF4">
        <w:rPr>
          <w:rFonts w:ascii="Arial" w:hAnsi="Arial" w:cs="Arial"/>
          <w:sz w:val="24"/>
          <w:szCs w:val="24"/>
        </w:rPr>
        <w:t xml:space="preserve">enju površinskog kopa. Nakon završetka </w:t>
      </w:r>
      <w:r w:rsidR="00E54027" w:rsidRPr="00722DF4">
        <w:rPr>
          <w:rFonts w:ascii="Arial" w:hAnsi="Arial" w:cs="Arial"/>
          <w:sz w:val="24"/>
          <w:szCs w:val="24"/>
        </w:rPr>
        <w:t>planiranih aktivnosti na prostoru površinskih kopova stoji obaveza rekultivacija kopova</w:t>
      </w:r>
      <w:r w:rsidR="00827A10" w:rsidRPr="00722DF4">
        <w:rPr>
          <w:rFonts w:ascii="Arial" w:hAnsi="Arial" w:cs="Arial"/>
          <w:sz w:val="24"/>
          <w:szCs w:val="24"/>
        </w:rPr>
        <w:t xml:space="preserve"> u cilju obnavljanja cjel</w:t>
      </w:r>
      <w:r>
        <w:rPr>
          <w:rFonts w:ascii="Arial" w:hAnsi="Arial" w:cs="Arial"/>
          <w:sz w:val="24"/>
          <w:szCs w:val="24"/>
        </w:rPr>
        <w:t>okupnog ekološkog bilansa područ</w:t>
      </w:r>
      <w:r w:rsidR="00827A10" w:rsidRPr="00722DF4">
        <w:rPr>
          <w:rFonts w:ascii="Arial" w:hAnsi="Arial" w:cs="Arial"/>
          <w:sz w:val="24"/>
          <w:szCs w:val="24"/>
        </w:rPr>
        <w:t xml:space="preserve">ja. </w:t>
      </w:r>
    </w:p>
    <w:p w:rsidR="00D24A40" w:rsidRPr="00722DF4" w:rsidRDefault="00D24A40" w:rsidP="00722DF4">
      <w:pPr>
        <w:spacing w:after="0"/>
        <w:jc w:val="both"/>
        <w:rPr>
          <w:rFonts w:ascii="Arial" w:hAnsi="Arial" w:cs="Arial"/>
          <w:sz w:val="24"/>
          <w:szCs w:val="24"/>
        </w:rPr>
      </w:pPr>
    </w:p>
    <w:p w:rsidR="00827A10" w:rsidRDefault="00D24A40" w:rsidP="00D24A40">
      <w:pPr>
        <w:pStyle w:val="Heading2"/>
        <w:numPr>
          <w:ilvl w:val="0"/>
          <w:numId w:val="0"/>
        </w:numPr>
      </w:pPr>
      <w:bookmarkStart w:id="54" w:name="_Toc6172843"/>
      <w:r>
        <w:t>6.</w:t>
      </w:r>
      <w:r>
        <w:rPr>
          <w:lang w:val="sr-Latn-CS"/>
        </w:rPr>
        <w:t>8</w:t>
      </w:r>
      <w:r w:rsidR="00827A10" w:rsidRPr="00722DF4">
        <w:t>.</w:t>
      </w:r>
      <w:r w:rsidR="00E622CB" w:rsidRPr="00722DF4">
        <w:t xml:space="preserve"> Uticaj na karakteristike pejzaž</w:t>
      </w:r>
      <w:r w:rsidR="00827A10" w:rsidRPr="00722DF4">
        <w:t>a</w:t>
      </w:r>
      <w:bookmarkEnd w:id="54"/>
      <w:r w:rsidR="00827A10" w:rsidRPr="00722DF4">
        <w:t xml:space="preserve"> </w:t>
      </w:r>
    </w:p>
    <w:p w:rsidR="00D24A40" w:rsidRDefault="00D24A40" w:rsidP="00722DF4">
      <w:pPr>
        <w:spacing w:after="0"/>
        <w:jc w:val="both"/>
        <w:rPr>
          <w:rFonts w:ascii="Arial" w:hAnsi="Arial" w:cs="Arial"/>
          <w:sz w:val="24"/>
          <w:szCs w:val="24"/>
        </w:rPr>
      </w:pPr>
    </w:p>
    <w:p w:rsidR="00BB214A" w:rsidRPr="00BB214A" w:rsidRDefault="00BB214A" w:rsidP="00BB214A">
      <w:pPr>
        <w:spacing w:after="0"/>
        <w:jc w:val="both"/>
        <w:rPr>
          <w:rFonts w:ascii="Arial" w:hAnsi="Arial" w:cs="Arial"/>
          <w:sz w:val="24"/>
          <w:szCs w:val="24"/>
          <w:lang w:val="sr-Latn-CS"/>
        </w:rPr>
      </w:pPr>
      <w:r w:rsidRPr="00BB214A">
        <w:rPr>
          <w:rFonts w:ascii="Arial" w:hAnsi="Arial" w:cs="Arial"/>
          <w:sz w:val="24"/>
          <w:szCs w:val="24"/>
          <w:lang w:val="sr-Latn-CS"/>
        </w:rPr>
        <w:t>Problematika vizuelnog zagađenja kao kriterijuma odnosa površinskog kopa i životne sredine pretpostavlja da odlike slik</w:t>
      </w:r>
      <w:r w:rsidR="002A7FDD">
        <w:rPr>
          <w:rFonts w:ascii="Arial" w:hAnsi="Arial" w:cs="Arial"/>
          <w:sz w:val="24"/>
          <w:szCs w:val="24"/>
          <w:lang w:val="sr-Latn-CS"/>
        </w:rPr>
        <w:t>e</w:t>
      </w:r>
      <w:r w:rsidRPr="00BB214A">
        <w:rPr>
          <w:rFonts w:ascii="Arial" w:hAnsi="Arial" w:cs="Arial"/>
          <w:sz w:val="24"/>
          <w:szCs w:val="24"/>
          <w:lang w:val="sr-Latn-CS"/>
        </w:rPr>
        <w:t xml:space="preserve"> predela predstavljaju kvalitativni činilac koji se javlja kao element degradacije postojećih i uređenih odnosa. Da bi se sa opisne procene uticaja </w:t>
      </w:r>
      <w:r w:rsidRPr="00BB214A">
        <w:rPr>
          <w:rFonts w:ascii="Arial" w:hAnsi="Arial" w:cs="Arial"/>
          <w:sz w:val="24"/>
          <w:szCs w:val="24"/>
          <w:lang w:val="sr-Latn-CS"/>
        </w:rPr>
        <w:lastRenderedPageBreak/>
        <w:t>u ovom domenu prešlo na kvantitativne metode, koje uključuju kompleksnu valorizaciju prostora, neophodno je sprovesti čitav niz specifičnih postupaka analize pri čemu su neophodne grafičke i vizuelne informacije visokog tehnološkog nivoa.</w:t>
      </w:r>
    </w:p>
    <w:p w:rsidR="00BB214A" w:rsidRPr="00BB214A" w:rsidRDefault="00BB214A" w:rsidP="00BB214A">
      <w:pPr>
        <w:spacing w:after="0"/>
        <w:jc w:val="both"/>
        <w:rPr>
          <w:rFonts w:ascii="Arial" w:hAnsi="Arial" w:cs="Arial"/>
          <w:sz w:val="24"/>
          <w:szCs w:val="24"/>
          <w:lang w:val="sr-Latn-CS"/>
        </w:rPr>
      </w:pPr>
    </w:p>
    <w:p w:rsidR="00BB214A" w:rsidRPr="00BB214A" w:rsidRDefault="00BB214A" w:rsidP="00BB214A">
      <w:pPr>
        <w:spacing w:after="0"/>
        <w:jc w:val="both"/>
        <w:rPr>
          <w:rFonts w:ascii="Arial" w:hAnsi="Arial" w:cs="Arial"/>
          <w:sz w:val="24"/>
          <w:szCs w:val="24"/>
          <w:lang w:val="sr-Latn-CS"/>
        </w:rPr>
      </w:pPr>
      <w:r w:rsidRPr="00BB214A">
        <w:rPr>
          <w:rFonts w:ascii="Arial" w:hAnsi="Arial" w:cs="Arial"/>
          <w:sz w:val="24"/>
          <w:szCs w:val="24"/>
          <w:lang w:val="sr-Latn-CS"/>
        </w:rPr>
        <w:t>Problematika vizuelnih zagađenja razmatrana</w:t>
      </w:r>
      <w:r w:rsidR="002A7FDD">
        <w:rPr>
          <w:rFonts w:ascii="Arial" w:hAnsi="Arial" w:cs="Arial"/>
          <w:sz w:val="24"/>
          <w:szCs w:val="24"/>
          <w:lang w:val="sr-Latn-CS"/>
        </w:rPr>
        <w:t xml:space="preserve"> </w:t>
      </w:r>
      <w:r>
        <w:rPr>
          <w:rFonts w:ascii="Arial" w:hAnsi="Arial" w:cs="Arial"/>
          <w:sz w:val="24"/>
          <w:szCs w:val="24"/>
          <w:lang w:val="sr-Latn-CS"/>
        </w:rPr>
        <w:t>se</w:t>
      </w:r>
      <w:r w:rsidRPr="00BB214A">
        <w:rPr>
          <w:rFonts w:ascii="Arial" w:hAnsi="Arial" w:cs="Arial"/>
          <w:sz w:val="24"/>
          <w:szCs w:val="24"/>
          <w:lang w:val="sr-Latn-CS"/>
        </w:rPr>
        <w:t xml:space="preserve"> kroz osnovni nivo koji obuhvata odnos površinskog kopa prema prostoru u smislu definisanja uticaja na pejzaž</w:t>
      </w:r>
      <w:r>
        <w:rPr>
          <w:rFonts w:ascii="Arial" w:hAnsi="Arial" w:cs="Arial"/>
          <w:sz w:val="24"/>
          <w:szCs w:val="24"/>
          <w:lang w:val="sr-Latn-CS"/>
        </w:rPr>
        <w:t xml:space="preserve">, pri čemu se može primjeniti </w:t>
      </w:r>
      <w:r w:rsidRPr="00BB214A">
        <w:rPr>
          <w:rFonts w:ascii="Arial" w:hAnsi="Arial" w:cs="Arial"/>
          <w:sz w:val="24"/>
          <w:szCs w:val="24"/>
          <w:lang w:val="sr-Latn-CS"/>
        </w:rPr>
        <w:t>metodologija raščlanjavanja na pojed</w:t>
      </w:r>
      <w:r>
        <w:rPr>
          <w:rFonts w:ascii="Arial" w:hAnsi="Arial" w:cs="Arial"/>
          <w:sz w:val="24"/>
          <w:szCs w:val="24"/>
          <w:lang w:val="sr-Latn-CS"/>
        </w:rPr>
        <w:t xml:space="preserve">ine komponente - </w:t>
      </w:r>
      <w:r w:rsidRPr="00BB214A">
        <w:rPr>
          <w:rFonts w:ascii="Arial" w:hAnsi="Arial" w:cs="Arial"/>
          <w:sz w:val="24"/>
          <w:szCs w:val="24"/>
          <w:lang w:val="sr-Latn-CS"/>
        </w:rPr>
        <w:t>morfologija, vegetacija, površins</w:t>
      </w:r>
      <w:r>
        <w:rPr>
          <w:rFonts w:ascii="Arial" w:hAnsi="Arial" w:cs="Arial"/>
          <w:sz w:val="24"/>
          <w:szCs w:val="24"/>
          <w:lang w:val="sr-Latn-CS"/>
        </w:rPr>
        <w:t>ke vode, objekti i opšti izgled</w:t>
      </w:r>
      <w:r w:rsidRPr="00BB214A">
        <w:rPr>
          <w:rFonts w:ascii="Arial" w:hAnsi="Arial" w:cs="Arial"/>
          <w:sz w:val="24"/>
          <w:szCs w:val="24"/>
          <w:lang w:val="sr-Latn-CS"/>
        </w:rPr>
        <w:t>.</w:t>
      </w:r>
    </w:p>
    <w:p w:rsidR="00BB214A" w:rsidRPr="00BB214A" w:rsidRDefault="00BB214A" w:rsidP="00BB214A">
      <w:pPr>
        <w:spacing w:after="0"/>
        <w:jc w:val="both"/>
        <w:rPr>
          <w:rFonts w:ascii="Arial" w:hAnsi="Arial" w:cs="Arial"/>
          <w:sz w:val="24"/>
          <w:szCs w:val="24"/>
          <w:lang w:val="sr-Latn-CS"/>
        </w:rPr>
      </w:pPr>
    </w:p>
    <w:p w:rsidR="00BB214A" w:rsidRDefault="00BB214A" w:rsidP="00BB214A">
      <w:pPr>
        <w:spacing w:after="0"/>
        <w:jc w:val="both"/>
        <w:rPr>
          <w:rFonts w:ascii="Arial" w:hAnsi="Arial" w:cs="Arial"/>
          <w:sz w:val="24"/>
          <w:szCs w:val="24"/>
          <w:lang w:val="sr-Latn-CS"/>
        </w:rPr>
      </w:pPr>
      <w:r w:rsidRPr="00BB214A">
        <w:rPr>
          <w:rFonts w:ascii="Arial" w:hAnsi="Arial" w:cs="Arial"/>
          <w:sz w:val="24"/>
          <w:szCs w:val="24"/>
          <w:lang w:val="sr-Latn-CS"/>
        </w:rPr>
        <w:t xml:space="preserve">Uticaj površinske eksploatacije </w:t>
      </w:r>
      <w:r>
        <w:rPr>
          <w:rFonts w:ascii="Arial" w:hAnsi="Arial" w:cs="Arial"/>
          <w:sz w:val="24"/>
          <w:szCs w:val="24"/>
          <w:lang w:val="sr-Latn-CS"/>
        </w:rPr>
        <w:t xml:space="preserve">mineralnih sirovina </w:t>
      </w:r>
      <w:r w:rsidRPr="00BB214A">
        <w:rPr>
          <w:rFonts w:ascii="Arial" w:hAnsi="Arial" w:cs="Arial"/>
          <w:sz w:val="24"/>
          <w:szCs w:val="24"/>
          <w:lang w:val="sr-Latn-CS"/>
        </w:rPr>
        <w:t xml:space="preserve">na izmenu pejzažnih karakteristika u smislu morfološke izmene terena, podrazumeva stvaranje depresija određenih razmera i formiranja odlagališta jalovine. </w:t>
      </w:r>
    </w:p>
    <w:p w:rsidR="00BB214A" w:rsidRPr="00BB214A" w:rsidRDefault="00BB214A" w:rsidP="00BB214A">
      <w:pPr>
        <w:spacing w:after="0"/>
        <w:jc w:val="both"/>
        <w:rPr>
          <w:rFonts w:ascii="Arial" w:hAnsi="Arial" w:cs="Arial"/>
          <w:sz w:val="24"/>
          <w:szCs w:val="24"/>
          <w:lang w:val="sr-Latn-CS"/>
        </w:rPr>
      </w:pPr>
    </w:p>
    <w:p w:rsidR="00BB214A" w:rsidRPr="00C836AD" w:rsidRDefault="00BB214A" w:rsidP="00BB214A">
      <w:pPr>
        <w:spacing w:after="0"/>
        <w:jc w:val="both"/>
        <w:rPr>
          <w:rFonts w:ascii="Arial" w:hAnsi="Arial" w:cs="Arial"/>
          <w:sz w:val="24"/>
          <w:szCs w:val="24"/>
          <w:lang w:val="sr-Latn-CS"/>
        </w:rPr>
      </w:pPr>
      <w:r w:rsidRPr="00BB214A">
        <w:rPr>
          <w:rFonts w:ascii="Arial" w:hAnsi="Arial" w:cs="Arial"/>
          <w:sz w:val="24"/>
          <w:szCs w:val="24"/>
          <w:lang w:val="sr-Latn-CS"/>
        </w:rPr>
        <w:t>Pri</w:t>
      </w:r>
      <w:r w:rsidRPr="00BB214A">
        <w:rPr>
          <w:rFonts w:ascii="Arial" w:hAnsi="Arial" w:cs="Arial"/>
          <w:sz w:val="24"/>
          <w:szCs w:val="24"/>
          <w:lang w:val="sr-Cyrl-CS"/>
        </w:rPr>
        <w:t xml:space="preserve"> </w:t>
      </w:r>
      <w:r w:rsidRPr="00BB214A">
        <w:rPr>
          <w:rFonts w:ascii="Arial" w:hAnsi="Arial" w:cs="Arial"/>
          <w:sz w:val="24"/>
          <w:szCs w:val="24"/>
          <w:lang w:val="sr-Latn-CS"/>
        </w:rPr>
        <w:t>izvo</w:t>
      </w:r>
      <w:r w:rsidRPr="00BB214A">
        <w:rPr>
          <w:rFonts w:ascii="Arial" w:hAnsi="Arial" w:cs="Arial"/>
          <w:sz w:val="24"/>
          <w:szCs w:val="24"/>
          <w:lang w:val="sr-Cyrl-CS"/>
        </w:rPr>
        <w:t>đ</w:t>
      </w:r>
      <w:r w:rsidRPr="00BB214A">
        <w:rPr>
          <w:rFonts w:ascii="Arial" w:hAnsi="Arial" w:cs="Arial"/>
          <w:sz w:val="24"/>
          <w:szCs w:val="24"/>
          <w:lang w:val="sr-Latn-CS"/>
        </w:rPr>
        <w:t>enju</w:t>
      </w:r>
      <w:r w:rsidRPr="00BB214A">
        <w:rPr>
          <w:rFonts w:ascii="Arial" w:hAnsi="Arial" w:cs="Arial"/>
          <w:sz w:val="24"/>
          <w:szCs w:val="24"/>
          <w:lang w:val="sr-Cyrl-CS"/>
        </w:rPr>
        <w:t xml:space="preserve"> ru</w:t>
      </w:r>
      <w:r w:rsidRPr="00BB214A">
        <w:rPr>
          <w:rFonts w:ascii="Arial" w:hAnsi="Arial" w:cs="Arial"/>
          <w:sz w:val="24"/>
          <w:szCs w:val="24"/>
          <w:lang w:val="sr-Latn-CS"/>
        </w:rPr>
        <w:t>darskih</w:t>
      </w:r>
      <w:r w:rsidRPr="00BB214A">
        <w:rPr>
          <w:rFonts w:ascii="Arial" w:hAnsi="Arial" w:cs="Arial"/>
          <w:sz w:val="24"/>
          <w:szCs w:val="24"/>
          <w:lang w:val="sr-Cyrl-CS"/>
        </w:rPr>
        <w:t xml:space="preserve"> </w:t>
      </w:r>
      <w:r w:rsidRPr="00BB214A">
        <w:rPr>
          <w:rFonts w:ascii="Arial" w:hAnsi="Arial" w:cs="Arial"/>
          <w:sz w:val="24"/>
          <w:szCs w:val="24"/>
          <w:lang w:val="sr-Latn-CS"/>
        </w:rPr>
        <w:t>radova</w:t>
      </w:r>
      <w:r w:rsidRPr="00BB214A">
        <w:rPr>
          <w:rFonts w:ascii="Arial" w:hAnsi="Arial" w:cs="Arial"/>
          <w:sz w:val="24"/>
          <w:szCs w:val="24"/>
          <w:lang w:val="sr-Cyrl-CS"/>
        </w:rPr>
        <w:t xml:space="preserve"> </w:t>
      </w:r>
      <w:r w:rsidRPr="00BB214A">
        <w:rPr>
          <w:rFonts w:ascii="Arial" w:hAnsi="Arial" w:cs="Arial"/>
          <w:sz w:val="24"/>
          <w:szCs w:val="24"/>
          <w:lang w:val="sr-Latn-CS"/>
        </w:rPr>
        <w:t>povr</w:t>
      </w:r>
      <w:r w:rsidRPr="00BB214A">
        <w:rPr>
          <w:rFonts w:ascii="Arial" w:hAnsi="Arial" w:cs="Arial"/>
          <w:sz w:val="24"/>
          <w:szCs w:val="24"/>
          <w:lang w:val="sr-Cyrl-CS"/>
        </w:rPr>
        <w:t>š</w:t>
      </w:r>
      <w:r w:rsidRPr="00BB214A">
        <w:rPr>
          <w:rFonts w:ascii="Arial" w:hAnsi="Arial" w:cs="Arial"/>
          <w:sz w:val="24"/>
          <w:szCs w:val="24"/>
          <w:lang w:val="sr-Latn-CS"/>
        </w:rPr>
        <w:t>inske</w:t>
      </w:r>
      <w:r w:rsidRPr="00BB214A">
        <w:rPr>
          <w:rFonts w:ascii="Arial" w:hAnsi="Arial" w:cs="Arial"/>
          <w:sz w:val="24"/>
          <w:szCs w:val="24"/>
          <w:lang w:val="sr-Cyrl-CS"/>
        </w:rPr>
        <w:t xml:space="preserve"> </w:t>
      </w:r>
      <w:r w:rsidRPr="00BB214A">
        <w:rPr>
          <w:rFonts w:ascii="Arial" w:hAnsi="Arial" w:cs="Arial"/>
          <w:sz w:val="24"/>
          <w:szCs w:val="24"/>
          <w:lang w:val="sr-Latn-CS"/>
        </w:rPr>
        <w:t>eksploatacije</w:t>
      </w:r>
      <w:r w:rsidRPr="00BB214A">
        <w:rPr>
          <w:rFonts w:ascii="Arial" w:hAnsi="Arial" w:cs="Arial"/>
          <w:sz w:val="24"/>
          <w:szCs w:val="24"/>
          <w:lang w:val="sr-Cyrl-CS"/>
        </w:rPr>
        <w:t xml:space="preserve"> </w:t>
      </w:r>
      <w:r w:rsidRPr="00BB214A">
        <w:rPr>
          <w:rFonts w:ascii="Arial" w:hAnsi="Arial" w:cs="Arial"/>
          <w:sz w:val="24"/>
          <w:szCs w:val="24"/>
          <w:lang w:val="sr-Latn-CS"/>
        </w:rPr>
        <w:t xml:space="preserve">neminovno </w:t>
      </w:r>
      <w:r>
        <w:rPr>
          <w:rFonts w:ascii="Arial" w:hAnsi="Arial" w:cs="Arial"/>
          <w:sz w:val="24"/>
          <w:szCs w:val="24"/>
          <w:lang w:val="sr-Latn-CS"/>
        </w:rPr>
        <w:t>dolazi</w:t>
      </w:r>
      <w:r w:rsidRPr="00BB214A">
        <w:rPr>
          <w:rFonts w:ascii="Arial" w:hAnsi="Arial" w:cs="Arial"/>
          <w:sz w:val="24"/>
          <w:szCs w:val="24"/>
          <w:lang w:val="sr-Cyrl-CS"/>
        </w:rPr>
        <w:t xml:space="preserve"> </w:t>
      </w:r>
      <w:r w:rsidRPr="00BB214A">
        <w:rPr>
          <w:rFonts w:ascii="Arial" w:hAnsi="Arial" w:cs="Arial"/>
          <w:sz w:val="24"/>
          <w:szCs w:val="24"/>
          <w:lang w:val="sr-Latn-CS"/>
        </w:rPr>
        <w:t>do</w:t>
      </w:r>
      <w:r w:rsidRPr="00BB214A">
        <w:rPr>
          <w:rFonts w:ascii="Arial" w:hAnsi="Arial" w:cs="Arial"/>
          <w:sz w:val="24"/>
          <w:szCs w:val="24"/>
          <w:lang w:val="sr-Cyrl-CS"/>
        </w:rPr>
        <w:t xml:space="preserve"> </w:t>
      </w:r>
      <w:r w:rsidRPr="00BB214A">
        <w:rPr>
          <w:rFonts w:ascii="Arial" w:hAnsi="Arial" w:cs="Arial"/>
          <w:sz w:val="24"/>
          <w:szCs w:val="24"/>
          <w:lang w:val="sr-Latn-CS"/>
        </w:rPr>
        <w:t>degradacije</w:t>
      </w:r>
      <w:r w:rsidRPr="00BB214A">
        <w:rPr>
          <w:rFonts w:ascii="Arial" w:hAnsi="Arial" w:cs="Arial"/>
          <w:sz w:val="24"/>
          <w:szCs w:val="24"/>
          <w:lang w:val="sr-Cyrl-CS"/>
        </w:rPr>
        <w:t xml:space="preserve"> </w:t>
      </w:r>
      <w:r w:rsidRPr="00BB214A">
        <w:rPr>
          <w:rFonts w:ascii="Arial" w:hAnsi="Arial" w:cs="Arial"/>
          <w:sz w:val="24"/>
          <w:szCs w:val="24"/>
          <w:lang w:val="sr-Latn-CS"/>
        </w:rPr>
        <w:t>sada</w:t>
      </w:r>
      <w:r w:rsidRPr="00BB214A">
        <w:rPr>
          <w:rFonts w:ascii="Arial" w:hAnsi="Arial" w:cs="Arial"/>
          <w:sz w:val="24"/>
          <w:szCs w:val="24"/>
          <w:lang w:val="sr-Cyrl-CS"/>
        </w:rPr>
        <w:t>š</w:t>
      </w:r>
      <w:r w:rsidRPr="00BB214A">
        <w:rPr>
          <w:rFonts w:ascii="Arial" w:hAnsi="Arial" w:cs="Arial"/>
          <w:sz w:val="24"/>
          <w:szCs w:val="24"/>
          <w:lang w:val="sr-Latn-CS"/>
        </w:rPr>
        <w:t>njih</w:t>
      </w:r>
      <w:r w:rsidRPr="00BB214A">
        <w:rPr>
          <w:rFonts w:ascii="Arial" w:hAnsi="Arial" w:cs="Arial"/>
          <w:sz w:val="24"/>
          <w:szCs w:val="24"/>
          <w:lang w:val="sr-Cyrl-CS"/>
        </w:rPr>
        <w:t xml:space="preserve"> </w:t>
      </w:r>
      <w:r w:rsidRPr="00BB214A">
        <w:rPr>
          <w:rFonts w:ascii="Arial" w:hAnsi="Arial" w:cs="Arial"/>
          <w:sz w:val="24"/>
          <w:szCs w:val="24"/>
          <w:lang w:val="sr-Latn-CS"/>
        </w:rPr>
        <w:t>povr</w:t>
      </w:r>
      <w:r w:rsidRPr="00BB214A">
        <w:rPr>
          <w:rFonts w:ascii="Arial" w:hAnsi="Arial" w:cs="Arial"/>
          <w:sz w:val="24"/>
          <w:szCs w:val="24"/>
          <w:lang w:val="sr-Cyrl-CS"/>
        </w:rPr>
        <w:t>š</w:t>
      </w:r>
      <w:r w:rsidRPr="00BB214A">
        <w:rPr>
          <w:rFonts w:ascii="Arial" w:hAnsi="Arial" w:cs="Arial"/>
          <w:sz w:val="24"/>
          <w:szCs w:val="24"/>
          <w:lang w:val="sr-Latn-CS"/>
        </w:rPr>
        <w:t>ina</w:t>
      </w:r>
      <w:r w:rsidRPr="00BB214A">
        <w:rPr>
          <w:rFonts w:ascii="Arial" w:hAnsi="Arial" w:cs="Arial"/>
          <w:sz w:val="24"/>
          <w:szCs w:val="24"/>
          <w:lang w:val="sr-Cyrl-CS"/>
        </w:rPr>
        <w:t xml:space="preserve"> </w:t>
      </w:r>
      <w:r w:rsidRPr="00BB214A">
        <w:rPr>
          <w:rFonts w:ascii="Arial" w:hAnsi="Arial" w:cs="Arial"/>
          <w:sz w:val="24"/>
          <w:szCs w:val="24"/>
          <w:lang w:val="sr-Latn-CS"/>
        </w:rPr>
        <w:t>terena</w:t>
      </w:r>
      <w:r w:rsidRPr="00C836AD">
        <w:rPr>
          <w:rFonts w:ascii="Arial" w:hAnsi="Arial" w:cs="Arial"/>
          <w:sz w:val="24"/>
          <w:szCs w:val="24"/>
          <w:lang w:val="sr-Cyrl-CS"/>
        </w:rPr>
        <w:t xml:space="preserve">. </w:t>
      </w:r>
      <w:r w:rsidRPr="00C836AD">
        <w:rPr>
          <w:rFonts w:ascii="Arial" w:hAnsi="Arial" w:cs="Arial"/>
          <w:sz w:val="24"/>
          <w:szCs w:val="24"/>
        </w:rPr>
        <w:t>Usled</w:t>
      </w:r>
      <w:r w:rsidRPr="00C836AD">
        <w:rPr>
          <w:rFonts w:ascii="Arial" w:hAnsi="Arial" w:cs="Arial"/>
          <w:sz w:val="24"/>
          <w:szCs w:val="24"/>
          <w:lang w:val="sr-Cyrl-CS"/>
        </w:rPr>
        <w:t xml:space="preserve"> </w:t>
      </w:r>
      <w:r w:rsidRPr="00C836AD">
        <w:rPr>
          <w:rFonts w:ascii="Arial" w:hAnsi="Arial" w:cs="Arial"/>
          <w:sz w:val="24"/>
          <w:szCs w:val="24"/>
        </w:rPr>
        <w:t>procesa</w:t>
      </w:r>
      <w:r w:rsidRPr="00C836AD">
        <w:rPr>
          <w:rFonts w:ascii="Arial" w:hAnsi="Arial" w:cs="Arial"/>
          <w:sz w:val="24"/>
          <w:szCs w:val="24"/>
          <w:lang w:val="sr-Cyrl-CS"/>
        </w:rPr>
        <w:t xml:space="preserve"> </w:t>
      </w:r>
      <w:r w:rsidRPr="00C836AD">
        <w:rPr>
          <w:rFonts w:ascii="Arial" w:hAnsi="Arial" w:cs="Arial"/>
          <w:sz w:val="24"/>
          <w:szCs w:val="24"/>
        </w:rPr>
        <w:t>otkopavanja</w:t>
      </w:r>
      <w:r w:rsidRPr="00C836AD">
        <w:rPr>
          <w:rFonts w:ascii="Arial" w:hAnsi="Arial" w:cs="Arial"/>
          <w:sz w:val="24"/>
          <w:szCs w:val="24"/>
          <w:lang w:val="sr-Cyrl-CS"/>
        </w:rPr>
        <w:t xml:space="preserve"> </w:t>
      </w:r>
      <w:r w:rsidR="00167C96" w:rsidRPr="00C836AD">
        <w:rPr>
          <w:rFonts w:ascii="Arial" w:hAnsi="Arial" w:cs="Arial"/>
          <w:sz w:val="24"/>
          <w:szCs w:val="24"/>
        </w:rPr>
        <w:t>nastaju depresije</w:t>
      </w:r>
      <w:r w:rsidRPr="00C836AD">
        <w:rPr>
          <w:rFonts w:ascii="Arial" w:hAnsi="Arial" w:cs="Arial"/>
          <w:sz w:val="24"/>
          <w:szCs w:val="24"/>
          <w:lang w:val="sr-Cyrl-CS"/>
        </w:rPr>
        <w:t>, š</w:t>
      </w:r>
      <w:r w:rsidRPr="00C836AD">
        <w:rPr>
          <w:rFonts w:ascii="Arial" w:hAnsi="Arial" w:cs="Arial"/>
          <w:sz w:val="24"/>
          <w:szCs w:val="24"/>
        </w:rPr>
        <w:t>to</w:t>
      </w:r>
      <w:r w:rsidRPr="00C836AD">
        <w:rPr>
          <w:rFonts w:ascii="Arial" w:hAnsi="Arial" w:cs="Arial"/>
          <w:sz w:val="24"/>
          <w:szCs w:val="24"/>
          <w:lang w:val="sr-Cyrl-CS"/>
        </w:rPr>
        <w:t xml:space="preserve"> </w:t>
      </w:r>
      <w:r w:rsidR="00167C96" w:rsidRPr="00C836AD">
        <w:rPr>
          <w:rFonts w:ascii="Arial" w:hAnsi="Arial" w:cs="Arial"/>
          <w:sz w:val="24"/>
          <w:szCs w:val="24"/>
        </w:rPr>
        <w:t>uslovljava</w:t>
      </w:r>
      <w:r w:rsidRPr="00C836AD">
        <w:rPr>
          <w:rFonts w:ascii="Arial" w:hAnsi="Arial" w:cs="Arial"/>
          <w:sz w:val="24"/>
          <w:szCs w:val="24"/>
          <w:lang w:val="sr-Cyrl-CS"/>
        </w:rPr>
        <w:t xml:space="preserve"> </w:t>
      </w:r>
      <w:r w:rsidRPr="00C836AD">
        <w:rPr>
          <w:rFonts w:ascii="Arial" w:hAnsi="Arial" w:cs="Arial"/>
          <w:sz w:val="24"/>
          <w:szCs w:val="24"/>
        </w:rPr>
        <w:t>promenu</w:t>
      </w:r>
      <w:r w:rsidRPr="00C836AD">
        <w:rPr>
          <w:rFonts w:ascii="Arial" w:hAnsi="Arial" w:cs="Arial"/>
          <w:sz w:val="24"/>
          <w:szCs w:val="24"/>
          <w:lang w:val="sr-Cyrl-CS"/>
        </w:rPr>
        <w:t xml:space="preserve"> </w:t>
      </w:r>
      <w:r w:rsidRPr="00C836AD">
        <w:rPr>
          <w:rFonts w:ascii="Arial" w:hAnsi="Arial" w:cs="Arial"/>
          <w:sz w:val="24"/>
          <w:szCs w:val="24"/>
        </w:rPr>
        <w:t>i</w:t>
      </w:r>
      <w:r w:rsidRPr="00C836AD">
        <w:rPr>
          <w:rFonts w:ascii="Arial" w:hAnsi="Arial" w:cs="Arial"/>
          <w:sz w:val="24"/>
          <w:szCs w:val="24"/>
          <w:lang w:val="sr-Cyrl-CS"/>
        </w:rPr>
        <w:t xml:space="preserve"> </w:t>
      </w:r>
      <w:r w:rsidRPr="00C836AD">
        <w:rPr>
          <w:rFonts w:ascii="Arial" w:hAnsi="Arial" w:cs="Arial"/>
          <w:sz w:val="24"/>
          <w:szCs w:val="24"/>
        </w:rPr>
        <w:t>naru</w:t>
      </w:r>
      <w:r w:rsidRPr="00C836AD">
        <w:rPr>
          <w:rFonts w:ascii="Arial" w:hAnsi="Arial" w:cs="Arial"/>
          <w:sz w:val="24"/>
          <w:szCs w:val="24"/>
          <w:lang w:val="sr-Cyrl-CS"/>
        </w:rPr>
        <w:t>š</w:t>
      </w:r>
      <w:r w:rsidRPr="00C836AD">
        <w:rPr>
          <w:rFonts w:ascii="Arial" w:hAnsi="Arial" w:cs="Arial"/>
          <w:sz w:val="24"/>
          <w:szCs w:val="24"/>
        </w:rPr>
        <w:t>avanje</w:t>
      </w:r>
      <w:r w:rsidRPr="00C836AD">
        <w:rPr>
          <w:rFonts w:ascii="Arial" w:hAnsi="Arial" w:cs="Arial"/>
          <w:sz w:val="24"/>
          <w:szCs w:val="24"/>
          <w:lang w:val="sr-Cyrl-CS"/>
        </w:rPr>
        <w:t xml:space="preserve"> </w:t>
      </w:r>
      <w:r w:rsidRPr="00C836AD">
        <w:rPr>
          <w:rFonts w:ascii="Arial" w:hAnsi="Arial" w:cs="Arial"/>
          <w:sz w:val="24"/>
          <w:szCs w:val="24"/>
        </w:rPr>
        <w:t>morfolo</w:t>
      </w:r>
      <w:r w:rsidRPr="00C836AD">
        <w:rPr>
          <w:rFonts w:ascii="Arial" w:hAnsi="Arial" w:cs="Arial"/>
          <w:sz w:val="24"/>
          <w:szCs w:val="24"/>
          <w:lang w:val="sr-Cyrl-CS"/>
        </w:rPr>
        <w:t>š</w:t>
      </w:r>
      <w:r w:rsidRPr="00C836AD">
        <w:rPr>
          <w:rFonts w:ascii="Arial" w:hAnsi="Arial" w:cs="Arial"/>
          <w:sz w:val="24"/>
          <w:szCs w:val="24"/>
        </w:rPr>
        <w:t>kih</w:t>
      </w:r>
      <w:r w:rsidRPr="00C836AD">
        <w:rPr>
          <w:rFonts w:ascii="Arial" w:hAnsi="Arial" w:cs="Arial"/>
          <w:sz w:val="24"/>
          <w:szCs w:val="24"/>
          <w:lang w:val="sr-Cyrl-CS"/>
        </w:rPr>
        <w:t xml:space="preserve"> </w:t>
      </w:r>
      <w:r w:rsidRPr="00C836AD">
        <w:rPr>
          <w:rFonts w:ascii="Arial" w:hAnsi="Arial" w:cs="Arial"/>
          <w:sz w:val="24"/>
          <w:szCs w:val="24"/>
        </w:rPr>
        <w:t>i</w:t>
      </w:r>
      <w:r w:rsidRPr="00C836AD">
        <w:rPr>
          <w:rFonts w:ascii="Arial" w:hAnsi="Arial" w:cs="Arial"/>
          <w:sz w:val="24"/>
          <w:szCs w:val="24"/>
          <w:lang w:val="sr-Cyrl-CS"/>
        </w:rPr>
        <w:t xml:space="preserve"> </w:t>
      </w:r>
      <w:r w:rsidRPr="00C836AD">
        <w:rPr>
          <w:rFonts w:ascii="Arial" w:hAnsi="Arial" w:cs="Arial"/>
          <w:sz w:val="24"/>
          <w:szCs w:val="24"/>
        </w:rPr>
        <w:t>estetskih</w:t>
      </w:r>
      <w:r w:rsidRPr="00C836AD">
        <w:rPr>
          <w:rFonts w:ascii="Arial" w:hAnsi="Arial" w:cs="Arial"/>
          <w:sz w:val="24"/>
          <w:szCs w:val="24"/>
          <w:lang w:val="sr-Cyrl-CS"/>
        </w:rPr>
        <w:t xml:space="preserve"> </w:t>
      </w:r>
      <w:r w:rsidRPr="00C836AD">
        <w:rPr>
          <w:rFonts w:ascii="Arial" w:hAnsi="Arial" w:cs="Arial"/>
          <w:sz w:val="24"/>
          <w:szCs w:val="24"/>
        </w:rPr>
        <w:t>karakteristika</w:t>
      </w:r>
      <w:r w:rsidRPr="00C836AD">
        <w:rPr>
          <w:rFonts w:ascii="Arial" w:hAnsi="Arial" w:cs="Arial"/>
          <w:sz w:val="24"/>
          <w:szCs w:val="24"/>
          <w:lang w:val="sr-Cyrl-CS"/>
        </w:rPr>
        <w:t xml:space="preserve"> </w:t>
      </w:r>
      <w:r w:rsidRPr="00C836AD">
        <w:rPr>
          <w:rFonts w:ascii="Arial" w:hAnsi="Arial" w:cs="Arial"/>
          <w:sz w:val="24"/>
          <w:szCs w:val="24"/>
        </w:rPr>
        <w:t>postoje</w:t>
      </w:r>
      <w:r w:rsidRPr="00C836AD">
        <w:rPr>
          <w:rFonts w:ascii="Arial" w:hAnsi="Arial" w:cs="Arial"/>
          <w:sz w:val="24"/>
          <w:szCs w:val="24"/>
          <w:lang w:val="sr-Cyrl-CS"/>
        </w:rPr>
        <w:t>ć</w:t>
      </w:r>
      <w:r w:rsidRPr="00C836AD">
        <w:rPr>
          <w:rFonts w:ascii="Arial" w:hAnsi="Arial" w:cs="Arial"/>
          <w:sz w:val="24"/>
          <w:szCs w:val="24"/>
        </w:rPr>
        <w:t>eg</w:t>
      </w:r>
      <w:r w:rsidRPr="00C836AD">
        <w:rPr>
          <w:rFonts w:ascii="Arial" w:hAnsi="Arial" w:cs="Arial"/>
          <w:sz w:val="24"/>
          <w:szCs w:val="24"/>
          <w:lang w:val="sr-Cyrl-CS"/>
        </w:rPr>
        <w:t xml:space="preserve"> </w:t>
      </w:r>
      <w:r w:rsidRPr="00C836AD">
        <w:rPr>
          <w:rFonts w:ascii="Arial" w:hAnsi="Arial" w:cs="Arial"/>
          <w:sz w:val="24"/>
          <w:szCs w:val="24"/>
        </w:rPr>
        <w:t>prirodnog</w:t>
      </w:r>
      <w:r w:rsidRPr="00C836AD">
        <w:rPr>
          <w:rFonts w:ascii="Arial" w:hAnsi="Arial" w:cs="Arial"/>
          <w:sz w:val="24"/>
          <w:szCs w:val="24"/>
          <w:lang w:val="sr-Cyrl-CS"/>
        </w:rPr>
        <w:t xml:space="preserve"> </w:t>
      </w:r>
      <w:r w:rsidRPr="00C836AD">
        <w:rPr>
          <w:rFonts w:ascii="Arial" w:hAnsi="Arial" w:cs="Arial"/>
          <w:sz w:val="24"/>
          <w:szCs w:val="24"/>
        </w:rPr>
        <w:t>ambijenta</w:t>
      </w:r>
      <w:r w:rsidRPr="00C836AD">
        <w:rPr>
          <w:rFonts w:ascii="Arial" w:hAnsi="Arial" w:cs="Arial"/>
          <w:sz w:val="24"/>
          <w:szCs w:val="24"/>
          <w:lang w:val="sr-Cyrl-CS"/>
        </w:rPr>
        <w:t xml:space="preserve">. </w:t>
      </w:r>
      <w:r w:rsidR="00167C96" w:rsidRPr="00C836AD">
        <w:rPr>
          <w:rFonts w:ascii="Arial" w:hAnsi="Arial" w:cs="Arial"/>
          <w:sz w:val="24"/>
          <w:szCs w:val="24"/>
          <w:lang w:val="sr-Latn-CS"/>
        </w:rPr>
        <w:t xml:space="preserve">Često su </w:t>
      </w:r>
      <w:r w:rsidR="00167C96" w:rsidRPr="00C836AD">
        <w:rPr>
          <w:rFonts w:ascii="Arial" w:hAnsi="Arial" w:cs="Arial"/>
          <w:sz w:val="24"/>
          <w:szCs w:val="24"/>
        </w:rPr>
        <w:t>vrsta</w:t>
      </w:r>
      <w:r w:rsidRPr="00C836AD">
        <w:rPr>
          <w:rFonts w:ascii="Arial" w:hAnsi="Arial" w:cs="Arial"/>
          <w:sz w:val="24"/>
          <w:szCs w:val="24"/>
          <w:lang w:val="sr-Cyrl-CS"/>
        </w:rPr>
        <w:t xml:space="preserve"> </w:t>
      </w:r>
      <w:r w:rsidRPr="00C836AD">
        <w:rPr>
          <w:rFonts w:ascii="Arial" w:hAnsi="Arial" w:cs="Arial"/>
          <w:sz w:val="24"/>
          <w:szCs w:val="24"/>
        </w:rPr>
        <w:t>i</w:t>
      </w:r>
      <w:r w:rsidRPr="00C836AD">
        <w:rPr>
          <w:rFonts w:ascii="Arial" w:hAnsi="Arial" w:cs="Arial"/>
          <w:sz w:val="24"/>
          <w:szCs w:val="24"/>
          <w:lang w:val="sr-Cyrl-CS"/>
        </w:rPr>
        <w:t xml:space="preserve"> </w:t>
      </w:r>
      <w:r w:rsidRPr="00C836AD">
        <w:rPr>
          <w:rFonts w:ascii="Arial" w:hAnsi="Arial" w:cs="Arial"/>
          <w:sz w:val="24"/>
          <w:szCs w:val="24"/>
        </w:rPr>
        <w:t>obim</w:t>
      </w:r>
      <w:r w:rsidRPr="00C836AD">
        <w:rPr>
          <w:rFonts w:ascii="Arial" w:hAnsi="Arial" w:cs="Arial"/>
          <w:sz w:val="24"/>
          <w:szCs w:val="24"/>
          <w:lang w:val="sr-Cyrl-CS"/>
        </w:rPr>
        <w:t xml:space="preserve"> </w:t>
      </w:r>
      <w:r w:rsidRPr="00C836AD">
        <w:rPr>
          <w:rFonts w:ascii="Arial" w:hAnsi="Arial" w:cs="Arial"/>
          <w:sz w:val="24"/>
          <w:szCs w:val="24"/>
        </w:rPr>
        <w:t>rudarskih</w:t>
      </w:r>
      <w:r w:rsidRPr="00C836AD">
        <w:rPr>
          <w:rFonts w:ascii="Arial" w:hAnsi="Arial" w:cs="Arial"/>
          <w:sz w:val="24"/>
          <w:szCs w:val="24"/>
          <w:lang w:val="sr-Cyrl-CS"/>
        </w:rPr>
        <w:t xml:space="preserve"> </w:t>
      </w:r>
      <w:r w:rsidRPr="00C836AD">
        <w:rPr>
          <w:rFonts w:ascii="Arial" w:hAnsi="Arial" w:cs="Arial"/>
          <w:sz w:val="24"/>
          <w:szCs w:val="24"/>
        </w:rPr>
        <w:t>radova</w:t>
      </w:r>
      <w:r w:rsidRPr="00C836AD">
        <w:rPr>
          <w:rFonts w:ascii="Arial" w:hAnsi="Arial" w:cs="Arial"/>
          <w:sz w:val="24"/>
          <w:szCs w:val="24"/>
          <w:lang w:val="sr-Cyrl-CS"/>
        </w:rPr>
        <w:t xml:space="preserve"> </w:t>
      </w:r>
      <w:r w:rsidR="00167C96" w:rsidRPr="00C836AD">
        <w:rPr>
          <w:rFonts w:ascii="Arial" w:hAnsi="Arial" w:cs="Arial"/>
          <w:sz w:val="24"/>
          <w:szCs w:val="24"/>
        </w:rPr>
        <w:t>takvi</w:t>
      </w:r>
      <w:r w:rsidRPr="00C836AD">
        <w:rPr>
          <w:rFonts w:ascii="Arial" w:hAnsi="Arial" w:cs="Arial"/>
          <w:sz w:val="24"/>
          <w:szCs w:val="24"/>
          <w:lang w:val="sr-Cyrl-CS"/>
        </w:rPr>
        <w:t xml:space="preserve"> </w:t>
      </w:r>
      <w:r w:rsidRPr="00C836AD">
        <w:rPr>
          <w:rFonts w:ascii="Arial" w:hAnsi="Arial" w:cs="Arial"/>
          <w:sz w:val="24"/>
          <w:szCs w:val="24"/>
        </w:rPr>
        <w:t>da</w:t>
      </w:r>
      <w:r w:rsidRPr="00C836AD">
        <w:rPr>
          <w:rFonts w:ascii="Arial" w:hAnsi="Arial" w:cs="Arial"/>
          <w:sz w:val="24"/>
          <w:szCs w:val="24"/>
          <w:lang w:val="sr-Cyrl-CS"/>
        </w:rPr>
        <w:t xml:space="preserve"> </w:t>
      </w:r>
      <w:r w:rsidRPr="00C836AD">
        <w:rPr>
          <w:rFonts w:ascii="Arial" w:hAnsi="Arial" w:cs="Arial"/>
          <w:sz w:val="24"/>
          <w:szCs w:val="24"/>
        </w:rPr>
        <w:t>ovom</w:t>
      </w:r>
      <w:r w:rsidRPr="00C836AD">
        <w:rPr>
          <w:rFonts w:ascii="Arial" w:hAnsi="Arial" w:cs="Arial"/>
          <w:sz w:val="24"/>
          <w:szCs w:val="24"/>
          <w:lang w:val="sr-Cyrl-CS"/>
        </w:rPr>
        <w:t xml:space="preserve"> </w:t>
      </w:r>
      <w:r w:rsidRPr="00C836AD">
        <w:rPr>
          <w:rFonts w:ascii="Arial" w:hAnsi="Arial" w:cs="Arial"/>
          <w:sz w:val="24"/>
          <w:szCs w:val="24"/>
        </w:rPr>
        <w:t>podru</w:t>
      </w:r>
      <w:r w:rsidRPr="00C836AD">
        <w:rPr>
          <w:rFonts w:ascii="Arial" w:hAnsi="Arial" w:cs="Arial"/>
          <w:sz w:val="24"/>
          <w:szCs w:val="24"/>
          <w:lang w:val="sr-Cyrl-CS"/>
        </w:rPr>
        <w:t>č</w:t>
      </w:r>
      <w:r w:rsidRPr="00C836AD">
        <w:rPr>
          <w:rFonts w:ascii="Arial" w:hAnsi="Arial" w:cs="Arial"/>
          <w:sz w:val="24"/>
          <w:szCs w:val="24"/>
        </w:rPr>
        <w:t>ju</w:t>
      </w:r>
      <w:r w:rsidR="00167C96" w:rsidRPr="00C836AD">
        <w:rPr>
          <w:rFonts w:ascii="Arial" w:hAnsi="Arial" w:cs="Arial"/>
          <w:sz w:val="24"/>
          <w:szCs w:val="24"/>
        </w:rPr>
        <w:t xml:space="preserve"> nakon završine eksploatacije minrelnih sirovina</w:t>
      </w:r>
      <w:r w:rsidRPr="00C836AD">
        <w:rPr>
          <w:rFonts w:ascii="Arial" w:hAnsi="Arial" w:cs="Arial"/>
          <w:sz w:val="24"/>
          <w:szCs w:val="24"/>
          <w:lang w:val="sr-Cyrl-CS"/>
        </w:rPr>
        <w:t xml:space="preserve"> </w:t>
      </w:r>
      <w:r w:rsidRPr="00C836AD">
        <w:rPr>
          <w:rFonts w:ascii="Arial" w:hAnsi="Arial" w:cs="Arial"/>
          <w:sz w:val="24"/>
          <w:szCs w:val="24"/>
        </w:rPr>
        <w:t>nije</w:t>
      </w:r>
      <w:r w:rsidRPr="00C836AD">
        <w:rPr>
          <w:rFonts w:ascii="Arial" w:hAnsi="Arial" w:cs="Arial"/>
          <w:sz w:val="24"/>
          <w:szCs w:val="24"/>
          <w:lang w:val="sr-Cyrl-CS"/>
        </w:rPr>
        <w:t xml:space="preserve"> </w:t>
      </w:r>
      <w:r w:rsidRPr="00C836AD">
        <w:rPr>
          <w:rFonts w:ascii="Arial" w:hAnsi="Arial" w:cs="Arial"/>
          <w:sz w:val="24"/>
          <w:szCs w:val="24"/>
        </w:rPr>
        <w:t>mogu</w:t>
      </w:r>
      <w:r w:rsidRPr="00C836AD">
        <w:rPr>
          <w:rFonts w:ascii="Arial" w:hAnsi="Arial" w:cs="Arial"/>
          <w:sz w:val="24"/>
          <w:szCs w:val="24"/>
          <w:lang w:val="sr-Cyrl-CS"/>
        </w:rPr>
        <w:t>ć</w:t>
      </w:r>
      <w:r w:rsidRPr="00C836AD">
        <w:rPr>
          <w:rFonts w:ascii="Arial" w:hAnsi="Arial" w:cs="Arial"/>
          <w:sz w:val="24"/>
          <w:szCs w:val="24"/>
        </w:rPr>
        <w:t>e</w:t>
      </w:r>
      <w:r w:rsidRPr="00C836AD">
        <w:rPr>
          <w:rFonts w:ascii="Arial" w:hAnsi="Arial" w:cs="Arial"/>
          <w:sz w:val="24"/>
          <w:szCs w:val="24"/>
          <w:lang w:val="sr-Cyrl-CS"/>
        </w:rPr>
        <w:t xml:space="preserve"> </w:t>
      </w:r>
      <w:r w:rsidRPr="00C836AD">
        <w:rPr>
          <w:rFonts w:ascii="Arial" w:hAnsi="Arial" w:cs="Arial"/>
          <w:sz w:val="24"/>
          <w:szCs w:val="24"/>
        </w:rPr>
        <w:t>povratiti</w:t>
      </w:r>
      <w:r w:rsidRPr="00C836AD">
        <w:rPr>
          <w:rFonts w:ascii="Arial" w:hAnsi="Arial" w:cs="Arial"/>
          <w:sz w:val="24"/>
          <w:szCs w:val="24"/>
          <w:lang w:val="sr-Cyrl-CS"/>
        </w:rPr>
        <w:t xml:space="preserve"> </w:t>
      </w:r>
      <w:r w:rsidRPr="00C836AD">
        <w:rPr>
          <w:rFonts w:ascii="Arial" w:hAnsi="Arial" w:cs="Arial"/>
          <w:sz w:val="24"/>
          <w:szCs w:val="24"/>
        </w:rPr>
        <w:t>prvobitni</w:t>
      </w:r>
      <w:r w:rsidRPr="00C836AD">
        <w:rPr>
          <w:rFonts w:ascii="Arial" w:hAnsi="Arial" w:cs="Arial"/>
          <w:sz w:val="24"/>
          <w:szCs w:val="24"/>
          <w:lang w:val="sr-Cyrl-CS"/>
        </w:rPr>
        <w:t xml:space="preserve"> </w:t>
      </w:r>
      <w:r w:rsidRPr="00C836AD">
        <w:rPr>
          <w:rFonts w:ascii="Arial" w:hAnsi="Arial" w:cs="Arial"/>
          <w:sz w:val="24"/>
          <w:szCs w:val="24"/>
        </w:rPr>
        <w:t>morfolo</w:t>
      </w:r>
      <w:r w:rsidRPr="00C836AD">
        <w:rPr>
          <w:rFonts w:ascii="Arial" w:hAnsi="Arial" w:cs="Arial"/>
          <w:sz w:val="24"/>
          <w:szCs w:val="24"/>
          <w:lang w:val="sr-Cyrl-CS"/>
        </w:rPr>
        <w:t>š</w:t>
      </w:r>
      <w:r w:rsidRPr="00C836AD">
        <w:rPr>
          <w:rFonts w:ascii="Arial" w:hAnsi="Arial" w:cs="Arial"/>
          <w:sz w:val="24"/>
          <w:szCs w:val="24"/>
        </w:rPr>
        <w:t>ki</w:t>
      </w:r>
      <w:r w:rsidRPr="00C836AD">
        <w:rPr>
          <w:rFonts w:ascii="Arial" w:hAnsi="Arial" w:cs="Arial"/>
          <w:sz w:val="24"/>
          <w:szCs w:val="24"/>
          <w:lang w:val="sr-Cyrl-CS"/>
        </w:rPr>
        <w:t xml:space="preserve"> </w:t>
      </w:r>
      <w:r w:rsidRPr="00C836AD">
        <w:rPr>
          <w:rFonts w:ascii="Arial" w:hAnsi="Arial" w:cs="Arial"/>
          <w:sz w:val="24"/>
          <w:szCs w:val="24"/>
        </w:rPr>
        <w:t>izgled</w:t>
      </w:r>
      <w:r w:rsidR="00167C96" w:rsidRPr="00C836AD">
        <w:rPr>
          <w:rFonts w:ascii="Arial" w:hAnsi="Arial" w:cs="Arial"/>
          <w:sz w:val="24"/>
          <w:szCs w:val="24"/>
          <w:lang w:val="sr-Latn-CS"/>
        </w:rPr>
        <w:t>.</w:t>
      </w:r>
      <w:r w:rsidRPr="00C836AD">
        <w:rPr>
          <w:rFonts w:ascii="Arial" w:hAnsi="Arial" w:cs="Arial"/>
          <w:sz w:val="24"/>
          <w:szCs w:val="24"/>
          <w:lang w:val="sr-Cyrl-CS"/>
        </w:rPr>
        <w:t xml:space="preserve"> </w:t>
      </w:r>
      <w:r w:rsidR="00167C96" w:rsidRPr="00C836AD">
        <w:rPr>
          <w:rFonts w:ascii="Arial" w:hAnsi="Arial" w:cs="Arial"/>
          <w:sz w:val="24"/>
          <w:szCs w:val="24"/>
        </w:rPr>
        <w:t>O</w:t>
      </w:r>
      <w:r w:rsidRPr="00C836AD">
        <w:rPr>
          <w:rFonts w:ascii="Arial" w:hAnsi="Arial" w:cs="Arial"/>
          <w:sz w:val="24"/>
          <w:szCs w:val="24"/>
        </w:rPr>
        <w:t>baveza</w:t>
      </w:r>
      <w:r w:rsidRPr="00C836AD">
        <w:rPr>
          <w:rFonts w:ascii="Arial" w:hAnsi="Arial" w:cs="Arial"/>
          <w:sz w:val="24"/>
          <w:szCs w:val="24"/>
          <w:lang w:val="sr-Cyrl-CS"/>
        </w:rPr>
        <w:t xml:space="preserve"> </w:t>
      </w:r>
      <w:r w:rsidRPr="00C836AD">
        <w:rPr>
          <w:rFonts w:ascii="Arial" w:hAnsi="Arial" w:cs="Arial"/>
          <w:sz w:val="24"/>
          <w:szCs w:val="24"/>
        </w:rPr>
        <w:t>je</w:t>
      </w:r>
      <w:r w:rsidRPr="00C836AD">
        <w:rPr>
          <w:rFonts w:ascii="Arial" w:hAnsi="Arial" w:cs="Arial"/>
          <w:sz w:val="24"/>
          <w:szCs w:val="24"/>
          <w:lang w:val="sr-Cyrl-CS"/>
        </w:rPr>
        <w:t xml:space="preserve"> </w:t>
      </w:r>
      <w:r w:rsidR="00167C96" w:rsidRPr="00C836AD">
        <w:rPr>
          <w:rFonts w:ascii="Arial" w:hAnsi="Arial" w:cs="Arial"/>
          <w:sz w:val="24"/>
          <w:szCs w:val="24"/>
        </w:rPr>
        <w:t>investitora</w:t>
      </w:r>
      <w:r w:rsidRPr="00C836AD">
        <w:rPr>
          <w:rFonts w:ascii="Arial" w:hAnsi="Arial" w:cs="Arial"/>
          <w:sz w:val="24"/>
          <w:szCs w:val="24"/>
          <w:lang w:val="sr-Cyrl-CS"/>
        </w:rPr>
        <w:t xml:space="preserve"> </w:t>
      </w:r>
      <w:r w:rsidRPr="00C836AD">
        <w:rPr>
          <w:rFonts w:ascii="Arial" w:hAnsi="Arial" w:cs="Arial"/>
          <w:sz w:val="24"/>
          <w:szCs w:val="24"/>
        </w:rPr>
        <w:t>da</w:t>
      </w:r>
      <w:r w:rsidRPr="00C836AD">
        <w:rPr>
          <w:rFonts w:ascii="Arial" w:hAnsi="Arial" w:cs="Arial"/>
          <w:sz w:val="24"/>
          <w:szCs w:val="24"/>
          <w:lang w:val="sr-Cyrl-CS"/>
        </w:rPr>
        <w:t xml:space="preserve"> </w:t>
      </w:r>
      <w:r w:rsidRPr="00C836AD">
        <w:rPr>
          <w:rFonts w:ascii="Arial" w:hAnsi="Arial" w:cs="Arial"/>
          <w:sz w:val="24"/>
          <w:szCs w:val="24"/>
        </w:rPr>
        <w:t>tehnolo</w:t>
      </w:r>
      <w:r w:rsidRPr="00C836AD">
        <w:rPr>
          <w:rFonts w:ascii="Arial" w:hAnsi="Arial" w:cs="Arial"/>
          <w:sz w:val="24"/>
          <w:szCs w:val="24"/>
          <w:lang w:val="sr-Cyrl-CS"/>
        </w:rPr>
        <w:t>š</w:t>
      </w:r>
      <w:r w:rsidRPr="00C836AD">
        <w:rPr>
          <w:rFonts w:ascii="Arial" w:hAnsi="Arial" w:cs="Arial"/>
          <w:sz w:val="24"/>
          <w:szCs w:val="24"/>
        </w:rPr>
        <w:t>kim</w:t>
      </w:r>
      <w:r w:rsidRPr="00C836AD">
        <w:rPr>
          <w:rFonts w:ascii="Arial" w:hAnsi="Arial" w:cs="Arial"/>
          <w:sz w:val="24"/>
          <w:szCs w:val="24"/>
          <w:lang w:val="sr-Cyrl-CS"/>
        </w:rPr>
        <w:t xml:space="preserve"> </w:t>
      </w:r>
      <w:r w:rsidRPr="00C836AD">
        <w:rPr>
          <w:rFonts w:ascii="Arial" w:hAnsi="Arial" w:cs="Arial"/>
          <w:sz w:val="24"/>
          <w:szCs w:val="24"/>
        </w:rPr>
        <w:t>procesom</w:t>
      </w:r>
      <w:r w:rsidRPr="00C836AD">
        <w:rPr>
          <w:rFonts w:ascii="Arial" w:hAnsi="Arial" w:cs="Arial"/>
          <w:sz w:val="24"/>
          <w:szCs w:val="24"/>
          <w:lang w:val="sr-Cyrl-CS"/>
        </w:rPr>
        <w:t xml:space="preserve"> </w:t>
      </w:r>
      <w:r w:rsidRPr="00C836AD">
        <w:rPr>
          <w:rFonts w:ascii="Arial" w:hAnsi="Arial" w:cs="Arial"/>
          <w:sz w:val="24"/>
          <w:szCs w:val="24"/>
        </w:rPr>
        <w:t>eksploatacije</w:t>
      </w:r>
      <w:r w:rsidRPr="00C836AD">
        <w:rPr>
          <w:rFonts w:ascii="Arial" w:hAnsi="Arial" w:cs="Arial"/>
          <w:sz w:val="24"/>
          <w:szCs w:val="24"/>
          <w:lang w:val="sr-Cyrl-CS"/>
        </w:rPr>
        <w:t xml:space="preserve">, </w:t>
      </w:r>
      <w:r w:rsidRPr="00C836AD">
        <w:rPr>
          <w:rFonts w:ascii="Arial" w:hAnsi="Arial" w:cs="Arial"/>
          <w:sz w:val="24"/>
          <w:szCs w:val="24"/>
        </w:rPr>
        <w:t>odnosno</w:t>
      </w:r>
      <w:r w:rsidRPr="00C836AD">
        <w:rPr>
          <w:rFonts w:ascii="Arial" w:hAnsi="Arial" w:cs="Arial"/>
          <w:sz w:val="24"/>
          <w:szCs w:val="24"/>
          <w:lang w:val="sr-Cyrl-CS"/>
        </w:rPr>
        <w:t xml:space="preserve"> </w:t>
      </w:r>
      <w:r w:rsidRPr="00C836AD">
        <w:rPr>
          <w:rFonts w:ascii="Arial" w:hAnsi="Arial" w:cs="Arial"/>
          <w:sz w:val="24"/>
          <w:szCs w:val="24"/>
        </w:rPr>
        <w:t>aktivnostima</w:t>
      </w:r>
      <w:r w:rsidRPr="00C836AD">
        <w:rPr>
          <w:rFonts w:ascii="Arial" w:hAnsi="Arial" w:cs="Arial"/>
          <w:sz w:val="24"/>
          <w:szCs w:val="24"/>
          <w:lang w:val="sr-Cyrl-CS"/>
        </w:rPr>
        <w:t xml:space="preserve"> </w:t>
      </w:r>
      <w:r w:rsidRPr="00C836AD">
        <w:rPr>
          <w:rFonts w:ascii="Arial" w:hAnsi="Arial" w:cs="Arial"/>
          <w:sz w:val="24"/>
          <w:szCs w:val="24"/>
        </w:rPr>
        <w:t>odlaganja</w:t>
      </w:r>
      <w:r w:rsidRPr="00C836AD">
        <w:rPr>
          <w:rFonts w:ascii="Arial" w:hAnsi="Arial" w:cs="Arial"/>
          <w:sz w:val="24"/>
          <w:szCs w:val="24"/>
          <w:lang w:val="sr-Cyrl-CS"/>
        </w:rPr>
        <w:t xml:space="preserve"> </w:t>
      </w:r>
      <w:r w:rsidRPr="00C836AD">
        <w:rPr>
          <w:rFonts w:ascii="Arial" w:hAnsi="Arial" w:cs="Arial"/>
          <w:sz w:val="24"/>
          <w:szCs w:val="24"/>
        </w:rPr>
        <w:t>jalovine</w:t>
      </w:r>
      <w:r w:rsidRPr="00C836AD">
        <w:rPr>
          <w:rFonts w:ascii="Arial" w:hAnsi="Arial" w:cs="Arial"/>
          <w:sz w:val="24"/>
          <w:szCs w:val="24"/>
          <w:lang w:val="sr-Cyrl-CS"/>
        </w:rPr>
        <w:t xml:space="preserve"> </w:t>
      </w:r>
      <w:r w:rsidRPr="00C836AD">
        <w:rPr>
          <w:rFonts w:ascii="Arial" w:hAnsi="Arial" w:cs="Arial"/>
          <w:sz w:val="24"/>
          <w:szCs w:val="24"/>
        </w:rPr>
        <w:t>i</w:t>
      </w:r>
      <w:r w:rsidRPr="00C836AD">
        <w:rPr>
          <w:rFonts w:ascii="Arial" w:hAnsi="Arial" w:cs="Arial"/>
          <w:sz w:val="24"/>
          <w:szCs w:val="24"/>
          <w:lang w:val="sr-Cyrl-CS"/>
        </w:rPr>
        <w:t xml:space="preserve"> </w:t>
      </w:r>
      <w:r w:rsidRPr="00C836AD">
        <w:rPr>
          <w:rFonts w:ascii="Arial" w:hAnsi="Arial" w:cs="Arial"/>
          <w:sz w:val="24"/>
          <w:szCs w:val="24"/>
        </w:rPr>
        <w:t>tehni</w:t>
      </w:r>
      <w:r w:rsidRPr="00C836AD">
        <w:rPr>
          <w:rFonts w:ascii="Arial" w:hAnsi="Arial" w:cs="Arial"/>
          <w:sz w:val="24"/>
          <w:szCs w:val="24"/>
          <w:lang w:val="sr-Cyrl-CS"/>
        </w:rPr>
        <w:t>č</w:t>
      </w:r>
      <w:r w:rsidRPr="00C836AD">
        <w:rPr>
          <w:rFonts w:ascii="Arial" w:hAnsi="Arial" w:cs="Arial"/>
          <w:sz w:val="24"/>
          <w:szCs w:val="24"/>
        </w:rPr>
        <w:t>kom</w:t>
      </w:r>
      <w:r w:rsidRPr="00C836AD">
        <w:rPr>
          <w:rFonts w:ascii="Arial" w:hAnsi="Arial" w:cs="Arial"/>
          <w:sz w:val="24"/>
          <w:szCs w:val="24"/>
          <w:lang w:val="sr-Cyrl-CS"/>
        </w:rPr>
        <w:t xml:space="preserve"> </w:t>
      </w:r>
      <w:r w:rsidRPr="00C836AD">
        <w:rPr>
          <w:rFonts w:ascii="Arial" w:hAnsi="Arial" w:cs="Arial"/>
          <w:sz w:val="24"/>
          <w:szCs w:val="24"/>
        </w:rPr>
        <w:t>rekultivacijom</w:t>
      </w:r>
      <w:r w:rsidRPr="00C836AD">
        <w:rPr>
          <w:rFonts w:ascii="Arial" w:hAnsi="Arial" w:cs="Arial"/>
          <w:sz w:val="24"/>
          <w:szCs w:val="24"/>
          <w:lang w:val="sr-Cyrl-CS"/>
        </w:rPr>
        <w:t xml:space="preserve"> </w:t>
      </w:r>
      <w:r w:rsidRPr="00C836AD">
        <w:rPr>
          <w:rFonts w:ascii="Arial" w:hAnsi="Arial" w:cs="Arial"/>
          <w:sz w:val="24"/>
          <w:szCs w:val="24"/>
        </w:rPr>
        <w:t>obrade</w:t>
      </w:r>
      <w:r w:rsidRPr="00C836AD">
        <w:rPr>
          <w:rFonts w:ascii="Arial" w:hAnsi="Arial" w:cs="Arial"/>
          <w:sz w:val="24"/>
          <w:szCs w:val="24"/>
          <w:lang w:val="sr-Cyrl-CS"/>
        </w:rPr>
        <w:t xml:space="preserve"> </w:t>
      </w:r>
      <w:r w:rsidRPr="00C836AD">
        <w:rPr>
          <w:rFonts w:ascii="Arial" w:hAnsi="Arial" w:cs="Arial"/>
          <w:sz w:val="24"/>
          <w:szCs w:val="24"/>
        </w:rPr>
        <w:t>zavr</w:t>
      </w:r>
      <w:r w:rsidRPr="00C836AD">
        <w:rPr>
          <w:rFonts w:ascii="Arial" w:hAnsi="Arial" w:cs="Arial"/>
          <w:sz w:val="24"/>
          <w:szCs w:val="24"/>
          <w:lang w:val="sr-Cyrl-CS"/>
        </w:rPr>
        <w:t>š</w:t>
      </w:r>
      <w:r w:rsidRPr="00C836AD">
        <w:rPr>
          <w:rFonts w:ascii="Arial" w:hAnsi="Arial" w:cs="Arial"/>
          <w:sz w:val="24"/>
          <w:szCs w:val="24"/>
        </w:rPr>
        <w:t>nu</w:t>
      </w:r>
      <w:r w:rsidRPr="00C836AD">
        <w:rPr>
          <w:rFonts w:ascii="Arial" w:hAnsi="Arial" w:cs="Arial"/>
          <w:sz w:val="24"/>
          <w:szCs w:val="24"/>
          <w:lang w:val="sr-Cyrl-CS"/>
        </w:rPr>
        <w:t xml:space="preserve"> </w:t>
      </w:r>
      <w:r w:rsidRPr="00C836AD">
        <w:rPr>
          <w:rFonts w:ascii="Arial" w:hAnsi="Arial" w:cs="Arial"/>
          <w:sz w:val="24"/>
          <w:szCs w:val="24"/>
        </w:rPr>
        <w:t>geometrijsku</w:t>
      </w:r>
      <w:r w:rsidRPr="00C836AD">
        <w:rPr>
          <w:rFonts w:ascii="Arial" w:hAnsi="Arial" w:cs="Arial"/>
          <w:sz w:val="24"/>
          <w:szCs w:val="24"/>
          <w:lang w:val="sr-Cyrl-CS"/>
        </w:rPr>
        <w:t xml:space="preserve"> </w:t>
      </w:r>
      <w:r w:rsidRPr="00C836AD">
        <w:rPr>
          <w:rFonts w:ascii="Arial" w:hAnsi="Arial" w:cs="Arial"/>
          <w:sz w:val="24"/>
          <w:szCs w:val="24"/>
        </w:rPr>
        <w:t>konturu</w:t>
      </w:r>
      <w:r w:rsidRPr="00C836AD">
        <w:rPr>
          <w:rFonts w:ascii="Arial" w:hAnsi="Arial" w:cs="Arial"/>
          <w:sz w:val="24"/>
          <w:szCs w:val="24"/>
          <w:lang w:val="sr-Cyrl-CS"/>
        </w:rPr>
        <w:t xml:space="preserve"> </w:t>
      </w:r>
      <w:r w:rsidRPr="00C836AD">
        <w:rPr>
          <w:rFonts w:ascii="Arial" w:hAnsi="Arial" w:cs="Arial"/>
          <w:sz w:val="24"/>
          <w:szCs w:val="24"/>
        </w:rPr>
        <w:t>kopa</w:t>
      </w:r>
      <w:r w:rsidRPr="00C836AD">
        <w:rPr>
          <w:rFonts w:ascii="Arial" w:hAnsi="Arial" w:cs="Arial"/>
          <w:sz w:val="24"/>
          <w:szCs w:val="24"/>
          <w:lang w:val="sr-Cyrl-CS"/>
        </w:rPr>
        <w:t xml:space="preserve"> </w:t>
      </w:r>
      <w:r w:rsidRPr="00C836AD">
        <w:rPr>
          <w:rFonts w:ascii="Arial" w:hAnsi="Arial" w:cs="Arial"/>
          <w:sz w:val="24"/>
          <w:szCs w:val="24"/>
        </w:rPr>
        <w:t>tako</w:t>
      </w:r>
      <w:r w:rsidRPr="00C836AD">
        <w:rPr>
          <w:rFonts w:ascii="Arial" w:hAnsi="Arial" w:cs="Arial"/>
          <w:sz w:val="24"/>
          <w:szCs w:val="24"/>
          <w:lang w:val="sr-Cyrl-CS"/>
        </w:rPr>
        <w:t xml:space="preserve"> </w:t>
      </w:r>
      <w:r w:rsidRPr="00C836AD">
        <w:rPr>
          <w:rFonts w:ascii="Arial" w:hAnsi="Arial" w:cs="Arial"/>
          <w:sz w:val="24"/>
          <w:szCs w:val="24"/>
        </w:rPr>
        <w:t>da</w:t>
      </w:r>
      <w:r w:rsidRPr="00C836AD">
        <w:rPr>
          <w:rFonts w:ascii="Arial" w:hAnsi="Arial" w:cs="Arial"/>
          <w:sz w:val="24"/>
          <w:szCs w:val="24"/>
          <w:lang w:val="sr-Cyrl-CS"/>
        </w:rPr>
        <w:t xml:space="preserve"> </w:t>
      </w:r>
      <w:r w:rsidRPr="00C836AD">
        <w:rPr>
          <w:rFonts w:ascii="Arial" w:hAnsi="Arial" w:cs="Arial"/>
          <w:sz w:val="24"/>
          <w:szCs w:val="24"/>
        </w:rPr>
        <w:t>se</w:t>
      </w:r>
      <w:r w:rsidRPr="00C836AD">
        <w:rPr>
          <w:rFonts w:ascii="Arial" w:hAnsi="Arial" w:cs="Arial"/>
          <w:sz w:val="24"/>
          <w:szCs w:val="24"/>
          <w:lang w:val="sr-Cyrl-CS"/>
        </w:rPr>
        <w:t xml:space="preserve"> </w:t>
      </w:r>
      <w:r w:rsidRPr="00C836AD">
        <w:rPr>
          <w:rFonts w:ascii="Arial" w:hAnsi="Arial" w:cs="Arial"/>
          <w:sz w:val="24"/>
          <w:szCs w:val="24"/>
        </w:rPr>
        <w:t>novoformirani</w:t>
      </w:r>
      <w:r w:rsidRPr="00C836AD">
        <w:rPr>
          <w:rFonts w:ascii="Arial" w:hAnsi="Arial" w:cs="Arial"/>
          <w:sz w:val="24"/>
          <w:szCs w:val="24"/>
          <w:lang w:val="sr-Cyrl-CS"/>
        </w:rPr>
        <w:t xml:space="preserve"> </w:t>
      </w:r>
      <w:r w:rsidRPr="00C836AD">
        <w:rPr>
          <w:rFonts w:ascii="Arial" w:hAnsi="Arial" w:cs="Arial"/>
          <w:sz w:val="24"/>
          <w:szCs w:val="24"/>
        </w:rPr>
        <w:t>prostor</w:t>
      </w:r>
      <w:r w:rsidRPr="00C836AD">
        <w:rPr>
          <w:rFonts w:ascii="Arial" w:hAnsi="Arial" w:cs="Arial"/>
          <w:sz w:val="24"/>
          <w:szCs w:val="24"/>
          <w:lang w:val="sr-Cyrl-CS"/>
        </w:rPr>
        <w:t xml:space="preserve"> </w:t>
      </w:r>
      <w:r w:rsidRPr="00C836AD">
        <w:rPr>
          <w:rFonts w:ascii="Arial" w:hAnsi="Arial" w:cs="Arial"/>
          <w:sz w:val="24"/>
          <w:szCs w:val="24"/>
        </w:rPr>
        <w:t>u</w:t>
      </w:r>
      <w:r w:rsidRPr="00C836AD">
        <w:rPr>
          <w:rFonts w:ascii="Arial" w:hAnsi="Arial" w:cs="Arial"/>
          <w:sz w:val="24"/>
          <w:szCs w:val="24"/>
          <w:lang w:val="sr-Cyrl-CS"/>
        </w:rPr>
        <w:t xml:space="preserve"> </w:t>
      </w:r>
      <w:r w:rsidRPr="00C836AD">
        <w:rPr>
          <w:rFonts w:ascii="Arial" w:hAnsi="Arial" w:cs="Arial"/>
          <w:sz w:val="24"/>
          <w:szCs w:val="24"/>
        </w:rPr>
        <w:t>funkcionalnom</w:t>
      </w:r>
      <w:r w:rsidRPr="00C836AD">
        <w:rPr>
          <w:rFonts w:ascii="Arial" w:hAnsi="Arial" w:cs="Arial"/>
          <w:sz w:val="24"/>
          <w:szCs w:val="24"/>
          <w:lang w:val="sr-Cyrl-CS"/>
        </w:rPr>
        <w:t xml:space="preserve"> </w:t>
      </w:r>
      <w:r w:rsidRPr="00C836AD">
        <w:rPr>
          <w:rFonts w:ascii="Arial" w:hAnsi="Arial" w:cs="Arial"/>
          <w:sz w:val="24"/>
          <w:szCs w:val="24"/>
        </w:rPr>
        <w:t>i</w:t>
      </w:r>
      <w:r w:rsidRPr="00C836AD">
        <w:rPr>
          <w:rFonts w:ascii="Arial" w:hAnsi="Arial" w:cs="Arial"/>
          <w:sz w:val="24"/>
          <w:szCs w:val="24"/>
          <w:lang w:val="sr-Cyrl-CS"/>
        </w:rPr>
        <w:t xml:space="preserve"> </w:t>
      </w:r>
      <w:r w:rsidRPr="00C836AD">
        <w:rPr>
          <w:rFonts w:ascii="Arial" w:hAnsi="Arial" w:cs="Arial"/>
          <w:sz w:val="24"/>
          <w:szCs w:val="24"/>
        </w:rPr>
        <w:t>estetskom</w:t>
      </w:r>
      <w:r w:rsidRPr="00C836AD">
        <w:rPr>
          <w:rFonts w:ascii="Arial" w:hAnsi="Arial" w:cs="Arial"/>
          <w:sz w:val="24"/>
          <w:szCs w:val="24"/>
          <w:lang w:val="sr-Cyrl-CS"/>
        </w:rPr>
        <w:t xml:space="preserve"> </w:t>
      </w:r>
      <w:r w:rsidRPr="00C836AD">
        <w:rPr>
          <w:rFonts w:ascii="Arial" w:hAnsi="Arial" w:cs="Arial"/>
          <w:sz w:val="24"/>
          <w:szCs w:val="24"/>
        </w:rPr>
        <w:t>smislu</w:t>
      </w:r>
      <w:r w:rsidRPr="00C836AD">
        <w:rPr>
          <w:rFonts w:ascii="Arial" w:hAnsi="Arial" w:cs="Arial"/>
          <w:sz w:val="24"/>
          <w:szCs w:val="24"/>
          <w:lang w:val="sr-Cyrl-CS"/>
        </w:rPr>
        <w:t xml:space="preserve"> š</w:t>
      </w:r>
      <w:r w:rsidRPr="00C836AD">
        <w:rPr>
          <w:rFonts w:ascii="Arial" w:hAnsi="Arial" w:cs="Arial"/>
          <w:sz w:val="24"/>
          <w:szCs w:val="24"/>
        </w:rPr>
        <w:t>to</w:t>
      </w:r>
      <w:r w:rsidRPr="00C836AD">
        <w:rPr>
          <w:rFonts w:ascii="Arial" w:hAnsi="Arial" w:cs="Arial"/>
          <w:sz w:val="24"/>
          <w:szCs w:val="24"/>
          <w:lang w:val="sr-Cyrl-CS"/>
        </w:rPr>
        <w:t xml:space="preserve"> </w:t>
      </w:r>
      <w:r w:rsidRPr="00C836AD">
        <w:rPr>
          <w:rFonts w:ascii="Arial" w:hAnsi="Arial" w:cs="Arial"/>
          <w:sz w:val="24"/>
          <w:szCs w:val="24"/>
        </w:rPr>
        <w:t>bolje</w:t>
      </w:r>
      <w:r w:rsidRPr="00C836AD">
        <w:rPr>
          <w:rFonts w:ascii="Arial" w:hAnsi="Arial" w:cs="Arial"/>
          <w:sz w:val="24"/>
          <w:szCs w:val="24"/>
          <w:lang w:val="sr-Cyrl-CS"/>
        </w:rPr>
        <w:t xml:space="preserve"> </w:t>
      </w:r>
      <w:r w:rsidRPr="00C836AD">
        <w:rPr>
          <w:rFonts w:ascii="Arial" w:hAnsi="Arial" w:cs="Arial"/>
          <w:sz w:val="24"/>
          <w:szCs w:val="24"/>
        </w:rPr>
        <w:t>prilagodi</w:t>
      </w:r>
      <w:r w:rsidRPr="00C836AD">
        <w:rPr>
          <w:rFonts w:ascii="Arial" w:hAnsi="Arial" w:cs="Arial"/>
          <w:sz w:val="24"/>
          <w:szCs w:val="24"/>
          <w:lang w:val="sr-Cyrl-CS"/>
        </w:rPr>
        <w:t xml:space="preserve"> </w:t>
      </w:r>
      <w:r w:rsidRPr="00C836AD">
        <w:rPr>
          <w:rFonts w:ascii="Arial" w:hAnsi="Arial" w:cs="Arial"/>
          <w:sz w:val="24"/>
          <w:szCs w:val="24"/>
        </w:rPr>
        <w:t>postoje</w:t>
      </w:r>
      <w:r w:rsidRPr="00C836AD">
        <w:rPr>
          <w:rFonts w:ascii="Arial" w:hAnsi="Arial" w:cs="Arial"/>
          <w:sz w:val="24"/>
          <w:szCs w:val="24"/>
          <w:lang w:val="sr-Cyrl-CS"/>
        </w:rPr>
        <w:t>ć</w:t>
      </w:r>
      <w:r w:rsidRPr="00C836AD">
        <w:rPr>
          <w:rFonts w:ascii="Arial" w:hAnsi="Arial" w:cs="Arial"/>
          <w:sz w:val="24"/>
          <w:szCs w:val="24"/>
        </w:rPr>
        <w:t>em</w:t>
      </w:r>
      <w:r w:rsidRPr="00C836AD">
        <w:rPr>
          <w:rFonts w:ascii="Arial" w:hAnsi="Arial" w:cs="Arial"/>
          <w:sz w:val="24"/>
          <w:szCs w:val="24"/>
          <w:lang w:val="sr-Cyrl-CS"/>
        </w:rPr>
        <w:t xml:space="preserve"> </w:t>
      </w:r>
      <w:r w:rsidRPr="00C836AD">
        <w:rPr>
          <w:rFonts w:ascii="Arial" w:hAnsi="Arial" w:cs="Arial"/>
          <w:sz w:val="24"/>
          <w:szCs w:val="24"/>
        </w:rPr>
        <w:t>prirodnom</w:t>
      </w:r>
      <w:r w:rsidRPr="00C836AD">
        <w:rPr>
          <w:rFonts w:ascii="Arial" w:hAnsi="Arial" w:cs="Arial"/>
          <w:sz w:val="24"/>
          <w:szCs w:val="24"/>
          <w:lang w:val="sr-Cyrl-CS"/>
        </w:rPr>
        <w:t xml:space="preserve"> </w:t>
      </w:r>
      <w:r w:rsidRPr="00C836AD">
        <w:rPr>
          <w:rFonts w:ascii="Arial" w:hAnsi="Arial" w:cs="Arial"/>
          <w:sz w:val="24"/>
          <w:szCs w:val="24"/>
        </w:rPr>
        <w:t>ambijentu</w:t>
      </w:r>
      <w:r w:rsidRPr="00C836AD">
        <w:rPr>
          <w:rFonts w:ascii="Arial" w:hAnsi="Arial" w:cs="Arial"/>
          <w:sz w:val="24"/>
          <w:szCs w:val="24"/>
          <w:lang w:val="sr-Cyrl-CS"/>
        </w:rPr>
        <w:t xml:space="preserve">. </w:t>
      </w:r>
    </w:p>
    <w:p w:rsidR="00BB214A" w:rsidRPr="00C836AD" w:rsidRDefault="00BB214A" w:rsidP="00BB214A">
      <w:pPr>
        <w:spacing w:after="0"/>
        <w:jc w:val="both"/>
        <w:rPr>
          <w:rFonts w:ascii="Arial" w:hAnsi="Arial" w:cs="Arial"/>
          <w:sz w:val="24"/>
          <w:szCs w:val="24"/>
          <w:lang w:val="sr-Latn-CS"/>
        </w:rPr>
      </w:pPr>
    </w:p>
    <w:p w:rsidR="00BB214A" w:rsidRDefault="00BB214A" w:rsidP="00BB214A">
      <w:pPr>
        <w:spacing w:after="0"/>
        <w:jc w:val="both"/>
        <w:rPr>
          <w:rFonts w:ascii="Arial" w:hAnsi="Arial" w:cs="Arial"/>
          <w:sz w:val="24"/>
          <w:szCs w:val="24"/>
          <w:lang w:val="sr-Latn-CS"/>
        </w:rPr>
      </w:pPr>
      <w:r w:rsidRPr="00BB214A">
        <w:rPr>
          <w:rFonts w:ascii="Arial" w:hAnsi="Arial" w:cs="Arial"/>
          <w:sz w:val="24"/>
          <w:szCs w:val="24"/>
          <w:lang w:val="sr-Latn-CS"/>
        </w:rPr>
        <w:t xml:space="preserve">Kod procene uticaja površinskog kopa na pejzažne karakteristike u domenu vegetacije vrednuje se vizuelni i biološki kvalitet vegetacije imajući u vidu promene izgleda. </w:t>
      </w:r>
    </w:p>
    <w:p w:rsidR="00BB214A" w:rsidRPr="00BB214A" w:rsidRDefault="00BB214A" w:rsidP="00BB214A">
      <w:pPr>
        <w:spacing w:after="0"/>
        <w:jc w:val="both"/>
        <w:rPr>
          <w:rFonts w:ascii="Arial" w:hAnsi="Arial" w:cs="Arial"/>
          <w:sz w:val="24"/>
          <w:szCs w:val="24"/>
          <w:lang w:val="sr-Latn-CS"/>
        </w:rPr>
      </w:pPr>
    </w:p>
    <w:p w:rsidR="00BB214A" w:rsidRPr="00722DF4" w:rsidRDefault="00BB214A" w:rsidP="00722DF4">
      <w:pPr>
        <w:spacing w:after="0"/>
        <w:jc w:val="both"/>
        <w:rPr>
          <w:rFonts w:ascii="Arial" w:hAnsi="Arial" w:cs="Arial"/>
          <w:sz w:val="24"/>
          <w:szCs w:val="24"/>
        </w:rPr>
      </w:pPr>
    </w:p>
    <w:p w:rsidR="00D24A40" w:rsidRDefault="00D24A40" w:rsidP="00722DF4">
      <w:pPr>
        <w:spacing w:after="0"/>
        <w:jc w:val="both"/>
        <w:rPr>
          <w:rFonts w:ascii="Arial" w:hAnsi="Arial" w:cs="Arial"/>
          <w:sz w:val="24"/>
          <w:szCs w:val="24"/>
        </w:rPr>
      </w:pPr>
    </w:p>
    <w:p w:rsidR="00D24A40" w:rsidRPr="00722DF4" w:rsidRDefault="00D24A40" w:rsidP="00722DF4">
      <w:pPr>
        <w:spacing w:after="0"/>
        <w:jc w:val="both"/>
        <w:rPr>
          <w:rFonts w:ascii="Arial" w:hAnsi="Arial" w:cs="Arial"/>
          <w:sz w:val="24"/>
          <w:szCs w:val="24"/>
        </w:rPr>
      </w:pPr>
    </w:p>
    <w:p w:rsidR="00B85B88" w:rsidRPr="00722DF4" w:rsidRDefault="004D7972" w:rsidP="00722DF4">
      <w:pPr>
        <w:pStyle w:val="Heading1"/>
        <w:numPr>
          <w:ilvl w:val="0"/>
          <w:numId w:val="0"/>
        </w:numPr>
        <w:spacing w:before="0"/>
        <w:jc w:val="both"/>
        <w:rPr>
          <w:rFonts w:cs="Arial"/>
          <w:szCs w:val="24"/>
        </w:rPr>
      </w:pPr>
      <w:r>
        <w:rPr>
          <w:rFonts w:cs="Arial"/>
          <w:szCs w:val="24"/>
        </w:rPr>
        <w:br w:type="page"/>
      </w:r>
      <w:bookmarkStart w:id="55" w:name="_Toc6172844"/>
      <w:r w:rsidR="00B85B88" w:rsidRPr="00722DF4">
        <w:rPr>
          <w:rFonts w:cs="Arial"/>
          <w:szCs w:val="24"/>
        </w:rPr>
        <w:lastRenderedPageBreak/>
        <w:t>7. MJERE PREDVIĐENE U CILJU SPRJEČAVANJA, SMANJENJA ILI OTKLANJANJA, U NAJVEĆOJ MOGUĆOJ MJERI, BILO KOG ZNAČAJNOG NEGATIVNOG UTICAJA NA ZDRAVLJE LJUDI I ŽIVOTNU SREDINU DO KOGA DOVODI REALIZACIJA STRATEGIJE</w:t>
      </w:r>
      <w:bookmarkEnd w:id="55"/>
    </w:p>
    <w:p w:rsidR="009755CF" w:rsidRPr="00722DF4" w:rsidRDefault="009755CF" w:rsidP="00722DF4">
      <w:pPr>
        <w:spacing w:after="0"/>
        <w:jc w:val="both"/>
        <w:rPr>
          <w:rFonts w:ascii="Arial" w:hAnsi="Arial" w:cs="Arial"/>
          <w:sz w:val="24"/>
          <w:szCs w:val="24"/>
        </w:rPr>
      </w:pPr>
    </w:p>
    <w:p w:rsidR="002F2B93" w:rsidRPr="00D24A40" w:rsidRDefault="002F2B93" w:rsidP="00722DF4">
      <w:pPr>
        <w:autoSpaceDE w:val="0"/>
        <w:autoSpaceDN w:val="0"/>
        <w:adjustRightInd w:val="0"/>
        <w:spacing w:after="0"/>
        <w:jc w:val="both"/>
        <w:rPr>
          <w:rFonts w:ascii="Arial" w:hAnsi="Arial" w:cs="Arial"/>
          <w:sz w:val="24"/>
          <w:szCs w:val="24"/>
        </w:rPr>
      </w:pPr>
      <w:r w:rsidRPr="00D24A40">
        <w:rPr>
          <w:rFonts w:ascii="Arial" w:hAnsi="Arial" w:cs="Arial"/>
          <w:sz w:val="24"/>
          <w:szCs w:val="24"/>
        </w:rPr>
        <w:t xml:space="preserve">Analizom raspoloživih podataka o svim segmentima životne sredine, te nakon identifikacije potencijalnih uticaj usled realizacije </w:t>
      </w:r>
      <w:r w:rsidR="00167C96">
        <w:rPr>
          <w:rFonts w:ascii="Arial" w:hAnsi="Arial" w:cs="Arial"/>
          <w:sz w:val="24"/>
          <w:szCs w:val="24"/>
        </w:rPr>
        <w:t>Plana</w:t>
      </w:r>
      <w:r w:rsidRPr="00D24A40">
        <w:rPr>
          <w:rFonts w:ascii="Arial" w:hAnsi="Arial" w:cs="Arial"/>
          <w:sz w:val="24"/>
          <w:szCs w:val="24"/>
        </w:rPr>
        <w:t xml:space="preserve">, definisane su mjere predviđene u cilju sprečavanja, ograničavanja, smanjenja ili otklanjanja, u najvećoj mogućoj mjeri, bilo kog značajnog identifikovanog negativnog uticaja (Poglavlje 6), odnosno uvećanja pozitivnih uticaja, na zdravlje ljudi i životnu sredinu do koga realizacija iste dovodi. </w:t>
      </w:r>
    </w:p>
    <w:p w:rsidR="002F2B93" w:rsidRPr="00D24A40" w:rsidRDefault="002F2B93" w:rsidP="00722DF4">
      <w:pPr>
        <w:autoSpaceDE w:val="0"/>
        <w:autoSpaceDN w:val="0"/>
        <w:adjustRightInd w:val="0"/>
        <w:spacing w:after="0"/>
        <w:jc w:val="both"/>
        <w:rPr>
          <w:rFonts w:ascii="Arial" w:hAnsi="Arial" w:cs="Arial"/>
          <w:sz w:val="24"/>
          <w:szCs w:val="24"/>
        </w:rPr>
      </w:pPr>
    </w:p>
    <w:p w:rsidR="00B85B88" w:rsidRPr="00D24A40" w:rsidRDefault="00D16A15" w:rsidP="00722DF4">
      <w:pPr>
        <w:spacing w:after="0"/>
        <w:jc w:val="both"/>
        <w:rPr>
          <w:rFonts w:ascii="Arial" w:hAnsi="Arial" w:cs="Arial"/>
          <w:sz w:val="24"/>
          <w:szCs w:val="24"/>
        </w:rPr>
      </w:pPr>
      <w:r w:rsidRPr="00D24A40">
        <w:rPr>
          <w:rFonts w:ascii="Arial" w:hAnsi="Arial" w:cs="Arial"/>
          <w:sz w:val="24"/>
          <w:szCs w:val="24"/>
        </w:rPr>
        <w:t xml:space="preserve">Ovim poglavljem obuhvaćene su mjere predviđene zakonima i drugim propisima, normativima i standardima, kao mjera i preporuka za sprečavanje i ograničavanje negativnih, odnosno uvećanja pozitivnih uticaja, i ostvarivanje ciljeva zaštite i unapređenja životne sredine, datih na osnovu identivikovanih uticaja na sve segmente životne </w:t>
      </w:r>
      <w:r w:rsidR="00167C96">
        <w:rPr>
          <w:rFonts w:ascii="Arial" w:hAnsi="Arial" w:cs="Arial"/>
          <w:sz w:val="24"/>
          <w:szCs w:val="24"/>
        </w:rPr>
        <w:t>sredine.</w:t>
      </w:r>
    </w:p>
    <w:p w:rsidR="00D24A40" w:rsidRPr="00722DF4" w:rsidRDefault="00D24A40" w:rsidP="00722DF4">
      <w:pPr>
        <w:spacing w:after="0"/>
        <w:jc w:val="both"/>
        <w:rPr>
          <w:rFonts w:ascii="Arial" w:hAnsi="Arial" w:cs="Arial"/>
          <w:color w:val="FF0000"/>
          <w:sz w:val="24"/>
          <w:szCs w:val="24"/>
        </w:rPr>
      </w:pPr>
    </w:p>
    <w:p w:rsidR="009A2DA2" w:rsidRPr="00D24A40" w:rsidRDefault="00114C4C" w:rsidP="00D24A40">
      <w:pPr>
        <w:pStyle w:val="Heading2"/>
        <w:numPr>
          <w:ilvl w:val="0"/>
          <w:numId w:val="0"/>
        </w:numPr>
      </w:pPr>
      <w:bookmarkStart w:id="56" w:name="_Toc6172845"/>
      <w:r w:rsidRPr="00D24A40">
        <w:t xml:space="preserve">7.1. Mjere predviđene </w:t>
      </w:r>
      <w:r w:rsidR="0023475A" w:rsidRPr="00D24A40">
        <w:t>propisima</w:t>
      </w:r>
      <w:r w:rsidRPr="00D24A40">
        <w:t xml:space="preserve"> i standardima</w:t>
      </w:r>
      <w:bookmarkEnd w:id="56"/>
      <w:r w:rsidRPr="00D24A40">
        <w:t xml:space="preserve"> </w:t>
      </w:r>
    </w:p>
    <w:p w:rsidR="009A2DA2" w:rsidRPr="00722DF4" w:rsidRDefault="009A2DA2" w:rsidP="00722DF4">
      <w:pPr>
        <w:autoSpaceDE w:val="0"/>
        <w:autoSpaceDN w:val="0"/>
        <w:adjustRightInd w:val="0"/>
        <w:spacing w:after="0"/>
        <w:jc w:val="both"/>
        <w:rPr>
          <w:rFonts w:ascii="Arial" w:hAnsi="Arial" w:cs="Arial"/>
          <w:color w:val="FF0000"/>
          <w:sz w:val="24"/>
          <w:szCs w:val="24"/>
        </w:rPr>
      </w:pPr>
    </w:p>
    <w:p w:rsidR="009A2DA2" w:rsidRPr="00700739" w:rsidRDefault="009A2DA2"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Opšte mere zaštite životne sredine obuhvataju </w:t>
      </w:r>
      <w:r w:rsidR="00D24A40" w:rsidRPr="00700739">
        <w:rPr>
          <w:rFonts w:ascii="Arial" w:hAnsi="Arial" w:cs="Arial"/>
          <w:sz w:val="24"/>
          <w:szCs w:val="24"/>
        </w:rPr>
        <w:t>opšta</w:t>
      </w:r>
      <w:r w:rsidRPr="00700739">
        <w:rPr>
          <w:rFonts w:ascii="Arial" w:hAnsi="Arial" w:cs="Arial"/>
          <w:sz w:val="24"/>
          <w:szCs w:val="24"/>
        </w:rPr>
        <w:t xml:space="preserve"> saznanja koja su primjerena </w:t>
      </w:r>
      <w:r w:rsidR="00D24A40" w:rsidRPr="00700739">
        <w:rPr>
          <w:rFonts w:ascii="Arial" w:hAnsi="Arial" w:cs="Arial"/>
          <w:sz w:val="24"/>
          <w:szCs w:val="24"/>
        </w:rPr>
        <w:t>aktivnostima prediđenim Planom eksploatacije mineralnih sirovina</w:t>
      </w:r>
      <w:r w:rsidRPr="00700739">
        <w:rPr>
          <w:rFonts w:ascii="Arial" w:hAnsi="Arial" w:cs="Arial"/>
          <w:sz w:val="24"/>
          <w:szCs w:val="24"/>
        </w:rPr>
        <w:t xml:space="preserve"> i lokalnim prostornim uslovi</w:t>
      </w:r>
      <w:r w:rsidR="009A0F67" w:rsidRPr="00700739">
        <w:rPr>
          <w:rFonts w:ascii="Arial" w:hAnsi="Arial" w:cs="Arial"/>
          <w:sz w:val="24"/>
          <w:szCs w:val="24"/>
        </w:rPr>
        <w:t>ma i karakteristikama eksploatacionih polje</w:t>
      </w:r>
      <w:r w:rsidRPr="00700739">
        <w:rPr>
          <w:rFonts w:ascii="Arial" w:hAnsi="Arial" w:cs="Arial"/>
          <w:sz w:val="24"/>
          <w:szCs w:val="24"/>
        </w:rPr>
        <w:t>.</w:t>
      </w:r>
    </w:p>
    <w:p w:rsidR="009A2DA2" w:rsidRPr="00700739" w:rsidRDefault="009A2DA2" w:rsidP="00722DF4">
      <w:pPr>
        <w:autoSpaceDE w:val="0"/>
        <w:autoSpaceDN w:val="0"/>
        <w:adjustRightInd w:val="0"/>
        <w:spacing w:after="0"/>
        <w:jc w:val="both"/>
        <w:rPr>
          <w:rFonts w:ascii="Arial" w:hAnsi="Arial" w:cs="Arial"/>
          <w:sz w:val="24"/>
          <w:szCs w:val="24"/>
        </w:rPr>
      </w:pPr>
    </w:p>
    <w:p w:rsidR="009A2DA2" w:rsidRPr="00700739" w:rsidRDefault="009A2DA2"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Sve aktivnosti koje su proklamovane u sklopu opšte razvojne politike na nivou države Crne Gore, a koje su konkretizovane kroz najviše planske dokumente, potrebno je uvažiti u smislu racionalnog upravljanja životnom sredinom za svaki pojedinačni  investicioni poduhvat.</w:t>
      </w:r>
    </w:p>
    <w:p w:rsidR="00D16A15" w:rsidRPr="00700739" w:rsidRDefault="00D16A15" w:rsidP="00722DF4">
      <w:pPr>
        <w:autoSpaceDE w:val="0"/>
        <w:autoSpaceDN w:val="0"/>
        <w:adjustRightInd w:val="0"/>
        <w:spacing w:after="0"/>
        <w:jc w:val="both"/>
        <w:rPr>
          <w:rFonts w:ascii="Arial" w:hAnsi="Arial" w:cs="Arial"/>
          <w:sz w:val="24"/>
          <w:szCs w:val="24"/>
        </w:rPr>
      </w:pPr>
    </w:p>
    <w:p w:rsidR="00D16A15" w:rsidRPr="00700739" w:rsidRDefault="00D16A15"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Bez obzira </w:t>
      </w:r>
      <w:r w:rsidR="009A0F67" w:rsidRPr="00700739">
        <w:rPr>
          <w:rFonts w:ascii="Arial" w:hAnsi="Arial" w:cs="Arial"/>
          <w:sz w:val="24"/>
          <w:szCs w:val="24"/>
        </w:rPr>
        <w:t>da li</w:t>
      </w:r>
      <w:r w:rsidRPr="00700739">
        <w:rPr>
          <w:rFonts w:ascii="Arial" w:hAnsi="Arial" w:cs="Arial"/>
          <w:sz w:val="24"/>
          <w:szCs w:val="24"/>
        </w:rPr>
        <w:t xml:space="preserve"> se radi o privremenim uticajima na životnu sredinu, neophodno je preduzeti sve zakonske mjere kako bi se svi privremeni uticaji na životnu sredinu minimizirali. U ovu kategoriju spadaju sve one mjere zaštite koje treba preduzeti u sklopu planskog</w:t>
      </w:r>
      <w:r w:rsidR="00167C96">
        <w:rPr>
          <w:rFonts w:ascii="Arial" w:hAnsi="Arial" w:cs="Arial"/>
          <w:sz w:val="24"/>
          <w:szCs w:val="24"/>
        </w:rPr>
        <w:t>,</w:t>
      </w:r>
      <w:r w:rsidRPr="00700739">
        <w:rPr>
          <w:rFonts w:ascii="Arial" w:hAnsi="Arial" w:cs="Arial"/>
          <w:sz w:val="24"/>
          <w:szCs w:val="24"/>
        </w:rPr>
        <w:t xml:space="preserve"> i nadalje projektnog koncepta, a čija primjena je preduslov za minimiziranje mogućih uticaja na životnu sredinu:</w:t>
      </w:r>
    </w:p>
    <w:p w:rsidR="009A0F67" w:rsidRPr="00700739" w:rsidRDefault="009A0F67" w:rsidP="00722DF4">
      <w:pPr>
        <w:autoSpaceDE w:val="0"/>
        <w:autoSpaceDN w:val="0"/>
        <w:adjustRightInd w:val="0"/>
        <w:spacing w:after="0"/>
        <w:jc w:val="both"/>
        <w:rPr>
          <w:rFonts w:ascii="Arial" w:hAnsi="Arial" w:cs="Arial"/>
          <w:sz w:val="24"/>
          <w:szCs w:val="24"/>
        </w:rPr>
      </w:pPr>
    </w:p>
    <w:p w:rsidR="009A0F67" w:rsidRPr="00700739" w:rsidRDefault="00D16A15"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Implementirati sve uslove i zahtjeve koje utvrđuju nadležni organi države Crne Gore pri izdavanju odobrenja i saglasnosti za izvođenje radova</w:t>
      </w:r>
      <w:r w:rsidR="00167C96">
        <w:rPr>
          <w:rFonts w:ascii="Arial" w:hAnsi="Arial" w:cs="Arial"/>
          <w:sz w:val="24"/>
          <w:szCs w:val="24"/>
        </w:rPr>
        <w:t>,</w:t>
      </w:r>
      <w:r w:rsidRPr="00700739">
        <w:rPr>
          <w:rFonts w:ascii="Arial" w:hAnsi="Arial" w:cs="Arial"/>
          <w:sz w:val="24"/>
          <w:szCs w:val="24"/>
        </w:rPr>
        <w:t xml:space="preserve"> </w:t>
      </w:r>
    </w:p>
    <w:p w:rsidR="00D16A15" w:rsidRPr="00700739" w:rsidRDefault="00D16A15"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lastRenderedPageBreak/>
        <w:t>Sprovesti sve zakonske procedure za aktivnosti za koje se traže dozvole, odobrenja i saglasnosti, sa posebnim akcentom na upotrebu i korišćenje podzemnih i površinskih voda,</w:t>
      </w:r>
    </w:p>
    <w:p w:rsidR="00D16A15" w:rsidRPr="00700739" w:rsidRDefault="00D16A15"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Izraditi Planove upravljanja komunalnim otpadom (odvoženje komunalnog otpada mora biti povjereno nadležnoj komunalnoj organizaciji),</w:t>
      </w:r>
    </w:p>
    <w:p w:rsidR="00D16A15" w:rsidRPr="00700739" w:rsidRDefault="00D16A15"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Pribaviti odobrenje za skladištenje neopasnog građevinskog otpada, i svu neophodnu dokumentaciju koja joj prethodi.</w:t>
      </w:r>
    </w:p>
    <w:p w:rsidR="009A0F67" w:rsidRPr="00700739" w:rsidRDefault="009A0F67"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U skladu sa zakonskom regulativnom uraditi projekat rekultivacije područja</w:t>
      </w:r>
      <w:r w:rsidR="00167C96">
        <w:rPr>
          <w:rFonts w:ascii="Arial" w:hAnsi="Arial" w:cs="Arial"/>
          <w:sz w:val="24"/>
          <w:szCs w:val="24"/>
        </w:rPr>
        <w:t>.</w:t>
      </w:r>
    </w:p>
    <w:p w:rsidR="00F25D80" w:rsidRPr="00700739" w:rsidRDefault="00F25D80" w:rsidP="00722DF4">
      <w:pPr>
        <w:autoSpaceDE w:val="0"/>
        <w:autoSpaceDN w:val="0"/>
        <w:adjustRightInd w:val="0"/>
        <w:spacing w:after="0"/>
        <w:jc w:val="both"/>
        <w:rPr>
          <w:rFonts w:ascii="Arial" w:hAnsi="Arial" w:cs="Arial"/>
          <w:sz w:val="24"/>
          <w:szCs w:val="24"/>
        </w:rPr>
      </w:pPr>
    </w:p>
    <w:p w:rsidR="00F25D80" w:rsidRPr="00700739" w:rsidRDefault="00F25D80"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Pored navedenog, tabelarnim prikazom u nastavku dat je pregled mjera za sve segmente životne sredine, a na koje realizacija </w:t>
      </w:r>
      <w:r w:rsidR="009A0F67" w:rsidRPr="00700739">
        <w:rPr>
          <w:rFonts w:ascii="Arial" w:hAnsi="Arial" w:cs="Arial"/>
          <w:sz w:val="24"/>
          <w:szCs w:val="24"/>
        </w:rPr>
        <w:t>Plana</w:t>
      </w:r>
      <w:r w:rsidRPr="00700739">
        <w:rPr>
          <w:rFonts w:ascii="Arial" w:hAnsi="Arial" w:cs="Arial"/>
          <w:sz w:val="24"/>
          <w:szCs w:val="24"/>
        </w:rPr>
        <w:t xml:space="preserve"> može uticati.</w:t>
      </w:r>
    </w:p>
    <w:p w:rsidR="009A2DA2" w:rsidRPr="00700739" w:rsidRDefault="009A2DA2" w:rsidP="00722DF4">
      <w:pPr>
        <w:autoSpaceDE w:val="0"/>
        <w:autoSpaceDN w:val="0"/>
        <w:adjustRightInd w:val="0"/>
        <w:spacing w:after="0"/>
        <w:jc w:val="both"/>
        <w:rPr>
          <w:rFonts w:ascii="Arial" w:hAnsi="Arial" w:cs="Arial"/>
          <w:sz w:val="24"/>
          <w:szCs w:val="24"/>
        </w:rPr>
      </w:pPr>
    </w:p>
    <w:p w:rsidR="00B85B88" w:rsidRPr="00700739" w:rsidRDefault="00183B13" w:rsidP="00722DF4">
      <w:pPr>
        <w:pStyle w:val="Heading2"/>
        <w:numPr>
          <w:ilvl w:val="0"/>
          <w:numId w:val="0"/>
        </w:numPr>
        <w:spacing w:before="0"/>
        <w:jc w:val="both"/>
        <w:rPr>
          <w:rFonts w:cs="Arial"/>
          <w:szCs w:val="24"/>
        </w:rPr>
      </w:pPr>
      <w:bookmarkStart w:id="57" w:name="_Toc6172846"/>
      <w:r w:rsidRPr="00700739">
        <w:rPr>
          <w:rFonts w:cs="Arial"/>
          <w:szCs w:val="24"/>
        </w:rPr>
        <w:t>7.1</w:t>
      </w:r>
      <w:r w:rsidR="00114C4C" w:rsidRPr="00700739">
        <w:rPr>
          <w:rFonts w:cs="Arial"/>
          <w:szCs w:val="24"/>
        </w:rPr>
        <w:t xml:space="preserve">. </w:t>
      </w:r>
      <w:r w:rsidR="00D16A15" w:rsidRPr="00700739">
        <w:rPr>
          <w:rFonts w:cs="Arial"/>
          <w:szCs w:val="24"/>
        </w:rPr>
        <w:t>M</w:t>
      </w:r>
      <w:r w:rsidR="00114C4C" w:rsidRPr="00700739">
        <w:rPr>
          <w:rFonts w:cs="Arial"/>
          <w:szCs w:val="24"/>
        </w:rPr>
        <w:t xml:space="preserve">jere </w:t>
      </w:r>
      <w:r w:rsidR="00EC2231" w:rsidRPr="00700739">
        <w:rPr>
          <w:rFonts w:cs="Arial"/>
          <w:szCs w:val="24"/>
        </w:rPr>
        <w:t>zaštite životne sredine i zdravlja ljudi</w:t>
      </w:r>
      <w:bookmarkEnd w:id="57"/>
    </w:p>
    <w:p w:rsidR="00183B13" w:rsidRPr="00700739" w:rsidRDefault="00183B13" w:rsidP="00722DF4">
      <w:pPr>
        <w:pStyle w:val="NoSpacing"/>
        <w:spacing w:line="276" w:lineRule="auto"/>
        <w:jc w:val="both"/>
        <w:rPr>
          <w:rFonts w:ascii="Arial" w:hAnsi="Arial" w:cs="Arial"/>
        </w:rPr>
      </w:pPr>
    </w:p>
    <w:p w:rsidR="00183B13" w:rsidRPr="007806FD" w:rsidRDefault="009A0F67" w:rsidP="00722DF4">
      <w:pPr>
        <w:pStyle w:val="NoSpacing"/>
        <w:spacing w:line="276" w:lineRule="auto"/>
        <w:jc w:val="both"/>
        <w:rPr>
          <w:rFonts w:ascii="Arial" w:hAnsi="Arial" w:cs="Arial"/>
          <w:sz w:val="22"/>
          <w:szCs w:val="22"/>
        </w:rPr>
      </w:pPr>
      <w:r w:rsidRPr="007806FD">
        <w:rPr>
          <w:rFonts w:ascii="Arial" w:hAnsi="Arial" w:cs="Arial"/>
          <w:b/>
          <w:sz w:val="22"/>
          <w:szCs w:val="22"/>
        </w:rPr>
        <w:t>Tabela 7.1</w:t>
      </w:r>
      <w:r w:rsidR="00183B13" w:rsidRPr="007806FD">
        <w:rPr>
          <w:rFonts w:ascii="Arial" w:hAnsi="Arial" w:cs="Arial"/>
          <w:b/>
          <w:sz w:val="22"/>
          <w:szCs w:val="22"/>
        </w:rPr>
        <w:t>.</w:t>
      </w:r>
      <w:r w:rsidR="00183B13" w:rsidRPr="007806FD">
        <w:rPr>
          <w:rFonts w:ascii="Arial" w:hAnsi="Arial" w:cs="Arial"/>
          <w:sz w:val="22"/>
          <w:szCs w:val="22"/>
        </w:rPr>
        <w:t>Mjere i preporuke za sprečavanje negativnih uticaja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8050"/>
      </w:tblGrid>
      <w:tr w:rsidR="00A329F0" w:rsidRPr="00700739" w:rsidTr="00CA2879">
        <w:tc>
          <w:tcPr>
            <w:tcW w:w="1526" w:type="dxa"/>
          </w:tcPr>
          <w:p w:rsidR="00A329F0" w:rsidRPr="00700739" w:rsidRDefault="00A329F0" w:rsidP="00722DF4">
            <w:pPr>
              <w:spacing w:after="0"/>
              <w:jc w:val="both"/>
              <w:rPr>
                <w:rFonts w:ascii="Arial" w:hAnsi="Arial" w:cs="Arial"/>
                <w:b/>
                <w:sz w:val="24"/>
                <w:szCs w:val="24"/>
              </w:rPr>
            </w:pPr>
            <w:r w:rsidRPr="00700739">
              <w:rPr>
                <w:rFonts w:ascii="Arial" w:hAnsi="Arial" w:cs="Arial"/>
                <w:b/>
                <w:sz w:val="24"/>
                <w:szCs w:val="24"/>
              </w:rPr>
              <w:t xml:space="preserve">Segment </w:t>
            </w:r>
          </w:p>
        </w:tc>
        <w:tc>
          <w:tcPr>
            <w:tcW w:w="8050" w:type="dxa"/>
          </w:tcPr>
          <w:p w:rsidR="00A329F0" w:rsidRPr="00700739" w:rsidRDefault="00A329F0" w:rsidP="00722DF4">
            <w:pPr>
              <w:spacing w:after="0"/>
              <w:jc w:val="both"/>
              <w:rPr>
                <w:rFonts w:ascii="Arial" w:hAnsi="Arial" w:cs="Arial"/>
                <w:b/>
                <w:sz w:val="24"/>
                <w:szCs w:val="24"/>
              </w:rPr>
            </w:pPr>
            <w:r w:rsidRPr="00700739">
              <w:rPr>
                <w:rFonts w:ascii="Arial" w:hAnsi="Arial" w:cs="Arial"/>
                <w:b/>
                <w:sz w:val="24"/>
                <w:szCs w:val="24"/>
              </w:rPr>
              <w:t>Mjere i preporuke za sprečavanje negativnih uticaja na životnu sredinu</w:t>
            </w:r>
          </w:p>
        </w:tc>
      </w:tr>
      <w:tr w:rsidR="00A329F0" w:rsidRPr="00700739" w:rsidTr="00CA2879">
        <w:tc>
          <w:tcPr>
            <w:tcW w:w="1526" w:type="dxa"/>
          </w:tcPr>
          <w:p w:rsidR="00A329F0" w:rsidRPr="00700739" w:rsidRDefault="00A329F0" w:rsidP="00722DF4">
            <w:pPr>
              <w:spacing w:after="0"/>
              <w:jc w:val="both"/>
              <w:rPr>
                <w:rFonts w:ascii="Arial" w:hAnsi="Arial" w:cs="Arial"/>
                <w:b/>
                <w:sz w:val="24"/>
                <w:szCs w:val="24"/>
              </w:rPr>
            </w:pPr>
            <w:r w:rsidRPr="00700739">
              <w:rPr>
                <w:rFonts w:ascii="Arial" w:hAnsi="Arial" w:cs="Arial"/>
                <w:b/>
                <w:sz w:val="24"/>
                <w:szCs w:val="24"/>
              </w:rPr>
              <w:t>Zemljište</w:t>
            </w:r>
          </w:p>
        </w:tc>
        <w:tc>
          <w:tcPr>
            <w:tcW w:w="8050" w:type="dxa"/>
          </w:tcPr>
          <w:p w:rsidR="002B273D" w:rsidRDefault="002B273D" w:rsidP="00722DF4">
            <w:pPr>
              <w:autoSpaceDE w:val="0"/>
              <w:autoSpaceDN w:val="0"/>
              <w:adjustRightInd w:val="0"/>
              <w:spacing w:after="0"/>
              <w:jc w:val="both"/>
              <w:rPr>
                <w:rFonts w:ascii="Arial" w:hAnsi="Arial" w:cs="Arial"/>
                <w:sz w:val="24"/>
                <w:szCs w:val="24"/>
              </w:rPr>
            </w:pPr>
            <w:r>
              <w:rPr>
                <w:rFonts w:ascii="Arial" w:hAnsi="Arial" w:cs="Arial"/>
                <w:sz w:val="24"/>
                <w:szCs w:val="24"/>
              </w:rPr>
              <w:t xml:space="preserve">- Projektovanje i izvođenje radova na eksploataciji mineralnih sirovina na način da se obezbjedi minimalna degradacija zemljišta, posebno poljoprivrednog zemljišta. </w:t>
            </w:r>
          </w:p>
          <w:p w:rsidR="002B273D" w:rsidRDefault="002B273D" w:rsidP="00722DF4">
            <w:pPr>
              <w:autoSpaceDE w:val="0"/>
              <w:autoSpaceDN w:val="0"/>
              <w:adjustRightInd w:val="0"/>
              <w:spacing w:after="0"/>
              <w:jc w:val="both"/>
              <w:rPr>
                <w:rFonts w:ascii="Arial" w:hAnsi="Arial" w:cs="Arial"/>
                <w:sz w:val="24"/>
                <w:szCs w:val="24"/>
              </w:rPr>
            </w:pPr>
            <w:r>
              <w:rPr>
                <w:rFonts w:ascii="Arial" w:hAnsi="Arial" w:cs="Arial"/>
                <w:sz w:val="24"/>
                <w:szCs w:val="24"/>
              </w:rPr>
              <w:t>- Obezbjediti odgovarajuće prostore sa svim neophodnim mjerama zaštite životne sredine i pratećom dokumentacijom u skladu sa zakonskom regulativom, za potrebe odlaganja jalovine u zonama rudarskih radova. Osigurati izvođenje radova u svemu prema revidovanom projektu odlagališta jalovine.</w:t>
            </w:r>
          </w:p>
          <w:p w:rsidR="002B273D" w:rsidRPr="00700739" w:rsidRDefault="002B273D" w:rsidP="00722DF4">
            <w:pPr>
              <w:autoSpaceDE w:val="0"/>
              <w:autoSpaceDN w:val="0"/>
              <w:adjustRightInd w:val="0"/>
              <w:spacing w:after="0"/>
              <w:jc w:val="both"/>
              <w:rPr>
                <w:rFonts w:ascii="Arial" w:hAnsi="Arial" w:cs="Arial"/>
                <w:sz w:val="24"/>
                <w:szCs w:val="24"/>
              </w:rPr>
            </w:pPr>
            <w:r>
              <w:rPr>
                <w:rFonts w:ascii="Arial" w:hAnsi="Arial" w:cs="Arial"/>
                <w:sz w:val="24"/>
                <w:szCs w:val="24"/>
              </w:rPr>
              <w:t>- Sprovesti mjere nadzora i monitoring životne sredine na mjestima deponovanja jalovine.</w:t>
            </w:r>
          </w:p>
          <w:p w:rsidR="009B5E40" w:rsidRDefault="009B5E40"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-Umjesto deponovanja viška iskopa (zemlje) na deponiji, može se realizirati dogovor sa lokalnim zajednicama o korišćenju viška zemlje</w:t>
            </w:r>
            <w:r w:rsidR="002B273D">
              <w:rPr>
                <w:rFonts w:ascii="Arial" w:hAnsi="Arial" w:cs="Arial"/>
                <w:sz w:val="24"/>
                <w:szCs w:val="24"/>
              </w:rPr>
              <w:t>, ukoliko je otkrivka pogodna za ponovnu upotrebu</w:t>
            </w:r>
          </w:p>
          <w:p w:rsidR="002B273D" w:rsidRPr="00700739" w:rsidRDefault="002B273D" w:rsidP="00722DF4">
            <w:pPr>
              <w:autoSpaceDE w:val="0"/>
              <w:autoSpaceDN w:val="0"/>
              <w:adjustRightInd w:val="0"/>
              <w:spacing w:after="0"/>
              <w:jc w:val="both"/>
              <w:rPr>
                <w:rFonts w:ascii="Arial" w:hAnsi="Arial" w:cs="Arial"/>
                <w:sz w:val="24"/>
                <w:szCs w:val="24"/>
              </w:rPr>
            </w:pPr>
            <w:r>
              <w:rPr>
                <w:rFonts w:ascii="Arial" w:hAnsi="Arial" w:cs="Arial"/>
                <w:sz w:val="24"/>
                <w:szCs w:val="24"/>
              </w:rPr>
              <w:t>- Na nivou Države strateški tretirati otpad (jalovinu) nastao u procesu proizvodnje minralnih resusra kao sekundarnu sirovinu. Sprovesti istraživanja za mogućnost ponovne upotrebe jalovine – tehnogene mineralne sirovine. Smanjenje količine odložene jalovine doprinelo bi smanjenju površine na kojoj se otpad deponije, što bi u konačnom indirektno uticalo na poboljšanje kvaliteta i stepen ugroženosti zemljšta.</w:t>
            </w:r>
          </w:p>
          <w:p w:rsidR="00A329F0" w:rsidRPr="00700739" w:rsidRDefault="005201A8"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U slučaju eventuelne nepogode/</w:t>
            </w:r>
            <w:r w:rsidR="009B5E40" w:rsidRPr="00700739">
              <w:rPr>
                <w:rFonts w:ascii="Arial" w:hAnsi="Arial" w:cs="Arial"/>
                <w:sz w:val="24"/>
                <w:szCs w:val="24"/>
              </w:rPr>
              <w:t>akcidenta potrebno je odmah reagovati</w:t>
            </w:r>
            <w:r w:rsidRPr="00700739">
              <w:rPr>
                <w:rFonts w:ascii="Arial" w:hAnsi="Arial" w:cs="Arial"/>
                <w:sz w:val="24"/>
                <w:szCs w:val="24"/>
              </w:rPr>
              <w:t xml:space="preserve"> i pokušati sprječiti zagađenje </w:t>
            </w:r>
            <w:r w:rsidR="009B5E40" w:rsidRPr="00700739">
              <w:rPr>
                <w:rFonts w:ascii="Arial" w:hAnsi="Arial" w:cs="Arial"/>
                <w:sz w:val="24"/>
                <w:szCs w:val="24"/>
              </w:rPr>
              <w:t>zemljišta i/ili sprovest odgvarajuću sanaciju. Ograničenjem korišćenja i upotrebe o</w:t>
            </w:r>
            <w:r w:rsidRPr="00700739">
              <w:rPr>
                <w:rFonts w:ascii="Arial" w:hAnsi="Arial" w:cs="Arial"/>
                <w:sz w:val="24"/>
                <w:szCs w:val="24"/>
              </w:rPr>
              <w:t xml:space="preserve">pasnih materijala </w:t>
            </w:r>
            <w:r w:rsidR="009A0F67" w:rsidRPr="00700739">
              <w:rPr>
                <w:rFonts w:ascii="Arial" w:hAnsi="Arial" w:cs="Arial"/>
                <w:sz w:val="24"/>
                <w:szCs w:val="24"/>
              </w:rPr>
              <w:t xml:space="preserve">tokom aktivnosti </w:t>
            </w:r>
            <w:r w:rsidR="009A0F67" w:rsidRPr="00700739">
              <w:rPr>
                <w:rFonts w:ascii="Arial" w:hAnsi="Arial" w:cs="Arial"/>
                <w:sz w:val="24"/>
                <w:szCs w:val="24"/>
              </w:rPr>
              <w:lastRenderedPageBreak/>
              <w:t>proizvodnje (iskop i upotreba mašina)</w:t>
            </w:r>
            <w:r w:rsidRPr="00700739">
              <w:rPr>
                <w:rFonts w:ascii="Arial" w:hAnsi="Arial" w:cs="Arial"/>
                <w:sz w:val="24"/>
                <w:szCs w:val="24"/>
              </w:rPr>
              <w:t xml:space="preserve"> </w:t>
            </w:r>
            <w:r w:rsidR="009B5E40" w:rsidRPr="00700739">
              <w:rPr>
                <w:rFonts w:ascii="Arial" w:hAnsi="Arial" w:cs="Arial"/>
                <w:sz w:val="24"/>
                <w:szCs w:val="24"/>
              </w:rPr>
              <w:t>može se dugoročno smanjiti rizik njihovog iz</w:t>
            </w:r>
            <w:r w:rsidR="007648BB" w:rsidRPr="00700739">
              <w:rPr>
                <w:rFonts w:ascii="Arial" w:hAnsi="Arial" w:cs="Arial"/>
                <w:sz w:val="24"/>
                <w:szCs w:val="24"/>
              </w:rPr>
              <w:t>livanja u nesrećnim slučajevima;</w:t>
            </w:r>
          </w:p>
          <w:p w:rsidR="007648BB" w:rsidRPr="00700739" w:rsidRDefault="007648BB"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 </w:t>
            </w:r>
            <w:r w:rsidR="009A0F67" w:rsidRPr="00700739">
              <w:rPr>
                <w:rFonts w:ascii="Arial" w:hAnsi="Arial" w:cs="Arial"/>
                <w:sz w:val="24"/>
                <w:szCs w:val="24"/>
              </w:rPr>
              <w:t>Rudarska</w:t>
            </w:r>
            <w:r w:rsidRPr="00700739">
              <w:rPr>
                <w:rFonts w:ascii="Arial" w:hAnsi="Arial" w:cs="Arial"/>
                <w:sz w:val="24"/>
                <w:szCs w:val="24"/>
              </w:rPr>
              <w:t xml:space="preserve"> mehanizacija i transportna v</w:t>
            </w:r>
            <w:r w:rsidR="009A0F67" w:rsidRPr="00700739">
              <w:rPr>
                <w:rFonts w:ascii="Arial" w:hAnsi="Arial" w:cs="Arial"/>
                <w:sz w:val="24"/>
                <w:szCs w:val="24"/>
              </w:rPr>
              <w:t>ozila, koja moraju biti tehniči</w:t>
            </w:r>
            <w:r w:rsidRPr="00700739">
              <w:rPr>
                <w:rFonts w:ascii="Arial" w:hAnsi="Arial" w:cs="Arial"/>
                <w:sz w:val="24"/>
                <w:szCs w:val="24"/>
              </w:rPr>
              <w:t xml:space="preserve"> bresprekorna, snadbjevaju se sa</w:t>
            </w:r>
            <w:r w:rsidR="009A0F67" w:rsidRPr="00700739">
              <w:rPr>
                <w:rFonts w:ascii="Arial" w:hAnsi="Arial" w:cs="Arial"/>
                <w:sz w:val="24"/>
                <w:szCs w:val="24"/>
              </w:rPr>
              <w:t xml:space="preserve"> </w:t>
            </w:r>
            <w:r w:rsidRPr="00700739">
              <w:rPr>
                <w:rFonts w:ascii="Arial" w:hAnsi="Arial" w:cs="Arial"/>
                <w:sz w:val="24"/>
                <w:szCs w:val="24"/>
              </w:rPr>
              <w:t xml:space="preserve">gorivom na za to namjenjenim lokacijama. U slučaju razlivanja opasnih materija iz mehanizacije odmah je potrebno sanirati zagađenu lokaciju. </w:t>
            </w:r>
            <w:r w:rsidR="009A0F67" w:rsidRPr="00700739">
              <w:rPr>
                <w:rFonts w:ascii="Arial" w:hAnsi="Arial" w:cs="Arial"/>
                <w:sz w:val="24"/>
                <w:szCs w:val="24"/>
              </w:rPr>
              <w:t>Površinski kop</w:t>
            </w:r>
            <w:r w:rsidRPr="00700739">
              <w:rPr>
                <w:rFonts w:ascii="Arial" w:hAnsi="Arial" w:cs="Arial"/>
                <w:sz w:val="24"/>
                <w:szCs w:val="24"/>
              </w:rPr>
              <w:t xml:space="preserve"> mora imati mjesto za skladi</w:t>
            </w:r>
            <w:r w:rsidR="00A51B14" w:rsidRPr="00700739">
              <w:rPr>
                <w:rFonts w:ascii="Arial" w:hAnsi="Arial" w:cs="Arial"/>
                <w:sz w:val="24"/>
                <w:szCs w:val="24"/>
              </w:rPr>
              <w:t xml:space="preserve">štenje opasnih materija koje je </w:t>
            </w:r>
            <w:r w:rsidRPr="00700739">
              <w:rPr>
                <w:rFonts w:ascii="Arial" w:hAnsi="Arial" w:cs="Arial"/>
                <w:sz w:val="24"/>
                <w:szCs w:val="24"/>
              </w:rPr>
              <w:t>odgovarajuće opremljeno. Potrebno je osigurati pravilno rukovanje mazivima, gorivom i rastvaračima putem sigurnog skladištenja, pravilan utovar goriva i održavanje opreme;</w:t>
            </w:r>
          </w:p>
          <w:p w:rsidR="007648BB" w:rsidRPr="00700739" w:rsidRDefault="007648BB"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w:t>
            </w:r>
            <w:r w:rsidR="009A0F67" w:rsidRPr="00700739">
              <w:rPr>
                <w:rFonts w:ascii="Arial" w:hAnsi="Arial" w:cs="Arial"/>
                <w:sz w:val="24"/>
                <w:szCs w:val="24"/>
              </w:rPr>
              <w:t xml:space="preserve"> </w:t>
            </w:r>
            <w:r w:rsidRPr="00700739">
              <w:rPr>
                <w:rFonts w:ascii="Arial" w:hAnsi="Arial" w:cs="Arial"/>
                <w:sz w:val="24"/>
                <w:szCs w:val="24"/>
              </w:rPr>
              <w:t>Opasni otpad predaje se ovlaščenim organima za sakupljanje opasnog otpada;</w:t>
            </w:r>
          </w:p>
          <w:p w:rsidR="007648BB" w:rsidRPr="00700739" w:rsidRDefault="007648BB"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w:t>
            </w:r>
            <w:r w:rsidR="009A0F67" w:rsidRPr="00700739">
              <w:rPr>
                <w:rFonts w:ascii="Arial" w:hAnsi="Arial" w:cs="Arial"/>
                <w:sz w:val="24"/>
                <w:szCs w:val="24"/>
              </w:rPr>
              <w:t xml:space="preserve"> </w:t>
            </w:r>
            <w:r w:rsidRPr="00700739">
              <w:rPr>
                <w:rFonts w:ascii="Arial" w:hAnsi="Arial" w:cs="Arial"/>
                <w:sz w:val="24"/>
                <w:szCs w:val="24"/>
              </w:rPr>
              <w:t>Višak iskopane plodne zemlje potrebno je namjeniti rekultivaciji drugih poljoprivrednih zemljišta odnosno eventuelnom stvaranju novih poljoprivrednih zemljišta (kompenzacija);</w:t>
            </w:r>
          </w:p>
          <w:p w:rsidR="00D667AF" w:rsidRDefault="007648BB" w:rsidP="002B273D">
            <w:pPr>
              <w:autoSpaceDE w:val="0"/>
              <w:autoSpaceDN w:val="0"/>
              <w:adjustRightInd w:val="0"/>
              <w:spacing w:after="0"/>
              <w:jc w:val="both"/>
              <w:rPr>
                <w:rFonts w:ascii="Arial" w:hAnsi="Arial" w:cs="Arial"/>
                <w:sz w:val="24"/>
                <w:szCs w:val="24"/>
              </w:rPr>
            </w:pPr>
            <w:r w:rsidRPr="00700739">
              <w:rPr>
                <w:rFonts w:ascii="Arial" w:hAnsi="Arial" w:cs="Arial"/>
                <w:sz w:val="24"/>
                <w:szCs w:val="24"/>
              </w:rPr>
              <w:t>-</w:t>
            </w:r>
            <w:r w:rsidR="009A0F67" w:rsidRPr="00700739">
              <w:rPr>
                <w:rFonts w:ascii="Arial" w:hAnsi="Arial" w:cs="Arial"/>
                <w:sz w:val="24"/>
                <w:szCs w:val="24"/>
              </w:rPr>
              <w:t xml:space="preserve"> </w:t>
            </w:r>
            <w:r w:rsidR="00D667AF">
              <w:rPr>
                <w:rFonts w:ascii="Arial" w:hAnsi="Arial" w:cs="Arial"/>
                <w:sz w:val="24"/>
                <w:szCs w:val="24"/>
              </w:rPr>
              <w:t>Obezbjediti izvođenje radova na rekultivaciji prostora koji je korišćen za potrebe eksploatacije mineralnih sirovina, prema revidovanom projektu, uz poštovanje svih mjera zaštite životne sredine, odnosno uz obezbjeđenje maksimalnog učinka rekultivacije</w:t>
            </w:r>
          </w:p>
          <w:p w:rsidR="007648BB" w:rsidRPr="00700739" w:rsidRDefault="007648BB" w:rsidP="002B273D">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-Za smanjenje negativnih posledica zbog izgubljenih poljoprivrednih zemljišta </w:t>
            </w:r>
            <w:r w:rsidR="002B273D">
              <w:rPr>
                <w:rFonts w:ascii="Arial" w:hAnsi="Arial" w:cs="Arial"/>
                <w:sz w:val="24"/>
                <w:szCs w:val="24"/>
              </w:rPr>
              <w:t>moguće</w:t>
            </w:r>
            <w:r w:rsidR="002B273D" w:rsidRPr="00700739">
              <w:rPr>
                <w:rFonts w:ascii="Arial" w:hAnsi="Arial" w:cs="Arial"/>
                <w:sz w:val="24"/>
                <w:szCs w:val="24"/>
              </w:rPr>
              <w:t xml:space="preserve"> </w:t>
            </w:r>
            <w:r w:rsidRPr="00700739">
              <w:rPr>
                <w:rFonts w:ascii="Arial" w:hAnsi="Arial" w:cs="Arial"/>
                <w:sz w:val="24"/>
                <w:szCs w:val="24"/>
              </w:rPr>
              <w:t>je obezbjediti odgovarajuće mjere kompenzacije (novčana naknada, zamjena poljoprivrednih zemljišta, itd.).</w:t>
            </w:r>
          </w:p>
        </w:tc>
      </w:tr>
      <w:tr w:rsidR="00A329F0" w:rsidRPr="00700739" w:rsidTr="00CA2879">
        <w:tc>
          <w:tcPr>
            <w:tcW w:w="1526" w:type="dxa"/>
          </w:tcPr>
          <w:p w:rsidR="00A329F0" w:rsidRPr="00700739" w:rsidRDefault="00A329F0" w:rsidP="00722DF4">
            <w:pPr>
              <w:spacing w:after="0"/>
              <w:jc w:val="both"/>
              <w:rPr>
                <w:rFonts w:ascii="Arial" w:hAnsi="Arial" w:cs="Arial"/>
                <w:b/>
                <w:sz w:val="24"/>
                <w:szCs w:val="24"/>
              </w:rPr>
            </w:pPr>
            <w:r w:rsidRPr="00700739">
              <w:rPr>
                <w:rFonts w:ascii="Arial" w:hAnsi="Arial" w:cs="Arial"/>
                <w:b/>
                <w:sz w:val="24"/>
                <w:szCs w:val="24"/>
              </w:rPr>
              <w:t>Vazduh</w:t>
            </w:r>
          </w:p>
        </w:tc>
        <w:tc>
          <w:tcPr>
            <w:tcW w:w="8050" w:type="dxa"/>
          </w:tcPr>
          <w:p w:rsidR="00D667AF" w:rsidRPr="00C836AD" w:rsidRDefault="00D667AF" w:rsidP="00D667AF">
            <w:pPr>
              <w:autoSpaceDE w:val="0"/>
              <w:autoSpaceDN w:val="0"/>
              <w:adjustRightInd w:val="0"/>
              <w:spacing w:after="0"/>
              <w:jc w:val="both"/>
              <w:rPr>
                <w:rFonts w:ascii="Arial" w:hAnsi="Arial" w:cs="Arial"/>
                <w:sz w:val="24"/>
                <w:szCs w:val="24"/>
                <w:lang w:val="sr-Latn-CS"/>
              </w:rPr>
            </w:pPr>
            <w:r>
              <w:rPr>
                <w:rFonts w:ascii="Arial" w:hAnsi="Arial" w:cs="Arial"/>
                <w:sz w:val="24"/>
                <w:szCs w:val="24"/>
              </w:rPr>
              <w:t xml:space="preserve">- </w:t>
            </w:r>
            <w:r w:rsidRPr="00D667AF">
              <w:rPr>
                <w:rFonts w:ascii="Arial" w:hAnsi="Arial" w:cs="Arial"/>
                <w:sz w:val="24"/>
                <w:szCs w:val="24"/>
              </w:rPr>
              <w:t>Potrebno je vršiti redovno orošavanje površina, jalovine i rude, i sprovoditi aktivnosti fazne rekultivacije (tehničke i biološke) na degradiranim površinama</w:t>
            </w:r>
            <w:r w:rsidRPr="00C836AD">
              <w:rPr>
                <w:rFonts w:ascii="Arial" w:hAnsi="Arial" w:cs="Arial"/>
                <w:sz w:val="24"/>
                <w:szCs w:val="24"/>
              </w:rPr>
              <w:t>.</w:t>
            </w:r>
            <w:r w:rsidRPr="00C836AD">
              <w:rPr>
                <w:rFonts w:ascii="Arial" w:hAnsi="Arial" w:cs="Arial"/>
                <w:sz w:val="24"/>
                <w:szCs w:val="24"/>
                <w:lang w:val="sr-Latn-CS"/>
              </w:rPr>
              <w:t xml:space="preserve"> Za sprečavanje emitovanja prašine sa aktivnih radnih površina, primeniti tehničko rešenje orošavanja vodom pomoću namenskih vozila (autocisterni) sa opremom za orošavanje.</w:t>
            </w:r>
          </w:p>
          <w:p w:rsidR="00D667AF" w:rsidRPr="00C836AD" w:rsidRDefault="00D667AF" w:rsidP="00D667AF">
            <w:pPr>
              <w:autoSpaceDE w:val="0"/>
              <w:autoSpaceDN w:val="0"/>
              <w:adjustRightInd w:val="0"/>
              <w:spacing w:after="0"/>
              <w:jc w:val="both"/>
              <w:rPr>
                <w:rFonts w:ascii="Arial" w:hAnsi="Arial" w:cs="Arial"/>
                <w:sz w:val="24"/>
                <w:szCs w:val="24"/>
                <w:lang w:val="hr-HR"/>
              </w:rPr>
            </w:pPr>
            <w:r w:rsidRPr="00C836AD">
              <w:rPr>
                <w:rFonts w:ascii="Arial" w:hAnsi="Arial" w:cs="Arial"/>
                <w:sz w:val="24"/>
                <w:szCs w:val="24"/>
                <w:lang w:val="sr-Latn-CS"/>
              </w:rPr>
              <w:t xml:space="preserve">- </w:t>
            </w:r>
            <w:r w:rsidRPr="00C836AD">
              <w:rPr>
                <w:rFonts w:ascii="Arial" w:hAnsi="Arial" w:cs="Arial"/>
                <w:sz w:val="24"/>
                <w:szCs w:val="24"/>
                <w:lang w:val="hr-HR"/>
              </w:rPr>
              <w:t>Kontrolu koncentracija prašine treba vršiti kako u radnim okolinama rudničkog kompleksa, tako i u području naselja u blizini rudarskih aktivnosti.</w:t>
            </w:r>
          </w:p>
          <w:p w:rsidR="00D667AF" w:rsidRPr="00C836AD" w:rsidRDefault="00D667AF" w:rsidP="00D667AF">
            <w:pPr>
              <w:autoSpaceDE w:val="0"/>
              <w:autoSpaceDN w:val="0"/>
              <w:adjustRightInd w:val="0"/>
              <w:spacing w:after="0"/>
              <w:jc w:val="both"/>
              <w:rPr>
                <w:rFonts w:ascii="Arial" w:hAnsi="Arial" w:cs="Arial"/>
                <w:sz w:val="24"/>
                <w:szCs w:val="24"/>
                <w:lang w:val="hr-HR"/>
              </w:rPr>
            </w:pPr>
            <w:r w:rsidRPr="00C836AD">
              <w:rPr>
                <w:rFonts w:ascii="Arial" w:hAnsi="Arial" w:cs="Arial"/>
                <w:sz w:val="24"/>
                <w:szCs w:val="24"/>
                <w:lang w:val="hr-HR"/>
              </w:rPr>
              <w:t>- Na prostorima na kojima je završena eksploatacija i eventualno odlaganje jalovine preporučuje se što brža rehabilitacija otvorenog prostora.</w:t>
            </w:r>
          </w:p>
          <w:p w:rsidR="00D667AF" w:rsidRPr="00C836AD" w:rsidRDefault="00D667AF" w:rsidP="00D667AF">
            <w:pPr>
              <w:autoSpaceDE w:val="0"/>
              <w:autoSpaceDN w:val="0"/>
              <w:adjustRightInd w:val="0"/>
              <w:spacing w:after="0"/>
              <w:jc w:val="both"/>
              <w:rPr>
                <w:rFonts w:ascii="Arial" w:hAnsi="Arial" w:cs="Arial"/>
                <w:sz w:val="24"/>
                <w:szCs w:val="24"/>
                <w:lang w:val="hr-HR"/>
              </w:rPr>
            </w:pPr>
            <w:r w:rsidRPr="00C836AD">
              <w:rPr>
                <w:rFonts w:ascii="Arial" w:hAnsi="Arial" w:cs="Arial"/>
                <w:sz w:val="24"/>
                <w:szCs w:val="24"/>
                <w:lang w:val="hr-HR"/>
              </w:rPr>
              <w:t xml:space="preserve">- </w:t>
            </w:r>
            <w:r w:rsidRPr="00C836AD">
              <w:rPr>
                <w:rFonts w:ascii="Arial" w:hAnsi="Arial" w:cs="Arial"/>
                <w:sz w:val="24"/>
                <w:szCs w:val="24"/>
                <w:lang w:val="sr-Latn-CS"/>
              </w:rPr>
              <w:t>S</w:t>
            </w:r>
            <w:r w:rsidRPr="00C836AD">
              <w:rPr>
                <w:rFonts w:ascii="Arial" w:hAnsi="Arial" w:cs="Arial"/>
                <w:sz w:val="24"/>
                <w:szCs w:val="24"/>
                <w:lang w:val="sr-Cyrl-CS"/>
              </w:rPr>
              <w:t>provoditi aktivnosti fazne rekultivacije (tehničke i biološke) na degradiranim površinama</w:t>
            </w:r>
          </w:p>
          <w:p w:rsidR="007E490F" w:rsidRDefault="00D667AF" w:rsidP="007E490F">
            <w:pPr>
              <w:autoSpaceDE w:val="0"/>
              <w:autoSpaceDN w:val="0"/>
              <w:adjustRightInd w:val="0"/>
              <w:spacing w:after="0"/>
              <w:jc w:val="both"/>
              <w:rPr>
                <w:rFonts w:ascii="Arial" w:hAnsi="Arial" w:cs="Arial"/>
                <w:sz w:val="24"/>
                <w:szCs w:val="24"/>
                <w:lang w:val="sr-Latn-CS"/>
              </w:rPr>
            </w:pPr>
            <w:r w:rsidRPr="00C836AD">
              <w:rPr>
                <w:rFonts w:ascii="Arial" w:hAnsi="Arial" w:cs="Arial"/>
                <w:sz w:val="24"/>
                <w:szCs w:val="24"/>
                <w:lang w:val="sr-Latn-CS"/>
              </w:rPr>
              <w:t>- Za sprečavanje izdvajanja prašine na eventualnim presipnim mestima u sistemu transporta i pretkoncentracije rude primeniti mokri postupak. Ovaj postupak predviđa orošavanje na mestima utovara</w:t>
            </w:r>
            <w:r w:rsidRPr="00D667AF">
              <w:rPr>
                <w:rFonts w:ascii="Arial" w:hAnsi="Arial" w:cs="Arial"/>
                <w:sz w:val="24"/>
                <w:szCs w:val="24"/>
                <w:lang w:val="sr-Latn-CS"/>
              </w:rPr>
              <w:t xml:space="preserve"> i pretovara.</w:t>
            </w:r>
          </w:p>
          <w:p w:rsidR="007E490F" w:rsidRPr="00D667AF" w:rsidRDefault="007E490F" w:rsidP="00D667AF">
            <w:pPr>
              <w:autoSpaceDE w:val="0"/>
              <w:autoSpaceDN w:val="0"/>
              <w:adjustRightInd w:val="0"/>
              <w:spacing w:after="0"/>
              <w:jc w:val="both"/>
              <w:rPr>
                <w:rFonts w:ascii="Arial" w:hAnsi="Arial" w:cs="Arial"/>
                <w:sz w:val="24"/>
                <w:szCs w:val="24"/>
                <w:lang w:val="sr-Latn-CS"/>
              </w:rPr>
            </w:pPr>
            <w:r>
              <w:rPr>
                <w:rFonts w:ascii="Arial" w:hAnsi="Arial" w:cs="Arial"/>
                <w:sz w:val="24"/>
                <w:szCs w:val="24"/>
                <w:lang w:val="sr-Latn-CS"/>
              </w:rPr>
              <w:t xml:space="preserve">- </w:t>
            </w:r>
            <w:r w:rsidRPr="007E490F">
              <w:rPr>
                <w:rFonts w:ascii="Arial" w:hAnsi="Arial" w:cs="Arial"/>
                <w:sz w:val="24"/>
                <w:szCs w:val="24"/>
                <w:lang w:val="sl-SI"/>
              </w:rPr>
              <w:t>U cilju zaštite od izdvajanja prašine pri prevozu rude i jalovine transportnim putevima, ukoliko je to pre svega ekološki opravdano, a posebno ako se isti vrši u bliz</w:t>
            </w:r>
            <w:r>
              <w:rPr>
                <w:rFonts w:ascii="Arial" w:hAnsi="Arial" w:cs="Arial"/>
                <w:sz w:val="24"/>
                <w:szCs w:val="24"/>
                <w:lang w:val="sl-SI"/>
              </w:rPr>
              <w:t xml:space="preserve">ni stambenih objekata, izvršiti </w:t>
            </w:r>
            <w:r w:rsidRPr="007E490F">
              <w:rPr>
                <w:rFonts w:ascii="Arial" w:hAnsi="Arial" w:cs="Arial"/>
                <w:sz w:val="24"/>
                <w:szCs w:val="24"/>
                <w:lang w:val="sl-SI"/>
              </w:rPr>
              <w:t>pokrivanje</w:t>
            </w:r>
            <w:r>
              <w:rPr>
                <w:rFonts w:ascii="Arial" w:hAnsi="Arial" w:cs="Arial"/>
                <w:sz w:val="24"/>
                <w:szCs w:val="24"/>
                <w:lang w:val="sl-SI"/>
              </w:rPr>
              <w:t xml:space="preserve"> </w:t>
            </w:r>
            <w:r>
              <w:rPr>
                <w:rFonts w:ascii="Arial" w:hAnsi="Arial" w:cs="Arial"/>
                <w:sz w:val="24"/>
                <w:szCs w:val="24"/>
                <w:lang w:val="sl-SI"/>
              </w:rPr>
              <w:lastRenderedPageBreak/>
              <w:t xml:space="preserve">sanduka kamiona pri transportu, </w:t>
            </w:r>
            <w:r w:rsidRPr="007E490F">
              <w:rPr>
                <w:rFonts w:ascii="Arial" w:hAnsi="Arial" w:cs="Arial"/>
                <w:sz w:val="24"/>
                <w:szCs w:val="24"/>
                <w:lang w:val="sl-SI"/>
              </w:rPr>
              <w:t>smanjiti brzinu kretanja vozila, kvašenje puteva vodom ili mešavinom vode i određenih hemijskih sredstava,</w:t>
            </w:r>
            <w:r>
              <w:rPr>
                <w:rFonts w:ascii="Arial" w:hAnsi="Arial" w:cs="Arial"/>
                <w:sz w:val="24"/>
                <w:szCs w:val="24"/>
                <w:lang w:val="sl-SI"/>
              </w:rPr>
              <w:t xml:space="preserve"> </w:t>
            </w:r>
            <w:r w:rsidRPr="007E490F">
              <w:rPr>
                <w:rFonts w:ascii="Arial" w:hAnsi="Arial" w:cs="Arial"/>
                <w:sz w:val="24"/>
                <w:szCs w:val="24"/>
                <w:lang w:val="sl-SI"/>
              </w:rPr>
              <w:t>asfaltiranje ili upotreba drugih kompaktnih materijala za prekrivanje glavnih puteva na kopu i prilaznih puteva naseljima.</w:t>
            </w:r>
          </w:p>
          <w:p w:rsidR="009A0F67" w:rsidRPr="00700739" w:rsidRDefault="00A329F0"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-Potrebno je obezbjediti što manje emisije u vazduh zbog zemljanih radova i upotrebe mehanizacije</w:t>
            </w:r>
            <w:r w:rsidR="009A0F67" w:rsidRPr="00700739">
              <w:rPr>
                <w:rFonts w:ascii="Arial" w:hAnsi="Arial" w:cs="Arial"/>
                <w:sz w:val="24"/>
                <w:szCs w:val="24"/>
              </w:rPr>
              <w:t xml:space="preserve"> (upotreba ispravne mehanizacije sa što boljim ekološkim performansama)</w:t>
            </w:r>
          </w:p>
          <w:p w:rsidR="002E6581" w:rsidRPr="00700739" w:rsidRDefault="00A329F0" w:rsidP="007E490F">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 </w:t>
            </w:r>
          </w:p>
        </w:tc>
      </w:tr>
      <w:tr w:rsidR="00A329F0" w:rsidRPr="00700739" w:rsidTr="00CA2879">
        <w:tc>
          <w:tcPr>
            <w:tcW w:w="1526" w:type="dxa"/>
          </w:tcPr>
          <w:p w:rsidR="00A329F0" w:rsidRPr="00700739" w:rsidRDefault="00700739" w:rsidP="00722DF4">
            <w:pPr>
              <w:spacing w:after="0"/>
              <w:jc w:val="both"/>
              <w:rPr>
                <w:rFonts w:ascii="Arial" w:hAnsi="Arial" w:cs="Arial"/>
                <w:b/>
                <w:sz w:val="24"/>
                <w:szCs w:val="24"/>
              </w:rPr>
            </w:pPr>
            <w:r w:rsidRPr="00700739">
              <w:rPr>
                <w:rFonts w:ascii="Arial" w:hAnsi="Arial" w:cs="Arial"/>
                <w:b/>
                <w:sz w:val="24"/>
                <w:szCs w:val="24"/>
              </w:rPr>
              <w:t>Kvalitet Voda</w:t>
            </w:r>
          </w:p>
        </w:tc>
        <w:tc>
          <w:tcPr>
            <w:tcW w:w="8050" w:type="dxa"/>
          </w:tcPr>
          <w:p w:rsidR="000475DD" w:rsidRPr="00700739" w:rsidRDefault="00A374FF"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-Potrebno je minimizirati</w:t>
            </w:r>
            <w:r w:rsidR="000475DD" w:rsidRPr="00700739">
              <w:rPr>
                <w:rFonts w:ascii="Arial" w:hAnsi="Arial" w:cs="Arial"/>
                <w:sz w:val="24"/>
                <w:szCs w:val="24"/>
              </w:rPr>
              <w:t xml:space="preserve"> sve aktivnosti koje za cilj imaju promjene u koritima vodotoka, a koje indirektno utiču i na režim podzmenih voda.</w:t>
            </w:r>
          </w:p>
          <w:p w:rsidR="00A374FF" w:rsidRPr="00700739" w:rsidRDefault="00A374FF"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 Potrebno je maksimalno očuvanje prirodnih korita vodotoka, zbog čega se regulacije korita vodotoka sprovede samo na mjestima, gdje je to neophodno. </w:t>
            </w:r>
          </w:p>
          <w:p w:rsidR="004D3D2F" w:rsidRDefault="004D3D2F"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-Posebna pažnja potrebna je kod radova u blizini vodnih površina, da se na minimum smanji rizik od neposrednog zagađenja površinske vode</w:t>
            </w:r>
            <w:r w:rsidR="007E490F">
              <w:rPr>
                <w:rFonts w:ascii="Arial" w:hAnsi="Arial" w:cs="Arial"/>
                <w:sz w:val="24"/>
                <w:szCs w:val="24"/>
              </w:rPr>
              <w:t>. Obavezno je obezbjediti nulto stanje vodotokova i stanja kvaliteta podzemnih voda  u širim zonama rudarskih radova</w:t>
            </w:r>
          </w:p>
          <w:p w:rsidR="007E490F" w:rsidRPr="007E490F" w:rsidRDefault="007E490F" w:rsidP="007E490F">
            <w:pPr>
              <w:autoSpaceDE w:val="0"/>
              <w:autoSpaceDN w:val="0"/>
              <w:adjustRightInd w:val="0"/>
              <w:rPr>
                <w:rFonts w:ascii="Arial" w:hAnsi="Arial" w:cs="Arial"/>
                <w:sz w:val="24"/>
                <w:szCs w:val="24"/>
                <w:lang w:val="pl-PL"/>
              </w:rPr>
            </w:pPr>
            <w:r w:rsidRPr="007E490F">
              <w:rPr>
                <w:rFonts w:ascii="Arial" w:hAnsi="Arial" w:cs="Arial"/>
                <w:sz w:val="24"/>
                <w:szCs w:val="24"/>
              </w:rPr>
              <w:t xml:space="preserve">- </w:t>
            </w:r>
            <w:r w:rsidRPr="007E490F">
              <w:rPr>
                <w:rFonts w:ascii="Arial" w:hAnsi="Arial" w:cs="Arial"/>
                <w:sz w:val="24"/>
                <w:szCs w:val="24"/>
                <w:lang w:val="pl-PL"/>
              </w:rPr>
              <w:t xml:space="preserve">Primjeniti </w:t>
            </w:r>
            <w:r>
              <w:rPr>
                <w:rFonts w:ascii="Arial" w:hAnsi="Arial" w:cs="Arial"/>
                <w:sz w:val="24"/>
                <w:szCs w:val="24"/>
                <w:lang w:val="pl-PL"/>
              </w:rPr>
              <w:t xml:space="preserve">odgovarajuće </w:t>
            </w:r>
            <w:r w:rsidRPr="007E490F">
              <w:rPr>
                <w:rFonts w:ascii="Arial" w:hAnsi="Arial" w:cs="Arial"/>
                <w:sz w:val="24"/>
                <w:szCs w:val="24"/>
                <w:lang w:val="pl-PL"/>
              </w:rPr>
              <w:t>tretmane u cilju smanjivanja kiselosti rudničkih voda</w:t>
            </w:r>
            <w:r w:rsidR="00F46C86">
              <w:rPr>
                <w:rFonts w:ascii="Arial" w:hAnsi="Arial" w:cs="Arial"/>
                <w:sz w:val="24"/>
                <w:szCs w:val="24"/>
                <w:lang w:val="pl-PL"/>
              </w:rPr>
              <w:t xml:space="preserve"> i koncentracije teških metala.</w:t>
            </w:r>
            <w:r w:rsidRPr="007E490F">
              <w:rPr>
                <w:rFonts w:ascii="Arial" w:hAnsi="Arial" w:cs="Arial"/>
                <w:sz w:val="24"/>
                <w:szCs w:val="24"/>
                <w:lang w:val="pl-PL"/>
              </w:rPr>
              <w:t xml:space="preserve"> </w:t>
            </w:r>
          </w:p>
          <w:p w:rsidR="007E490F" w:rsidRPr="00700739" w:rsidRDefault="007E490F" w:rsidP="00722DF4">
            <w:pPr>
              <w:autoSpaceDE w:val="0"/>
              <w:autoSpaceDN w:val="0"/>
              <w:adjustRightInd w:val="0"/>
              <w:spacing w:after="0"/>
              <w:jc w:val="both"/>
              <w:rPr>
                <w:rFonts w:ascii="Arial" w:hAnsi="Arial" w:cs="Arial"/>
                <w:sz w:val="24"/>
                <w:szCs w:val="24"/>
              </w:rPr>
            </w:pPr>
          </w:p>
          <w:p w:rsidR="00131FF9" w:rsidRPr="00700739" w:rsidRDefault="000475DD"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-Na površinama na kojima se izvodi eksploatacija mineralnih sirovina</w:t>
            </w:r>
            <w:r w:rsidR="004D3D2F" w:rsidRPr="00700739">
              <w:rPr>
                <w:rFonts w:ascii="Arial" w:hAnsi="Arial" w:cs="Arial"/>
                <w:sz w:val="24"/>
                <w:szCs w:val="24"/>
              </w:rPr>
              <w:t xml:space="preserve"> je potrebno osigurati kompaktni vodoneprepustivi sloj na p</w:t>
            </w:r>
            <w:r w:rsidR="009A2DA2" w:rsidRPr="00700739">
              <w:rPr>
                <w:rFonts w:ascii="Arial" w:hAnsi="Arial" w:cs="Arial"/>
                <w:sz w:val="24"/>
                <w:szCs w:val="24"/>
              </w:rPr>
              <w:t xml:space="preserve">arkirnim površinama, površinama </w:t>
            </w:r>
            <w:r w:rsidR="004D3D2F" w:rsidRPr="00700739">
              <w:rPr>
                <w:rFonts w:ascii="Arial" w:hAnsi="Arial" w:cs="Arial"/>
                <w:sz w:val="24"/>
                <w:szCs w:val="24"/>
              </w:rPr>
              <w:t>namjenjenih za čuvanje i točenje goriva, u mehaničkim radionicama, itd. Potrebno je obezbediti odgovarajuće</w:t>
            </w:r>
            <w:r w:rsidR="00131FF9" w:rsidRPr="00700739">
              <w:rPr>
                <w:rFonts w:ascii="Arial" w:hAnsi="Arial" w:cs="Arial"/>
                <w:sz w:val="24"/>
                <w:szCs w:val="24"/>
              </w:rPr>
              <w:t xml:space="preserve"> dreniranje područja, kako u cilju zaštite podzemnih i površinskih voda, tako i u cilju zaštite kosina od nestabilnosti;</w:t>
            </w:r>
            <w:r w:rsidR="004D3D2F" w:rsidRPr="00700739">
              <w:rPr>
                <w:rFonts w:ascii="Arial" w:hAnsi="Arial" w:cs="Arial"/>
                <w:sz w:val="24"/>
                <w:szCs w:val="24"/>
              </w:rPr>
              <w:t xml:space="preserve"> </w:t>
            </w:r>
          </w:p>
          <w:p w:rsidR="004D3D2F" w:rsidRPr="00700739" w:rsidRDefault="004D3D2F"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-Otpadne komun</w:t>
            </w:r>
            <w:r w:rsidR="00131FF9" w:rsidRPr="00700739">
              <w:rPr>
                <w:rFonts w:ascii="Arial" w:hAnsi="Arial" w:cs="Arial"/>
                <w:sz w:val="24"/>
                <w:szCs w:val="24"/>
              </w:rPr>
              <w:t xml:space="preserve">alne vode iz pratećih objekata </w:t>
            </w:r>
            <w:r w:rsidRPr="00700739">
              <w:rPr>
                <w:rFonts w:ascii="Arial" w:hAnsi="Arial" w:cs="Arial"/>
                <w:sz w:val="24"/>
                <w:szCs w:val="24"/>
              </w:rPr>
              <w:t>je potrebno sakupljati i odvoditi posredstvom kanalizacione mreže. U slučaju nepostojanja kanalizacione mreže otpadne vode je potrebno sakupljati u vodonepropusnoj jami, koja se periodično prazni od strane nadležne organizaciji, ili prečišćava vlastitim sistemom;</w:t>
            </w:r>
          </w:p>
          <w:p w:rsidR="00CD4BB1" w:rsidRPr="00700739" w:rsidRDefault="004D3D2F"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-Potrebno je poštovanje maksimalnih dopuštenih koncentracija opasnih i štetnih materija u otpadnim vodama koje se smiju ispuštati u recipijent ili u javnu kanakizaciju prema </w:t>
            </w:r>
            <w:r w:rsidR="00CD4BB1" w:rsidRPr="00700739">
              <w:rPr>
                <w:rFonts w:ascii="Arial" w:hAnsi="Arial" w:cs="Arial"/>
                <w:sz w:val="24"/>
                <w:szCs w:val="24"/>
              </w:rPr>
              <w:t>Pravilnik o kvalitetu i sanitarno-tehničkim uslovima za ispuštanje otpadnih voda u recipijent i javnu kanalizaciju, načinu i postupku ispitivanja kvaliteta otpadnih voda, minimalnom broju ispitivanja i sadržaju izvještaja o utvrđenom kvalitetu otpadnih voda("Sl. list Crne Gore", br. 45/08 od 31</w:t>
            </w:r>
            <w:r w:rsidR="00131FF9" w:rsidRPr="00700739">
              <w:rPr>
                <w:rFonts w:ascii="Arial" w:hAnsi="Arial" w:cs="Arial"/>
                <w:sz w:val="24"/>
                <w:szCs w:val="24"/>
              </w:rPr>
              <w:t xml:space="preserve">.07.2008 I 59/13 od 26.12.2013). Ovo se </w:t>
            </w:r>
            <w:r w:rsidR="00131FF9" w:rsidRPr="00700739">
              <w:rPr>
                <w:rFonts w:ascii="Arial" w:hAnsi="Arial" w:cs="Arial"/>
                <w:sz w:val="24"/>
                <w:szCs w:val="24"/>
              </w:rPr>
              <w:lastRenderedPageBreak/>
              <w:t xml:space="preserve">posebno odnosi na eksploataciju mineralnih sirovina uslijed čije tehnologije dolazi do stvaranja otpadnih voda koje mogu imati visok sadržaj opasnih materija; </w:t>
            </w:r>
          </w:p>
          <w:p w:rsidR="00320257" w:rsidRPr="00700739" w:rsidRDefault="00CD4BB1"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w:t>
            </w:r>
            <w:r w:rsidR="004D3D2F" w:rsidRPr="00700739">
              <w:rPr>
                <w:rFonts w:ascii="Arial" w:hAnsi="Arial" w:cs="Arial"/>
                <w:sz w:val="24"/>
                <w:szCs w:val="24"/>
              </w:rPr>
              <w:t>Potrebno je poštovanje propisanih režima zaštite (podzemnih i površinskih</w:t>
            </w:r>
            <w:r w:rsidR="00131FF9" w:rsidRPr="00700739">
              <w:rPr>
                <w:rFonts w:ascii="Arial" w:hAnsi="Arial" w:cs="Arial"/>
                <w:sz w:val="24"/>
                <w:szCs w:val="24"/>
              </w:rPr>
              <w:t xml:space="preserve">) izvorišta vodosnabdijevanja, kao i </w:t>
            </w:r>
            <w:r w:rsidR="009A2DA2" w:rsidRPr="00700739">
              <w:rPr>
                <w:rFonts w:ascii="Arial" w:hAnsi="Arial" w:cs="Arial"/>
                <w:sz w:val="24"/>
                <w:szCs w:val="24"/>
              </w:rPr>
              <w:t xml:space="preserve"> </w:t>
            </w:r>
            <w:r w:rsidR="00131FF9" w:rsidRPr="00700739">
              <w:rPr>
                <w:rFonts w:ascii="Arial" w:hAnsi="Arial" w:cs="Arial"/>
                <w:sz w:val="24"/>
                <w:szCs w:val="24"/>
              </w:rPr>
              <w:t>predviđanje svih</w:t>
            </w:r>
            <w:r w:rsidR="004D3D2F" w:rsidRPr="00700739">
              <w:rPr>
                <w:rFonts w:ascii="Arial" w:hAnsi="Arial" w:cs="Arial"/>
                <w:sz w:val="24"/>
                <w:szCs w:val="24"/>
              </w:rPr>
              <w:t xml:space="preserve"> neopho</w:t>
            </w:r>
            <w:r w:rsidR="00131FF9" w:rsidRPr="00700739">
              <w:rPr>
                <w:rFonts w:ascii="Arial" w:hAnsi="Arial" w:cs="Arial"/>
                <w:sz w:val="24"/>
                <w:szCs w:val="24"/>
              </w:rPr>
              <w:t>dnih</w:t>
            </w:r>
            <w:r w:rsidR="004D3D2F" w:rsidRPr="00700739">
              <w:rPr>
                <w:rFonts w:ascii="Arial" w:hAnsi="Arial" w:cs="Arial"/>
                <w:sz w:val="24"/>
                <w:szCs w:val="24"/>
              </w:rPr>
              <w:t xml:space="preserve"> mjer</w:t>
            </w:r>
            <w:r w:rsidR="00131FF9" w:rsidRPr="00700739">
              <w:rPr>
                <w:rFonts w:ascii="Arial" w:hAnsi="Arial" w:cs="Arial"/>
                <w:sz w:val="24"/>
                <w:szCs w:val="24"/>
              </w:rPr>
              <w:t>a</w:t>
            </w:r>
            <w:r w:rsidR="004D3D2F" w:rsidRPr="00700739">
              <w:rPr>
                <w:rFonts w:ascii="Arial" w:hAnsi="Arial" w:cs="Arial"/>
                <w:sz w:val="24"/>
                <w:szCs w:val="24"/>
              </w:rPr>
              <w:t xml:space="preserve"> zaštite voda i zemljišta od zagađivanja u norm</w:t>
            </w:r>
            <w:r w:rsidRPr="00700739">
              <w:rPr>
                <w:rFonts w:ascii="Arial" w:hAnsi="Arial" w:cs="Arial"/>
                <w:sz w:val="24"/>
                <w:szCs w:val="24"/>
              </w:rPr>
              <w:t>alnim i akcidentnim situacijama;</w:t>
            </w:r>
          </w:p>
        </w:tc>
      </w:tr>
      <w:tr w:rsidR="00A329F0" w:rsidRPr="00700739" w:rsidTr="00CA2879">
        <w:tc>
          <w:tcPr>
            <w:tcW w:w="1526" w:type="dxa"/>
          </w:tcPr>
          <w:p w:rsidR="00A329F0" w:rsidRPr="00700739" w:rsidRDefault="00DE7FDF" w:rsidP="00722DF4">
            <w:pPr>
              <w:spacing w:after="0"/>
              <w:jc w:val="both"/>
              <w:rPr>
                <w:rFonts w:ascii="Arial" w:hAnsi="Arial" w:cs="Arial"/>
                <w:b/>
                <w:sz w:val="24"/>
                <w:szCs w:val="24"/>
              </w:rPr>
            </w:pPr>
            <w:r>
              <w:rPr>
                <w:rFonts w:ascii="Arial" w:hAnsi="Arial" w:cs="Arial"/>
                <w:b/>
                <w:sz w:val="24"/>
                <w:szCs w:val="24"/>
              </w:rPr>
              <w:t>Biodiverzitet</w:t>
            </w:r>
            <w:r w:rsidRPr="00700739">
              <w:rPr>
                <w:rFonts w:ascii="Arial" w:hAnsi="Arial" w:cs="Arial"/>
                <w:b/>
                <w:sz w:val="24"/>
                <w:szCs w:val="24"/>
              </w:rPr>
              <w:t xml:space="preserve"> </w:t>
            </w:r>
            <w:r w:rsidR="000F14E3" w:rsidRPr="00700739">
              <w:rPr>
                <w:rFonts w:ascii="Arial" w:hAnsi="Arial" w:cs="Arial"/>
                <w:b/>
                <w:sz w:val="24"/>
                <w:szCs w:val="24"/>
              </w:rPr>
              <w:t>i zaštićena prirodna dobra</w:t>
            </w:r>
          </w:p>
        </w:tc>
        <w:tc>
          <w:tcPr>
            <w:tcW w:w="8050" w:type="dxa"/>
          </w:tcPr>
          <w:p w:rsidR="00131FF9" w:rsidRDefault="00131FF9"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 Obevezno voditi računa o područjima koja su zaštićena, kao i o područjima koja su predložena za zaštitu. Potrebno je posebnu pažnju posvestiti otvaranju novih područja za eventualnu eksploataciju mineralnih sirovina, kako bi se spriječili konflikti u prostoru; </w:t>
            </w:r>
          </w:p>
          <w:p w:rsidR="00DE7FDF" w:rsidRPr="00700739" w:rsidRDefault="00DE7FDF" w:rsidP="00722DF4">
            <w:pPr>
              <w:autoSpaceDE w:val="0"/>
              <w:autoSpaceDN w:val="0"/>
              <w:adjustRightInd w:val="0"/>
              <w:spacing w:after="0"/>
              <w:jc w:val="both"/>
              <w:rPr>
                <w:rFonts w:ascii="Arial" w:hAnsi="Arial" w:cs="Arial"/>
                <w:sz w:val="24"/>
                <w:szCs w:val="24"/>
              </w:rPr>
            </w:pPr>
            <w:r>
              <w:rPr>
                <w:rFonts w:ascii="Arial" w:hAnsi="Arial" w:cs="Arial"/>
                <w:sz w:val="24"/>
                <w:szCs w:val="24"/>
              </w:rPr>
              <w:t>- Neophodno je prije širenja kopa/otvaranja novih kopova uraditi detaljna istraživanja flore i faune ciljnog područja, kako bi se izbjeglo uništavanje subpopulacije neke rijetke i ugrožene vrste</w:t>
            </w:r>
          </w:p>
          <w:p w:rsidR="00131FF9" w:rsidRPr="00700739" w:rsidRDefault="00131FF9"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w:t>
            </w:r>
            <w:r w:rsidR="00F5562A" w:rsidRPr="00700739">
              <w:rPr>
                <w:rFonts w:ascii="Arial" w:hAnsi="Arial" w:cs="Arial"/>
                <w:sz w:val="24"/>
                <w:szCs w:val="24"/>
              </w:rPr>
              <w:t xml:space="preserve"> </w:t>
            </w:r>
            <w:r w:rsidRPr="00700739">
              <w:rPr>
                <w:rFonts w:ascii="Arial" w:hAnsi="Arial" w:cs="Arial"/>
                <w:sz w:val="24"/>
                <w:szCs w:val="24"/>
              </w:rPr>
              <w:t>Obavezna je rekultivacija</w:t>
            </w:r>
            <w:r w:rsidR="007D0691" w:rsidRPr="00700739">
              <w:rPr>
                <w:rFonts w:ascii="Arial" w:hAnsi="Arial" w:cs="Arial"/>
                <w:sz w:val="24"/>
                <w:szCs w:val="24"/>
              </w:rPr>
              <w:t xml:space="preserve"> i pejzažno uređenje </w:t>
            </w:r>
            <w:r w:rsidRPr="00700739">
              <w:rPr>
                <w:rFonts w:ascii="Arial" w:hAnsi="Arial" w:cs="Arial"/>
                <w:sz w:val="24"/>
                <w:szCs w:val="24"/>
              </w:rPr>
              <w:t>područja u kojima je eksploatacija završena;</w:t>
            </w:r>
          </w:p>
          <w:p w:rsidR="000F14E3" w:rsidRPr="00700739" w:rsidRDefault="00131FF9"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U cilju zaštite prirode i životne sredine potrebno je sporovditi sve zakonske postpuke prilkom projektovanja i sanacije jalovišta</w:t>
            </w:r>
          </w:p>
        </w:tc>
      </w:tr>
      <w:tr w:rsidR="00A329F0" w:rsidRPr="00700739" w:rsidTr="00CA2879">
        <w:tc>
          <w:tcPr>
            <w:tcW w:w="1526" w:type="dxa"/>
          </w:tcPr>
          <w:p w:rsidR="00A329F0" w:rsidRPr="00700739" w:rsidRDefault="00A329F0" w:rsidP="00722DF4">
            <w:pPr>
              <w:spacing w:after="0"/>
              <w:jc w:val="both"/>
              <w:rPr>
                <w:rFonts w:ascii="Arial" w:hAnsi="Arial" w:cs="Arial"/>
                <w:b/>
                <w:sz w:val="24"/>
                <w:szCs w:val="24"/>
              </w:rPr>
            </w:pPr>
            <w:r w:rsidRPr="00700739">
              <w:rPr>
                <w:rFonts w:ascii="Arial" w:hAnsi="Arial" w:cs="Arial"/>
                <w:b/>
                <w:sz w:val="24"/>
                <w:szCs w:val="24"/>
              </w:rPr>
              <w:t>Buka</w:t>
            </w:r>
            <w:r w:rsidR="00700739" w:rsidRPr="00700739">
              <w:rPr>
                <w:rFonts w:ascii="Arial" w:hAnsi="Arial" w:cs="Arial"/>
                <w:b/>
                <w:sz w:val="24"/>
                <w:szCs w:val="24"/>
              </w:rPr>
              <w:t xml:space="preserve"> i vibracije</w:t>
            </w:r>
          </w:p>
        </w:tc>
        <w:tc>
          <w:tcPr>
            <w:tcW w:w="8050" w:type="dxa"/>
          </w:tcPr>
          <w:p w:rsidR="00500DEF" w:rsidRPr="00500DEF" w:rsidRDefault="00500DEF" w:rsidP="00500DEF">
            <w:pPr>
              <w:autoSpaceDE w:val="0"/>
              <w:autoSpaceDN w:val="0"/>
              <w:adjustRightInd w:val="0"/>
              <w:spacing w:after="0"/>
              <w:jc w:val="both"/>
              <w:rPr>
                <w:rFonts w:ascii="Arial" w:hAnsi="Arial" w:cs="Arial"/>
                <w:sz w:val="24"/>
                <w:szCs w:val="24"/>
                <w:lang w:val="sr-Latn-CS"/>
              </w:rPr>
            </w:pPr>
            <w:r>
              <w:rPr>
                <w:rFonts w:ascii="Arial" w:hAnsi="Arial" w:cs="Arial"/>
                <w:sz w:val="24"/>
                <w:szCs w:val="24"/>
              </w:rPr>
              <w:t xml:space="preserve"> Obezbjediti da se sporvode mjere zaštite od buke sa važećim propisima (Pravilnik </w:t>
            </w:r>
            <w:r w:rsidRPr="00500DEF">
              <w:rPr>
                <w:rFonts w:ascii="Arial" w:hAnsi="Arial" w:cs="Arial"/>
                <w:sz w:val="24"/>
                <w:szCs w:val="24"/>
              </w:rPr>
              <w:t>o dozvoljenim graničnim vrijednostim</w:t>
            </w:r>
            <w:r>
              <w:rPr>
                <w:rFonts w:ascii="Arial" w:hAnsi="Arial" w:cs="Arial"/>
                <w:sz w:val="24"/>
                <w:szCs w:val="24"/>
              </w:rPr>
              <w:t xml:space="preserve">a nivoa buke u životnoj sredini, </w:t>
            </w:r>
            <w:r w:rsidRPr="00500DEF">
              <w:rPr>
                <w:rFonts w:ascii="Arial" w:hAnsi="Arial" w:cs="Arial"/>
                <w:sz w:val="24"/>
                <w:szCs w:val="24"/>
              </w:rPr>
              <w:t>Sl.list RCG 75/06)</w:t>
            </w:r>
          </w:p>
          <w:p w:rsidR="00E86D30" w:rsidRPr="00700739" w:rsidRDefault="00500DEF" w:rsidP="00722DF4">
            <w:pPr>
              <w:autoSpaceDE w:val="0"/>
              <w:autoSpaceDN w:val="0"/>
              <w:adjustRightInd w:val="0"/>
              <w:spacing w:after="0"/>
              <w:jc w:val="both"/>
              <w:rPr>
                <w:rFonts w:ascii="Arial" w:hAnsi="Arial" w:cs="Arial"/>
                <w:sz w:val="24"/>
                <w:szCs w:val="24"/>
              </w:rPr>
            </w:pPr>
            <w:r>
              <w:rPr>
                <w:rFonts w:ascii="Arial" w:hAnsi="Arial" w:cs="Arial"/>
                <w:sz w:val="24"/>
                <w:szCs w:val="24"/>
              </w:rPr>
              <w:t xml:space="preserve">- </w:t>
            </w:r>
            <w:r w:rsidR="00E86D30" w:rsidRPr="00700739">
              <w:rPr>
                <w:rFonts w:ascii="Arial" w:hAnsi="Arial" w:cs="Arial"/>
                <w:sz w:val="24"/>
                <w:szCs w:val="24"/>
              </w:rPr>
              <w:t>Sprovode se mjere zaštite od buke vezane za izbor i upotrebu niskobučnih (''tihih'') mašina, uređaja, sredstava za rad i transport, t.j. primjenom najbolje dostupnih tehnika koje su tehnički i ekonomski isplative;</w:t>
            </w:r>
          </w:p>
          <w:p w:rsidR="00F5562A" w:rsidRPr="00700739" w:rsidRDefault="00F5562A"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Prilikom planiranja minerskih aktivnosti posebnu pažnju posvetiti zaštiti od buke i vibracija</w:t>
            </w:r>
            <w:r w:rsidR="00F46C86">
              <w:rPr>
                <w:rFonts w:ascii="Arial" w:hAnsi="Arial" w:cs="Arial"/>
                <w:sz w:val="24"/>
                <w:szCs w:val="24"/>
              </w:rPr>
              <w:t xml:space="preserve"> i zaštiti objekata</w:t>
            </w:r>
            <w:r w:rsidRPr="00700739">
              <w:rPr>
                <w:rFonts w:ascii="Arial" w:hAnsi="Arial" w:cs="Arial"/>
                <w:sz w:val="24"/>
                <w:szCs w:val="24"/>
              </w:rPr>
              <w:t>;</w:t>
            </w:r>
          </w:p>
          <w:p w:rsidR="00E86D30" w:rsidRPr="00700739" w:rsidRDefault="00E86D30"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-Upotrebljene mašine, transportna sredstva i druga oprema moraju biti us</w:t>
            </w:r>
            <w:r w:rsidR="009A2DA2" w:rsidRPr="00700739">
              <w:rPr>
                <w:rFonts w:ascii="Arial" w:hAnsi="Arial" w:cs="Arial"/>
                <w:sz w:val="24"/>
                <w:szCs w:val="24"/>
              </w:rPr>
              <w:t xml:space="preserve">klađeni sa propisanim tehničkim </w:t>
            </w:r>
            <w:r w:rsidRPr="00700739">
              <w:rPr>
                <w:rFonts w:ascii="Arial" w:hAnsi="Arial" w:cs="Arial"/>
                <w:sz w:val="24"/>
                <w:szCs w:val="24"/>
              </w:rPr>
              <w:t>standardima koji se odnose na granični nivo buke, a podaci o zvučnoj snazi koju emituju moraju biti označeni na proizvodu u skladu sa posebnim propisima kao i smjernicama i normama Evropske unije;</w:t>
            </w:r>
          </w:p>
          <w:p w:rsidR="00E86D30" w:rsidRPr="00700739" w:rsidRDefault="00E86D30"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-Potrebno je razmatrati potrebu postavljanja privremenih</w:t>
            </w:r>
            <w:r w:rsidR="00500DEF">
              <w:rPr>
                <w:rFonts w:ascii="Arial" w:hAnsi="Arial" w:cs="Arial"/>
                <w:sz w:val="24"/>
                <w:szCs w:val="24"/>
              </w:rPr>
              <w:t xml:space="preserve"> fizičkih</w:t>
            </w:r>
            <w:r w:rsidRPr="00700739">
              <w:rPr>
                <w:rFonts w:ascii="Arial" w:hAnsi="Arial" w:cs="Arial"/>
                <w:sz w:val="24"/>
                <w:szCs w:val="24"/>
              </w:rPr>
              <w:t xml:space="preserve"> barijera ili zaštita od buke kod radova u blizini osjetljivih lokacija (npr. kuće, škole, bolnice, itd.)</w:t>
            </w:r>
            <w:r w:rsidR="00500DEF">
              <w:rPr>
                <w:rFonts w:ascii="Arial" w:hAnsi="Arial" w:cs="Arial"/>
                <w:sz w:val="24"/>
                <w:szCs w:val="24"/>
              </w:rPr>
              <w:t>. Jedna od mjera može biti postavljanje zelenog zaštitnog pojasa</w:t>
            </w:r>
            <w:r w:rsidRPr="00700739">
              <w:rPr>
                <w:rFonts w:ascii="Arial" w:hAnsi="Arial" w:cs="Arial"/>
                <w:sz w:val="24"/>
                <w:szCs w:val="24"/>
              </w:rPr>
              <w:t>;</w:t>
            </w:r>
          </w:p>
          <w:p w:rsidR="00A329F0" w:rsidRPr="00700739" w:rsidRDefault="00E86D30"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-Potencialnu mjeru za sprečavanje uticaja od buke predstavlja i </w:t>
            </w:r>
            <w:r w:rsidR="00182B40" w:rsidRPr="00700739">
              <w:rPr>
                <w:rFonts w:ascii="Arial" w:hAnsi="Arial" w:cs="Arial"/>
                <w:sz w:val="24"/>
                <w:szCs w:val="24"/>
              </w:rPr>
              <w:t>eksproprijacija</w:t>
            </w:r>
            <w:r w:rsidRPr="00700739">
              <w:rPr>
                <w:rFonts w:ascii="Arial" w:hAnsi="Arial" w:cs="Arial"/>
                <w:sz w:val="24"/>
                <w:szCs w:val="24"/>
              </w:rPr>
              <w:t xml:space="preserve"> imovine </w:t>
            </w:r>
            <w:r w:rsidR="00182B40" w:rsidRPr="00700739">
              <w:rPr>
                <w:rFonts w:ascii="Arial" w:hAnsi="Arial" w:cs="Arial"/>
                <w:sz w:val="24"/>
                <w:szCs w:val="24"/>
              </w:rPr>
              <w:t>i ra</w:t>
            </w:r>
            <w:r w:rsidRPr="00700739">
              <w:rPr>
                <w:rFonts w:ascii="Arial" w:hAnsi="Arial" w:cs="Arial"/>
                <w:sz w:val="24"/>
                <w:szCs w:val="24"/>
              </w:rPr>
              <w:t>seljenje ljudi iz zone</w:t>
            </w:r>
            <w:r w:rsidR="00182B40" w:rsidRPr="00700739">
              <w:rPr>
                <w:rFonts w:ascii="Arial" w:hAnsi="Arial" w:cs="Arial"/>
                <w:sz w:val="24"/>
                <w:szCs w:val="24"/>
              </w:rPr>
              <w:t xml:space="preserve"> prekomjerne buke.</w:t>
            </w:r>
          </w:p>
        </w:tc>
      </w:tr>
      <w:tr w:rsidR="00A329F0" w:rsidRPr="00700739" w:rsidTr="00CA2879">
        <w:tc>
          <w:tcPr>
            <w:tcW w:w="1526" w:type="dxa"/>
          </w:tcPr>
          <w:p w:rsidR="00A329F0" w:rsidRPr="00700739" w:rsidRDefault="00700739" w:rsidP="00722DF4">
            <w:pPr>
              <w:spacing w:after="0"/>
              <w:jc w:val="both"/>
              <w:rPr>
                <w:rFonts w:ascii="Arial" w:hAnsi="Arial" w:cs="Arial"/>
                <w:b/>
                <w:sz w:val="24"/>
                <w:szCs w:val="24"/>
              </w:rPr>
            </w:pPr>
            <w:r w:rsidRPr="00700739">
              <w:rPr>
                <w:rFonts w:ascii="Arial" w:hAnsi="Arial" w:cs="Arial"/>
                <w:b/>
                <w:sz w:val="24"/>
                <w:szCs w:val="24"/>
              </w:rPr>
              <w:lastRenderedPageBreak/>
              <w:t>Lokalno stanovništvo</w:t>
            </w:r>
          </w:p>
        </w:tc>
        <w:tc>
          <w:tcPr>
            <w:tcW w:w="8050" w:type="dxa"/>
          </w:tcPr>
          <w:p w:rsidR="00F5562A" w:rsidRDefault="00C05E09" w:rsidP="00500DEF">
            <w:pPr>
              <w:autoSpaceDE w:val="0"/>
              <w:autoSpaceDN w:val="0"/>
              <w:adjustRightInd w:val="0"/>
              <w:spacing w:after="0"/>
              <w:jc w:val="both"/>
              <w:rPr>
                <w:rFonts w:ascii="Arial" w:hAnsi="Arial" w:cs="Arial"/>
                <w:sz w:val="24"/>
                <w:szCs w:val="24"/>
              </w:rPr>
            </w:pPr>
            <w:r w:rsidRPr="00700739">
              <w:rPr>
                <w:rFonts w:ascii="Arial" w:hAnsi="Arial" w:cs="Arial"/>
                <w:sz w:val="24"/>
                <w:szCs w:val="24"/>
              </w:rPr>
              <w:t xml:space="preserve">- </w:t>
            </w:r>
            <w:r w:rsidR="00500DEF">
              <w:rPr>
                <w:rFonts w:ascii="Arial" w:hAnsi="Arial" w:cs="Arial"/>
                <w:sz w:val="24"/>
                <w:szCs w:val="24"/>
              </w:rPr>
              <w:t>Obezbjediti sprovođenje</w:t>
            </w:r>
            <w:r w:rsidRPr="00700739">
              <w:rPr>
                <w:rFonts w:ascii="Arial" w:hAnsi="Arial" w:cs="Arial"/>
                <w:sz w:val="24"/>
                <w:szCs w:val="24"/>
              </w:rPr>
              <w:t xml:space="preserve"> programa mjera za problematične zone u </w:t>
            </w:r>
            <w:r w:rsidR="00F5562A" w:rsidRPr="00700739">
              <w:rPr>
                <w:rFonts w:ascii="Arial" w:hAnsi="Arial" w:cs="Arial"/>
                <w:sz w:val="24"/>
                <w:szCs w:val="24"/>
              </w:rPr>
              <w:t>cilju smanjenja koncentracije prašine u vazduhu uslijed površinske eksploatacije</w:t>
            </w:r>
            <w:r w:rsidR="000D407B" w:rsidRPr="00700739">
              <w:rPr>
                <w:rFonts w:ascii="Arial" w:hAnsi="Arial" w:cs="Arial"/>
                <w:sz w:val="24"/>
                <w:szCs w:val="24"/>
              </w:rPr>
              <w:t>;</w:t>
            </w:r>
          </w:p>
          <w:p w:rsidR="00500DEF" w:rsidRPr="00700739" w:rsidRDefault="00500DEF" w:rsidP="00500DEF">
            <w:pPr>
              <w:autoSpaceDE w:val="0"/>
              <w:autoSpaceDN w:val="0"/>
              <w:adjustRightInd w:val="0"/>
              <w:spacing w:after="0"/>
              <w:jc w:val="both"/>
              <w:rPr>
                <w:rFonts w:ascii="Arial" w:hAnsi="Arial" w:cs="Arial"/>
                <w:sz w:val="24"/>
                <w:szCs w:val="24"/>
              </w:rPr>
            </w:pPr>
            <w:r>
              <w:rPr>
                <w:rFonts w:ascii="Arial" w:hAnsi="Arial" w:cs="Arial"/>
                <w:sz w:val="24"/>
                <w:szCs w:val="24"/>
              </w:rPr>
              <w:t xml:space="preserve">- Obezbjediti primjenu mjera za zaštitu </w:t>
            </w:r>
          </w:p>
        </w:tc>
      </w:tr>
      <w:tr w:rsidR="00A329F0" w:rsidRPr="00700739" w:rsidTr="00CA2879">
        <w:tc>
          <w:tcPr>
            <w:tcW w:w="1526" w:type="dxa"/>
          </w:tcPr>
          <w:p w:rsidR="00A329F0" w:rsidRPr="00700739" w:rsidRDefault="00A329F0" w:rsidP="00722DF4">
            <w:pPr>
              <w:spacing w:after="0"/>
              <w:jc w:val="both"/>
              <w:rPr>
                <w:rFonts w:ascii="Arial" w:hAnsi="Arial" w:cs="Arial"/>
                <w:b/>
                <w:sz w:val="24"/>
                <w:szCs w:val="24"/>
              </w:rPr>
            </w:pPr>
            <w:r w:rsidRPr="00700739">
              <w:rPr>
                <w:rFonts w:ascii="Arial" w:hAnsi="Arial" w:cs="Arial"/>
                <w:b/>
                <w:sz w:val="24"/>
                <w:szCs w:val="24"/>
              </w:rPr>
              <w:t>Pejzaž</w:t>
            </w:r>
          </w:p>
        </w:tc>
        <w:tc>
          <w:tcPr>
            <w:tcW w:w="8050" w:type="dxa"/>
          </w:tcPr>
          <w:p w:rsidR="00364760" w:rsidRPr="00700739" w:rsidRDefault="00F5562A" w:rsidP="00722DF4">
            <w:pPr>
              <w:autoSpaceDE w:val="0"/>
              <w:autoSpaceDN w:val="0"/>
              <w:adjustRightInd w:val="0"/>
              <w:spacing w:after="0"/>
              <w:jc w:val="both"/>
              <w:rPr>
                <w:rFonts w:ascii="Arial" w:hAnsi="Arial" w:cs="Arial"/>
                <w:sz w:val="24"/>
                <w:szCs w:val="24"/>
              </w:rPr>
            </w:pPr>
            <w:r w:rsidRPr="00700739">
              <w:rPr>
                <w:rFonts w:ascii="Arial" w:hAnsi="Arial" w:cs="Arial"/>
                <w:sz w:val="24"/>
                <w:szCs w:val="24"/>
              </w:rPr>
              <w:t>- Obavezno je realizovati rekultivaciju prostora u kojima je završena eksploatacija minerlanih sirovina. Navedeno se odnosi i na sanaciju jalovišta nastalih uslijed rudarske proizvodnje.</w:t>
            </w:r>
          </w:p>
        </w:tc>
      </w:tr>
    </w:tbl>
    <w:p w:rsidR="00B85B88" w:rsidRPr="00722DF4" w:rsidRDefault="00B85B88" w:rsidP="00722DF4">
      <w:pPr>
        <w:spacing w:after="0"/>
        <w:jc w:val="both"/>
        <w:rPr>
          <w:rFonts w:ascii="Arial" w:hAnsi="Arial" w:cs="Arial"/>
          <w:sz w:val="24"/>
          <w:szCs w:val="24"/>
        </w:rPr>
      </w:pPr>
    </w:p>
    <w:p w:rsidR="00B85B88" w:rsidRDefault="00B85B88" w:rsidP="00722DF4">
      <w:pPr>
        <w:spacing w:after="0"/>
        <w:jc w:val="both"/>
        <w:rPr>
          <w:rFonts w:ascii="Arial" w:hAnsi="Arial" w:cs="Arial"/>
          <w:sz w:val="24"/>
          <w:szCs w:val="24"/>
        </w:rPr>
      </w:pPr>
    </w:p>
    <w:p w:rsidR="004D7972" w:rsidRDefault="004D7972" w:rsidP="00722DF4">
      <w:pPr>
        <w:spacing w:after="0"/>
        <w:jc w:val="both"/>
        <w:rPr>
          <w:rFonts w:ascii="Arial" w:hAnsi="Arial" w:cs="Arial"/>
          <w:sz w:val="24"/>
          <w:szCs w:val="24"/>
        </w:rPr>
      </w:pPr>
    </w:p>
    <w:p w:rsidR="004D7972" w:rsidRPr="00722DF4" w:rsidRDefault="004D7972" w:rsidP="00722DF4">
      <w:pPr>
        <w:spacing w:after="0"/>
        <w:jc w:val="both"/>
        <w:rPr>
          <w:rFonts w:ascii="Arial" w:hAnsi="Arial" w:cs="Arial"/>
          <w:sz w:val="24"/>
          <w:szCs w:val="24"/>
        </w:rPr>
      </w:pPr>
    </w:p>
    <w:p w:rsidR="000D08B5" w:rsidRPr="00722DF4" w:rsidRDefault="00B85B88" w:rsidP="00722DF4">
      <w:pPr>
        <w:pStyle w:val="Heading1"/>
        <w:numPr>
          <w:ilvl w:val="0"/>
          <w:numId w:val="0"/>
        </w:numPr>
        <w:spacing w:before="0"/>
        <w:jc w:val="both"/>
        <w:rPr>
          <w:rFonts w:cs="Arial"/>
          <w:szCs w:val="24"/>
        </w:rPr>
      </w:pPr>
      <w:bookmarkStart w:id="58" w:name="_Toc6172847"/>
      <w:r w:rsidRPr="00722DF4">
        <w:rPr>
          <w:rFonts w:cs="Arial"/>
          <w:szCs w:val="24"/>
        </w:rPr>
        <w:t>8. PREGLED RAZLOGA KOJI SU POSLUŽILI KAO OSNOVA ZA IZBOR RAZMATRANIH VARIJANTNIH RJEŠENJA</w:t>
      </w:r>
      <w:bookmarkEnd w:id="58"/>
    </w:p>
    <w:p w:rsidR="000D08B5" w:rsidRPr="00722DF4" w:rsidRDefault="000D08B5" w:rsidP="00722DF4">
      <w:pPr>
        <w:spacing w:after="0"/>
        <w:jc w:val="both"/>
        <w:rPr>
          <w:rFonts w:ascii="Arial" w:hAnsi="Arial" w:cs="Arial"/>
          <w:sz w:val="24"/>
          <w:szCs w:val="24"/>
        </w:rPr>
      </w:pPr>
    </w:p>
    <w:p w:rsidR="008F410F" w:rsidRDefault="003734ED" w:rsidP="00722DF4">
      <w:pPr>
        <w:spacing w:after="0"/>
        <w:jc w:val="both"/>
        <w:rPr>
          <w:rFonts w:ascii="Arial" w:hAnsi="Arial" w:cs="Arial"/>
          <w:sz w:val="24"/>
          <w:szCs w:val="24"/>
        </w:rPr>
      </w:pPr>
      <w:r w:rsidRPr="00722DF4">
        <w:rPr>
          <w:rFonts w:ascii="Arial" w:hAnsi="Arial" w:cs="Arial"/>
          <w:sz w:val="24"/>
          <w:szCs w:val="24"/>
        </w:rPr>
        <w:t>Državni plan eksploatacije</w:t>
      </w:r>
      <w:r w:rsidR="000A60B1" w:rsidRPr="00722DF4">
        <w:rPr>
          <w:rFonts w:ascii="Arial" w:hAnsi="Arial" w:cs="Arial"/>
          <w:sz w:val="24"/>
          <w:szCs w:val="24"/>
        </w:rPr>
        <w:t xml:space="preserve">, </w:t>
      </w:r>
      <w:r w:rsidR="008A0FAC" w:rsidRPr="00722DF4">
        <w:rPr>
          <w:rFonts w:ascii="Arial" w:hAnsi="Arial" w:cs="Arial"/>
          <w:sz w:val="24"/>
          <w:szCs w:val="24"/>
        </w:rPr>
        <w:t>nije razmatra</w:t>
      </w:r>
      <w:r w:rsidRPr="00722DF4">
        <w:rPr>
          <w:rFonts w:ascii="Arial" w:hAnsi="Arial" w:cs="Arial"/>
          <w:sz w:val="24"/>
          <w:szCs w:val="24"/>
        </w:rPr>
        <w:t xml:space="preserve">o </w:t>
      </w:r>
      <w:r w:rsidR="008A0FAC" w:rsidRPr="00722DF4">
        <w:rPr>
          <w:rFonts w:ascii="Arial" w:hAnsi="Arial" w:cs="Arial"/>
          <w:sz w:val="24"/>
          <w:szCs w:val="24"/>
        </w:rPr>
        <w:t>više varijantnih</w:t>
      </w:r>
      <w:r w:rsidRPr="00722DF4">
        <w:rPr>
          <w:rFonts w:ascii="Arial" w:hAnsi="Arial" w:cs="Arial"/>
          <w:sz w:val="24"/>
          <w:szCs w:val="24"/>
        </w:rPr>
        <w:t xml:space="preserve"> rješenja, te shodn</w:t>
      </w:r>
      <w:r w:rsidR="000A60B1" w:rsidRPr="00722DF4">
        <w:rPr>
          <w:rFonts w:ascii="Arial" w:hAnsi="Arial" w:cs="Arial"/>
          <w:sz w:val="24"/>
          <w:szCs w:val="24"/>
        </w:rPr>
        <w:t>o</w:t>
      </w:r>
      <w:r w:rsidRPr="00722DF4">
        <w:rPr>
          <w:rFonts w:ascii="Arial" w:hAnsi="Arial" w:cs="Arial"/>
          <w:sz w:val="24"/>
          <w:szCs w:val="24"/>
        </w:rPr>
        <w:t xml:space="preserve"> tome </w:t>
      </w:r>
      <w:r w:rsidR="00F80C42" w:rsidRPr="00722DF4">
        <w:rPr>
          <w:rFonts w:ascii="Arial" w:hAnsi="Arial" w:cs="Arial"/>
          <w:sz w:val="24"/>
          <w:szCs w:val="24"/>
        </w:rPr>
        <w:t>Izvještaj o stra</w:t>
      </w:r>
      <w:r w:rsidR="006B77BE" w:rsidRPr="00722DF4">
        <w:rPr>
          <w:rFonts w:ascii="Arial" w:hAnsi="Arial" w:cs="Arial"/>
          <w:sz w:val="24"/>
          <w:szCs w:val="24"/>
        </w:rPr>
        <w:t>teškoj procjeni nije imao podlogu za analizu više varijantnih rješenja</w:t>
      </w:r>
      <w:r w:rsidRPr="00722DF4">
        <w:rPr>
          <w:rFonts w:ascii="Arial" w:hAnsi="Arial" w:cs="Arial"/>
          <w:sz w:val="24"/>
          <w:szCs w:val="24"/>
        </w:rPr>
        <w:t xml:space="preserve"> </w:t>
      </w:r>
      <w:r w:rsidR="000A60B1" w:rsidRPr="00722DF4">
        <w:rPr>
          <w:rFonts w:ascii="Arial" w:hAnsi="Arial" w:cs="Arial"/>
          <w:sz w:val="24"/>
          <w:szCs w:val="24"/>
        </w:rPr>
        <w:t>sa aspekta životne sredine, a u cilju predlaganja najoptimalnijih rješenja</w:t>
      </w:r>
      <w:r w:rsidR="009F2A2B" w:rsidRPr="00722DF4">
        <w:rPr>
          <w:rFonts w:ascii="Arial" w:hAnsi="Arial" w:cs="Arial"/>
          <w:sz w:val="24"/>
          <w:szCs w:val="24"/>
        </w:rPr>
        <w:t>. Ukoliko se u daljim fazama i</w:t>
      </w:r>
      <w:r w:rsidR="000A60B1" w:rsidRPr="00722DF4">
        <w:rPr>
          <w:rFonts w:ascii="Arial" w:hAnsi="Arial" w:cs="Arial"/>
          <w:sz w:val="24"/>
          <w:szCs w:val="24"/>
        </w:rPr>
        <w:t xml:space="preserve">zrade </w:t>
      </w:r>
      <w:r w:rsidRPr="00722DF4">
        <w:rPr>
          <w:rFonts w:ascii="Arial" w:hAnsi="Arial" w:cs="Arial"/>
          <w:sz w:val="24"/>
          <w:szCs w:val="24"/>
        </w:rPr>
        <w:t>Plana</w:t>
      </w:r>
      <w:r w:rsidR="000A60B1" w:rsidRPr="00722DF4">
        <w:rPr>
          <w:rFonts w:ascii="Arial" w:hAnsi="Arial" w:cs="Arial"/>
          <w:sz w:val="24"/>
          <w:szCs w:val="24"/>
        </w:rPr>
        <w:t xml:space="preserve"> ponude va</w:t>
      </w:r>
      <w:r w:rsidR="00995785" w:rsidRPr="00722DF4">
        <w:rPr>
          <w:rFonts w:ascii="Arial" w:hAnsi="Arial" w:cs="Arial"/>
          <w:sz w:val="24"/>
          <w:szCs w:val="24"/>
        </w:rPr>
        <w:t xml:space="preserve">rijantna rješenja sa </w:t>
      </w:r>
      <w:r w:rsidR="00995785" w:rsidRPr="00700739">
        <w:rPr>
          <w:rFonts w:ascii="Arial" w:hAnsi="Arial" w:cs="Arial"/>
          <w:sz w:val="24"/>
          <w:szCs w:val="24"/>
        </w:rPr>
        <w:t xml:space="preserve">aspekta potanicjalnog otvaranja novih, proširenja ili nastvaka košćenja postojećih lokacija eksplotacaije različitih vrsta mineralnih sirovina, ovim Izvještajem će </w:t>
      </w:r>
      <w:r w:rsidRPr="00700739">
        <w:rPr>
          <w:rFonts w:ascii="Arial" w:hAnsi="Arial" w:cs="Arial"/>
          <w:sz w:val="24"/>
          <w:szCs w:val="24"/>
        </w:rPr>
        <w:t xml:space="preserve">biti </w:t>
      </w:r>
      <w:r w:rsidR="00F80C42" w:rsidRPr="00700739">
        <w:rPr>
          <w:rFonts w:ascii="Arial" w:hAnsi="Arial" w:cs="Arial"/>
          <w:sz w:val="24"/>
          <w:szCs w:val="24"/>
        </w:rPr>
        <w:t>detaljno razm</w:t>
      </w:r>
      <w:r w:rsidR="000A60B1" w:rsidRPr="00700739">
        <w:rPr>
          <w:rFonts w:ascii="Arial" w:hAnsi="Arial" w:cs="Arial"/>
          <w:sz w:val="24"/>
          <w:szCs w:val="24"/>
        </w:rPr>
        <w:t>otren</w:t>
      </w:r>
      <w:r w:rsidR="009F2A2B" w:rsidRPr="00700739">
        <w:rPr>
          <w:rFonts w:ascii="Arial" w:hAnsi="Arial" w:cs="Arial"/>
          <w:sz w:val="24"/>
          <w:szCs w:val="24"/>
        </w:rPr>
        <w:t>a,</w:t>
      </w:r>
      <w:r w:rsidR="000A60B1" w:rsidRPr="00700739">
        <w:rPr>
          <w:rFonts w:ascii="Arial" w:hAnsi="Arial" w:cs="Arial"/>
          <w:sz w:val="24"/>
          <w:szCs w:val="24"/>
        </w:rPr>
        <w:t xml:space="preserve"> pojedinačno</w:t>
      </w:r>
      <w:r w:rsidR="009F2A2B" w:rsidRPr="00700739">
        <w:rPr>
          <w:rFonts w:ascii="Arial" w:hAnsi="Arial" w:cs="Arial"/>
          <w:sz w:val="24"/>
          <w:szCs w:val="24"/>
        </w:rPr>
        <w:t>, a</w:t>
      </w:r>
      <w:r w:rsidR="000A60B1" w:rsidRPr="00700739">
        <w:rPr>
          <w:rFonts w:ascii="Arial" w:hAnsi="Arial" w:cs="Arial"/>
          <w:sz w:val="24"/>
          <w:szCs w:val="24"/>
        </w:rPr>
        <w:t xml:space="preserve"> u odnosu na sve segmentne životne serdine.</w:t>
      </w:r>
    </w:p>
    <w:p w:rsidR="00700739" w:rsidRPr="00700739" w:rsidRDefault="00700739" w:rsidP="00722DF4">
      <w:pPr>
        <w:spacing w:after="0"/>
        <w:jc w:val="both"/>
        <w:rPr>
          <w:rFonts w:ascii="Arial" w:hAnsi="Arial" w:cs="Arial"/>
          <w:sz w:val="24"/>
          <w:szCs w:val="24"/>
        </w:rPr>
      </w:pPr>
    </w:p>
    <w:p w:rsidR="008F410F" w:rsidRPr="00722DF4" w:rsidRDefault="008F410F" w:rsidP="00722DF4">
      <w:pPr>
        <w:spacing w:after="0"/>
        <w:jc w:val="both"/>
        <w:rPr>
          <w:rFonts w:ascii="Arial" w:hAnsi="Arial" w:cs="Arial"/>
          <w:sz w:val="24"/>
          <w:szCs w:val="24"/>
        </w:rPr>
      </w:pPr>
      <w:r w:rsidRPr="00700739">
        <w:rPr>
          <w:rFonts w:ascii="Arial" w:hAnsi="Arial" w:cs="Arial"/>
          <w:sz w:val="24"/>
          <w:szCs w:val="24"/>
        </w:rPr>
        <w:t>Imajući u vidu da je riječ o strateškom nivou</w:t>
      </w:r>
      <w:r w:rsidR="0045675C" w:rsidRPr="00700739">
        <w:rPr>
          <w:rFonts w:ascii="Arial" w:hAnsi="Arial" w:cs="Arial"/>
          <w:sz w:val="24"/>
          <w:szCs w:val="24"/>
        </w:rPr>
        <w:t xml:space="preserve"> planiranja</w:t>
      </w:r>
      <w:r w:rsidRPr="00700739">
        <w:rPr>
          <w:rFonts w:ascii="Arial" w:hAnsi="Arial" w:cs="Arial"/>
          <w:sz w:val="24"/>
          <w:szCs w:val="24"/>
        </w:rPr>
        <w:t xml:space="preserve">, </w:t>
      </w:r>
      <w:r w:rsidR="0045675C" w:rsidRPr="00700739">
        <w:rPr>
          <w:rFonts w:ascii="Arial" w:hAnsi="Arial" w:cs="Arial"/>
          <w:sz w:val="24"/>
          <w:szCs w:val="24"/>
        </w:rPr>
        <w:t xml:space="preserve">a </w:t>
      </w:r>
      <w:r w:rsidRPr="00700739">
        <w:rPr>
          <w:rFonts w:ascii="Arial" w:hAnsi="Arial" w:cs="Arial"/>
          <w:sz w:val="24"/>
          <w:szCs w:val="24"/>
        </w:rPr>
        <w:t xml:space="preserve">uzimajući u obzir </w:t>
      </w:r>
      <w:r w:rsidR="00995785" w:rsidRPr="00700739">
        <w:rPr>
          <w:rFonts w:ascii="Arial" w:hAnsi="Arial" w:cs="Arial"/>
          <w:sz w:val="24"/>
          <w:szCs w:val="24"/>
        </w:rPr>
        <w:t>vrstu i način realizacije planiranih aktovnosti u sektoru rudarstva</w:t>
      </w:r>
      <w:r w:rsidR="00700739">
        <w:rPr>
          <w:rFonts w:ascii="Arial" w:hAnsi="Arial" w:cs="Arial"/>
          <w:sz w:val="24"/>
          <w:szCs w:val="24"/>
        </w:rPr>
        <w:t>,</w:t>
      </w:r>
      <w:r w:rsidR="0045675C" w:rsidRPr="00722DF4">
        <w:rPr>
          <w:rFonts w:ascii="Arial" w:hAnsi="Arial" w:cs="Arial"/>
          <w:sz w:val="24"/>
          <w:szCs w:val="24"/>
        </w:rPr>
        <w:t xml:space="preserve"> varijantna rješenja će biti predmet razmatranja</w:t>
      </w:r>
      <w:r w:rsidR="00700739">
        <w:rPr>
          <w:rFonts w:ascii="Arial" w:hAnsi="Arial" w:cs="Arial"/>
          <w:sz w:val="24"/>
          <w:szCs w:val="24"/>
        </w:rPr>
        <w:t xml:space="preserve"> </w:t>
      </w:r>
      <w:r w:rsidR="0045675C" w:rsidRPr="00722DF4">
        <w:rPr>
          <w:rFonts w:ascii="Arial" w:hAnsi="Arial" w:cs="Arial"/>
          <w:sz w:val="24"/>
          <w:szCs w:val="24"/>
        </w:rPr>
        <w:t>i</w:t>
      </w:r>
      <w:r w:rsidRPr="00722DF4">
        <w:rPr>
          <w:rFonts w:ascii="Arial" w:hAnsi="Arial" w:cs="Arial"/>
          <w:sz w:val="24"/>
          <w:szCs w:val="24"/>
        </w:rPr>
        <w:t xml:space="preserve"> na nivou </w:t>
      </w:r>
      <w:r w:rsidR="00995785" w:rsidRPr="00722DF4">
        <w:rPr>
          <w:rFonts w:ascii="Arial" w:hAnsi="Arial" w:cs="Arial"/>
          <w:sz w:val="24"/>
          <w:szCs w:val="24"/>
        </w:rPr>
        <w:t>prostorno planskih</w:t>
      </w:r>
      <w:r w:rsidR="00F80C42" w:rsidRPr="00722DF4">
        <w:rPr>
          <w:rFonts w:ascii="Arial" w:hAnsi="Arial" w:cs="Arial"/>
          <w:sz w:val="24"/>
          <w:szCs w:val="24"/>
        </w:rPr>
        <w:t xml:space="preserve"> dokumentacije sa st</w:t>
      </w:r>
      <w:r w:rsidR="000710AD" w:rsidRPr="00722DF4">
        <w:rPr>
          <w:rFonts w:ascii="Arial" w:hAnsi="Arial" w:cs="Arial"/>
          <w:sz w:val="24"/>
          <w:szCs w:val="24"/>
        </w:rPr>
        <w:t>ra</w:t>
      </w:r>
      <w:r w:rsidR="00F80C42" w:rsidRPr="00722DF4">
        <w:rPr>
          <w:rFonts w:ascii="Arial" w:hAnsi="Arial" w:cs="Arial"/>
          <w:sz w:val="24"/>
          <w:szCs w:val="24"/>
        </w:rPr>
        <w:t>teškom procjenom uticaja</w:t>
      </w:r>
      <w:r w:rsidR="00995785" w:rsidRPr="00722DF4">
        <w:rPr>
          <w:rFonts w:ascii="Arial" w:hAnsi="Arial" w:cs="Arial"/>
          <w:sz w:val="24"/>
          <w:szCs w:val="24"/>
        </w:rPr>
        <w:t xml:space="preserve"> </w:t>
      </w:r>
      <w:r w:rsidR="00F80C42" w:rsidRPr="00722DF4">
        <w:rPr>
          <w:rFonts w:ascii="Arial" w:hAnsi="Arial" w:cs="Arial"/>
          <w:sz w:val="24"/>
          <w:szCs w:val="24"/>
        </w:rPr>
        <w:t xml:space="preserve">u skaldu sa zakonodavnim okvirom, kao i na nivou </w:t>
      </w:r>
      <w:r w:rsidRPr="00722DF4">
        <w:rPr>
          <w:rFonts w:ascii="Arial" w:hAnsi="Arial" w:cs="Arial"/>
          <w:sz w:val="24"/>
          <w:szCs w:val="24"/>
        </w:rPr>
        <w:t>procjene uticaja na životnu sredinu</w:t>
      </w:r>
      <w:r w:rsidR="00995785" w:rsidRPr="00722DF4">
        <w:rPr>
          <w:rFonts w:ascii="Arial" w:hAnsi="Arial" w:cs="Arial"/>
          <w:sz w:val="24"/>
          <w:szCs w:val="24"/>
        </w:rPr>
        <w:t xml:space="preserve">. Time bi se </w:t>
      </w:r>
      <w:r w:rsidRPr="00722DF4">
        <w:rPr>
          <w:rFonts w:ascii="Arial" w:hAnsi="Arial" w:cs="Arial"/>
          <w:sz w:val="24"/>
          <w:szCs w:val="24"/>
        </w:rPr>
        <w:t xml:space="preserve">usled jasnije slike u pogledu planiranog s jedne strane, kao i </w:t>
      </w:r>
      <w:r w:rsidR="009F2A2B" w:rsidRPr="00722DF4">
        <w:rPr>
          <w:rFonts w:ascii="Arial" w:hAnsi="Arial" w:cs="Arial"/>
          <w:sz w:val="24"/>
          <w:szCs w:val="24"/>
        </w:rPr>
        <w:t xml:space="preserve">veće raspoloživosti </w:t>
      </w:r>
      <w:r w:rsidRPr="00722DF4">
        <w:rPr>
          <w:rFonts w:ascii="Arial" w:hAnsi="Arial" w:cs="Arial"/>
          <w:sz w:val="24"/>
          <w:szCs w:val="24"/>
        </w:rPr>
        <w:t>podataka o svim segmentima životne sredine</w:t>
      </w:r>
      <w:r w:rsidR="009F2A2B" w:rsidRPr="00722DF4">
        <w:rPr>
          <w:rFonts w:ascii="Arial" w:hAnsi="Arial" w:cs="Arial"/>
          <w:sz w:val="24"/>
          <w:szCs w:val="24"/>
        </w:rPr>
        <w:t xml:space="preserve"> sa druge strane</w:t>
      </w:r>
      <w:r w:rsidR="00700739">
        <w:rPr>
          <w:rFonts w:ascii="Arial" w:hAnsi="Arial" w:cs="Arial"/>
          <w:sz w:val="24"/>
          <w:szCs w:val="24"/>
        </w:rPr>
        <w:t>,</w:t>
      </w:r>
      <w:r w:rsidRPr="00722DF4">
        <w:rPr>
          <w:rFonts w:ascii="Arial" w:hAnsi="Arial" w:cs="Arial"/>
          <w:sz w:val="24"/>
          <w:szCs w:val="24"/>
        </w:rPr>
        <w:t xml:space="preserve"> ponudila </w:t>
      </w:r>
      <w:r w:rsidR="00F80C42" w:rsidRPr="00722DF4">
        <w:rPr>
          <w:rFonts w:ascii="Arial" w:hAnsi="Arial" w:cs="Arial"/>
          <w:sz w:val="24"/>
          <w:szCs w:val="24"/>
        </w:rPr>
        <w:t xml:space="preserve">eventualna </w:t>
      </w:r>
      <w:r w:rsidR="00995785" w:rsidRPr="00722DF4">
        <w:rPr>
          <w:rFonts w:ascii="Arial" w:hAnsi="Arial" w:cs="Arial"/>
          <w:sz w:val="24"/>
          <w:szCs w:val="24"/>
        </w:rPr>
        <w:t>nov</w:t>
      </w:r>
      <w:r w:rsidR="00F80C42" w:rsidRPr="00722DF4">
        <w:rPr>
          <w:rFonts w:ascii="Arial" w:hAnsi="Arial" w:cs="Arial"/>
          <w:sz w:val="24"/>
          <w:szCs w:val="24"/>
        </w:rPr>
        <w:t>a</w:t>
      </w:r>
      <w:r w:rsidR="00995785" w:rsidRPr="00722DF4">
        <w:rPr>
          <w:rFonts w:ascii="Arial" w:hAnsi="Arial" w:cs="Arial"/>
          <w:sz w:val="24"/>
          <w:szCs w:val="24"/>
        </w:rPr>
        <w:t xml:space="preserve"> rješenja, a u cilju</w:t>
      </w:r>
      <w:r w:rsidR="00700739">
        <w:rPr>
          <w:rFonts w:ascii="Arial" w:hAnsi="Arial" w:cs="Arial"/>
          <w:sz w:val="24"/>
          <w:szCs w:val="24"/>
        </w:rPr>
        <w:t xml:space="preserve"> </w:t>
      </w:r>
      <w:r w:rsidR="00F80C42" w:rsidRPr="00722DF4">
        <w:rPr>
          <w:rFonts w:ascii="Arial" w:hAnsi="Arial" w:cs="Arial"/>
          <w:sz w:val="24"/>
          <w:szCs w:val="24"/>
        </w:rPr>
        <w:t>dobijanja najprihvatljivih rješenja sa aspekta zaštite životne sredine.</w:t>
      </w:r>
    </w:p>
    <w:p w:rsidR="009C75A6" w:rsidRDefault="009C75A6" w:rsidP="00722DF4">
      <w:pPr>
        <w:spacing w:after="0"/>
        <w:jc w:val="both"/>
        <w:rPr>
          <w:rFonts w:ascii="Arial" w:hAnsi="Arial" w:cs="Arial"/>
          <w:sz w:val="24"/>
          <w:szCs w:val="24"/>
        </w:rPr>
      </w:pPr>
    </w:p>
    <w:p w:rsidR="004D7972" w:rsidRDefault="004D7972" w:rsidP="00722DF4">
      <w:pPr>
        <w:spacing w:after="0"/>
        <w:jc w:val="both"/>
        <w:rPr>
          <w:rFonts w:ascii="Arial" w:hAnsi="Arial" w:cs="Arial"/>
          <w:sz w:val="24"/>
          <w:szCs w:val="24"/>
        </w:rPr>
      </w:pPr>
    </w:p>
    <w:p w:rsidR="004D7972" w:rsidRPr="00722DF4" w:rsidRDefault="004D7972" w:rsidP="00722DF4">
      <w:pPr>
        <w:spacing w:after="0"/>
        <w:jc w:val="both"/>
        <w:rPr>
          <w:rFonts w:ascii="Arial" w:hAnsi="Arial" w:cs="Arial"/>
          <w:sz w:val="24"/>
          <w:szCs w:val="24"/>
        </w:rPr>
      </w:pPr>
    </w:p>
    <w:p w:rsidR="00B54F33" w:rsidRPr="00722DF4" w:rsidRDefault="004D7972" w:rsidP="00722DF4">
      <w:pPr>
        <w:pStyle w:val="Heading1"/>
        <w:numPr>
          <w:ilvl w:val="0"/>
          <w:numId w:val="0"/>
        </w:numPr>
        <w:spacing w:before="0"/>
        <w:jc w:val="both"/>
        <w:rPr>
          <w:rFonts w:cs="Arial"/>
          <w:szCs w:val="24"/>
        </w:rPr>
      </w:pPr>
      <w:r>
        <w:rPr>
          <w:rFonts w:cs="Arial"/>
          <w:szCs w:val="24"/>
        </w:rPr>
        <w:br w:type="page"/>
      </w:r>
      <w:bookmarkStart w:id="59" w:name="_Toc6172848"/>
      <w:r w:rsidR="00B54F33" w:rsidRPr="00722DF4">
        <w:rPr>
          <w:rFonts w:cs="Arial"/>
          <w:szCs w:val="24"/>
        </w:rPr>
        <w:lastRenderedPageBreak/>
        <w:t>9. PRIKAZ MOGUĆIH ZNAČAJNIH PREKOGRANIČNIH UTICAJA NA ŽIVOTNU SREDINU</w:t>
      </w:r>
      <w:bookmarkEnd w:id="59"/>
    </w:p>
    <w:p w:rsidR="000D08B5" w:rsidRPr="00722DF4" w:rsidRDefault="000D08B5" w:rsidP="00722DF4">
      <w:pPr>
        <w:spacing w:after="0"/>
        <w:jc w:val="both"/>
        <w:rPr>
          <w:rFonts w:ascii="Arial" w:hAnsi="Arial" w:cs="Arial"/>
          <w:sz w:val="24"/>
          <w:szCs w:val="24"/>
        </w:rPr>
      </w:pPr>
    </w:p>
    <w:p w:rsidR="00B54F33" w:rsidRPr="00722DF4" w:rsidRDefault="00B54F33" w:rsidP="00722DF4">
      <w:pPr>
        <w:spacing w:after="0"/>
        <w:jc w:val="both"/>
        <w:rPr>
          <w:rFonts w:ascii="Arial" w:hAnsi="Arial" w:cs="Arial"/>
          <w:color w:val="000000"/>
          <w:sz w:val="24"/>
          <w:szCs w:val="24"/>
          <w:bdr w:val="none" w:sz="0" w:space="0" w:color="auto" w:frame="1"/>
        </w:rPr>
      </w:pPr>
      <w:r w:rsidRPr="00722DF4">
        <w:rPr>
          <w:rFonts w:ascii="Arial" w:hAnsi="Arial" w:cs="Arial"/>
          <w:sz w:val="24"/>
          <w:szCs w:val="24"/>
        </w:rPr>
        <w:t>Zakonom o strateškoj procjeni uticaja na životnu sredinu, kao i Protokolu o strateškoj procjeni</w:t>
      </w:r>
      <w:r w:rsidR="00700739">
        <w:rPr>
          <w:rFonts w:ascii="Arial" w:hAnsi="Arial" w:cs="Arial"/>
          <w:sz w:val="24"/>
          <w:szCs w:val="24"/>
        </w:rPr>
        <w:t xml:space="preserve"> </w:t>
      </w:r>
      <w:r w:rsidRPr="00722DF4">
        <w:rPr>
          <w:rFonts w:ascii="Arial" w:hAnsi="Arial" w:cs="Arial"/>
          <w:sz w:val="24"/>
          <w:szCs w:val="24"/>
        </w:rPr>
        <w:t xml:space="preserve">uticaja </w:t>
      </w:r>
      <w:r w:rsidRPr="00722DF4">
        <w:rPr>
          <w:rFonts w:ascii="Arial" w:hAnsi="Arial" w:cs="Arial"/>
          <w:spacing w:val="1"/>
          <w:sz w:val="24"/>
          <w:szCs w:val="24"/>
        </w:rPr>
        <w:t>n</w:t>
      </w:r>
      <w:r w:rsidRPr="00722DF4">
        <w:rPr>
          <w:rFonts w:ascii="Arial" w:hAnsi="Arial" w:cs="Arial"/>
          <w:sz w:val="24"/>
          <w:szCs w:val="24"/>
        </w:rPr>
        <w:t>a životnu</w:t>
      </w:r>
      <w:r w:rsidR="00700739">
        <w:rPr>
          <w:rFonts w:ascii="Arial" w:hAnsi="Arial" w:cs="Arial"/>
          <w:sz w:val="24"/>
          <w:szCs w:val="24"/>
        </w:rPr>
        <w:t xml:space="preserve"> </w:t>
      </w:r>
      <w:r w:rsidRPr="00722DF4">
        <w:rPr>
          <w:rFonts w:ascii="Arial" w:hAnsi="Arial" w:cs="Arial"/>
          <w:sz w:val="24"/>
          <w:szCs w:val="24"/>
        </w:rPr>
        <w:t xml:space="preserve">sredinu u prekograničnom kontekstu, definisana je saradnja između susjednih država u kontekstu prekograničnih uticaja na životnu sredinu. </w:t>
      </w:r>
      <w:r w:rsidRPr="00722DF4">
        <w:rPr>
          <w:rFonts w:ascii="Arial" w:hAnsi="Arial" w:cs="Arial"/>
          <w:color w:val="000000"/>
          <w:sz w:val="24"/>
          <w:szCs w:val="24"/>
          <w:bdr w:val="none" w:sz="0" w:space="0" w:color="auto" w:frame="1"/>
        </w:rPr>
        <w:t xml:space="preserve">Organ državne uprave nadležan za poslove zaštite životne dužan je pokrenuti postupak o razmjeni informacija o prekograničnim uticajima, ukoliko se tokom izrade plana ili programa utvrdi da realizacijom istih može doći do prekograničnog uticaja na teritoriju susjednih država. </w:t>
      </w:r>
    </w:p>
    <w:p w:rsidR="00B54F33" w:rsidRPr="00722DF4" w:rsidRDefault="00B54F33" w:rsidP="00722DF4">
      <w:pPr>
        <w:spacing w:after="0"/>
        <w:jc w:val="both"/>
        <w:rPr>
          <w:rFonts w:ascii="Arial" w:hAnsi="Arial" w:cs="Arial"/>
          <w:color w:val="000000"/>
          <w:sz w:val="24"/>
          <w:szCs w:val="24"/>
          <w:bdr w:val="none" w:sz="0" w:space="0" w:color="auto" w:frame="1"/>
        </w:rPr>
      </w:pPr>
    </w:p>
    <w:p w:rsidR="00B54F33" w:rsidRPr="00722DF4" w:rsidRDefault="00B54F33" w:rsidP="00722DF4">
      <w:pPr>
        <w:spacing w:after="0"/>
        <w:jc w:val="both"/>
        <w:rPr>
          <w:rFonts w:ascii="Arial" w:hAnsi="Arial" w:cs="Arial"/>
          <w:sz w:val="24"/>
          <w:szCs w:val="24"/>
        </w:rPr>
      </w:pPr>
      <w:r w:rsidRPr="00722DF4">
        <w:rPr>
          <w:rFonts w:ascii="Arial" w:hAnsi="Arial" w:cs="Arial"/>
          <w:sz w:val="24"/>
          <w:szCs w:val="24"/>
        </w:rPr>
        <w:t xml:space="preserve">Prekogranični uticaji mogu biti posljedice određenih planiranih aktivnosti koje mogu izazvati promjenu u kvalitetu segemenata životne sredine u državama koje </w:t>
      </w:r>
      <w:r w:rsidR="005266FD" w:rsidRPr="00722DF4">
        <w:rPr>
          <w:rFonts w:ascii="Arial" w:hAnsi="Arial" w:cs="Arial"/>
          <w:sz w:val="24"/>
          <w:szCs w:val="24"/>
        </w:rPr>
        <w:t xml:space="preserve">se </w:t>
      </w:r>
      <w:r w:rsidRPr="00722DF4">
        <w:rPr>
          <w:rFonts w:ascii="Arial" w:hAnsi="Arial" w:cs="Arial"/>
          <w:sz w:val="24"/>
          <w:szCs w:val="24"/>
        </w:rPr>
        <w:t>graniče s teritorijem države gdje se određena aktivnost odvija. Na osnovu Protokola o strateškoj procjeni</w:t>
      </w:r>
      <w:r w:rsidR="00700739">
        <w:rPr>
          <w:rFonts w:ascii="Arial" w:hAnsi="Arial" w:cs="Arial"/>
          <w:sz w:val="24"/>
          <w:szCs w:val="24"/>
        </w:rPr>
        <w:t xml:space="preserve"> </w:t>
      </w:r>
      <w:r w:rsidRPr="00722DF4">
        <w:rPr>
          <w:rFonts w:ascii="Arial" w:hAnsi="Arial" w:cs="Arial"/>
          <w:sz w:val="24"/>
          <w:szCs w:val="24"/>
        </w:rPr>
        <w:t xml:space="preserve">uticaja </w:t>
      </w:r>
      <w:r w:rsidRPr="00722DF4">
        <w:rPr>
          <w:rFonts w:ascii="Arial" w:hAnsi="Arial" w:cs="Arial"/>
          <w:spacing w:val="1"/>
          <w:sz w:val="24"/>
          <w:szCs w:val="24"/>
        </w:rPr>
        <w:t>n</w:t>
      </w:r>
      <w:r w:rsidRPr="00722DF4">
        <w:rPr>
          <w:rFonts w:ascii="Arial" w:hAnsi="Arial" w:cs="Arial"/>
          <w:sz w:val="24"/>
          <w:szCs w:val="24"/>
        </w:rPr>
        <w:t>a životnu</w:t>
      </w:r>
      <w:r w:rsidR="0080450A" w:rsidRPr="00722DF4">
        <w:rPr>
          <w:rFonts w:ascii="Arial" w:hAnsi="Arial" w:cs="Arial"/>
          <w:sz w:val="24"/>
          <w:szCs w:val="24"/>
        </w:rPr>
        <w:t xml:space="preserve"> </w:t>
      </w:r>
      <w:r w:rsidRPr="00722DF4">
        <w:rPr>
          <w:rFonts w:ascii="Arial" w:hAnsi="Arial" w:cs="Arial"/>
          <w:sz w:val="24"/>
          <w:szCs w:val="24"/>
        </w:rPr>
        <w:t>sredinu u prekograničnom kontekstu, stranke učesnice tj. susjedne države trebaju identifikovati sve moguće uticaje planiranih aktivnosti na životnu srdinu u ra</w:t>
      </w:r>
      <w:r w:rsidR="00700739">
        <w:rPr>
          <w:rFonts w:ascii="Arial" w:hAnsi="Arial" w:cs="Arial"/>
          <w:sz w:val="24"/>
          <w:szCs w:val="24"/>
        </w:rPr>
        <w:t>noj fazi planiranja, te obezbje</w:t>
      </w:r>
      <w:r w:rsidRPr="00722DF4">
        <w:rPr>
          <w:rFonts w:ascii="Arial" w:hAnsi="Arial" w:cs="Arial"/>
          <w:sz w:val="24"/>
          <w:szCs w:val="24"/>
        </w:rPr>
        <w:t xml:space="preserve">diti međusobnu komunikaciju, kroz obavješenja i konsultacije o svim aktivnostima koje mogu imati uticaja na životnu sredinu van državnih granica. </w:t>
      </w:r>
    </w:p>
    <w:p w:rsidR="00B54F33" w:rsidRPr="00722DF4" w:rsidRDefault="00B54F33" w:rsidP="00722DF4">
      <w:pPr>
        <w:spacing w:after="0"/>
        <w:jc w:val="both"/>
        <w:rPr>
          <w:rFonts w:ascii="Arial" w:hAnsi="Arial" w:cs="Arial"/>
          <w:sz w:val="24"/>
          <w:szCs w:val="24"/>
        </w:rPr>
      </w:pPr>
    </w:p>
    <w:p w:rsidR="00B54F33" w:rsidRPr="00722DF4" w:rsidRDefault="00B54F33" w:rsidP="00722DF4">
      <w:pPr>
        <w:spacing w:after="0"/>
        <w:jc w:val="both"/>
        <w:rPr>
          <w:rFonts w:ascii="Arial" w:hAnsi="Arial" w:cs="Arial"/>
          <w:sz w:val="24"/>
          <w:szCs w:val="24"/>
        </w:rPr>
      </w:pPr>
      <w:r w:rsidRPr="00722DF4">
        <w:rPr>
          <w:rFonts w:ascii="Arial" w:hAnsi="Arial" w:cs="Arial"/>
          <w:sz w:val="24"/>
          <w:szCs w:val="24"/>
        </w:rPr>
        <w:t>Načini identifikovanja i kriterijumi za utvrđivanje značajnih uticaja</w:t>
      </w:r>
      <w:r w:rsidR="0080450A" w:rsidRPr="00722DF4">
        <w:rPr>
          <w:rFonts w:ascii="Arial" w:hAnsi="Arial" w:cs="Arial"/>
          <w:sz w:val="24"/>
          <w:szCs w:val="24"/>
        </w:rPr>
        <w:t xml:space="preserve"> predmetnog Plana</w:t>
      </w:r>
      <w:r w:rsidR="005266FD" w:rsidRPr="00722DF4">
        <w:rPr>
          <w:rFonts w:ascii="Arial" w:hAnsi="Arial" w:cs="Arial"/>
          <w:sz w:val="24"/>
          <w:szCs w:val="24"/>
        </w:rPr>
        <w:t xml:space="preserve"> na životnu sredinu </w:t>
      </w:r>
      <w:r w:rsidRPr="00722DF4">
        <w:rPr>
          <w:rFonts w:ascii="Arial" w:hAnsi="Arial" w:cs="Arial"/>
          <w:sz w:val="24"/>
          <w:szCs w:val="24"/>
        </w:rPr>
        <w:t xml:space="preserve">uključuju definisanje intenziteta uticaja planiranih aktivnosti uzimajući u obzir prekograničnu prirodu uticaja. </w:t>
      </w:r>
    </w:p>
    <w:p w:rsidR="00B54F33" w:rsidRPr="00722DF4" w:rsidRDefault="00B54F33" w:rsidP="00722DF4">
      <w:pPr>
        <w:spacing w:after="0"/>
        <w:jc w:val="both"/>
        <w:rPr>
          <w:rFonts w:ascii="Arial" w:hAnsi="Arial" w:cs="Arial"/>
          <w:color w:val="000000"/>
          <w:sz w:val="24"/>
          <w:szCs w:val="24"/>
          <w:bdr w:val="none" w:sz="0" w:space="0" w:color="auto" w:frame="1"/>
        </w:rPr>
      </w:pPr>
    </w:p>
    <w:p w:rsidR="0080450A" w:rsidRPr="00722DF4" w:rsidRDefault="00B54F33" w:rsidP="00722DF4">
      <w:pPr>
        <w:spacing w:after="0"/>
        <w:jc w:val="both"/>
        <w:rPr>
          <w:rFonts w:ascii="Arial" w:hAnsi="Arial" w:cs="Arial"/>
          <w:sz w:val="24"/>
          <w:szCs w:val="24"/>
        </w:rPr>
      </w:pPr>
      <w:r w:rsidRPr="00722DF4">
        <w:rPr>
          <w:rFonts w:ascii="Arial" w:hAnsi="Arial" w:cs="Arial"/>
          <w:sz w:val="24"/>
          <w:szCs w:val="24"/>
        </w:rPr>
        <w:t xml:space="preserve">U </w:t>
      </w:r>
      <w:r w:rsidR="0080450A" w:rsidRPr="00700739">
        <w:rPr>
          <w:rFonts w:ascii="Arial" w:hAnsi="Arial" w:cs="Arial"/>
          <w:sz w:val="24"/>
          <w:szCs w:val="24"/>
        </w:rPr>
        <w:t>preliminarnom</w:t>
      </w:r>
      <w:r w:rsidR="0080450A" w:rsidRPr="00722DF4">
        <w:rPr>
          <w:rFonts w:ascii="Arial" w:hAnsi="Arial" w:cs="Arial"/>
          <w:sz w:val="24"/>
          <w:szCs w:val="24"/>
        </w:rPr>
        <w:t xml:space="preserve"> </w:t>
      </w:r>
      <w:r w:rsidRPr="00722DF4">
        <w:rPr>
          <w:rFonts w:ascii="Arial" w:hAnsi="Arial" w:cs="Arial"/>
          <w:sz w:val="24"/>
          <w:szCs w:val="24"/>
        </w:rPr>
        <w:t xml:space="preserve">procesu identifikovanja uticaja planiranih aktivnosti, procjenjenjo je da se prekogranični uticaj </w:t>
      </w:r>
      <w:r w:rsidR="0080450A" w:rsidRPr="00722DF4">
        <w:rPr>
          <w:rFonts w:ascii="Arial" w:hAnsi="Arial" w:cs="Arial"/>
          <w:sz w:val="24"/>
          <w:szCs w:val="24"/>
        </w:rPr>
        <w:t xml:space="preserve">ne </w:t>
      </w:r>
      <w:r w:rsidRPr="00722DF4">
        <w:rPr>
          <w:rFonts w:ascii="Arial" w:hAnsi="Arial" w:cs="Arial"/>
          <w:sz w:val="24"/>
          <w:szCs w:val="24"/>
        </w:rPr>
        <w:t xml:space="preserve">može očekivani na teritorije susjednih država </w:t>
      </w:r>
    </w:p>
    <w:p w:rsidR="00B54F33" w:rsidRPr="00722DF4" w:rsidRDefault="00B54F33" w:rsidP="00722DF4">
      <w:pPr>
        <w:spacing w:after="0"/>
        <w:jc w:val="both"/>
        <w:rPr>
          <w:rFonts w:ascii="Arial" w:hAnsi="Arial" w:cs="Arial"/>
          <w:sz w:val="24"/>
          <w:szCs w:val="24"/>
        </w:rPr>
      </w:pPr>
    </w:p>
    <w:p w:rsidR="00610CC6" w:rsidRPr="00722DF4" w:rsidRDefault="00610CC6" w:rsidP="00722DF4">
      <w:pPr>
        <w:autoSpaceDE w:val="0"/>
        <w:autoSpaceDN w:val="0"/>
        <w:adjustRightInd w:val="0"/>
        <w:spacing w:after="0"/>
        <w:jc w:val="both"/>
        <w:rPr>
          <w:rFonts w:ascii="Arial" w:hAnsi="Arial" w:cs="Arial"/>
          <w:sz w:val="24"/>
          <w:szCs w:val="24"/>
        </w:rPr>
      </w:pPr>
    </w:p>
    <w:p w:rsidR="00610CC6" w:rsidRPr="00722DF4" w:rsidRDefault="00610CC6" w:rsidP="00722DF4">
      <w:pPr>
        <w:autoSpaceDE w:val="0"/>
        <w:autoSpaceDN w:val="0"/>
        <w:adjustRightInd w:val="0"/>
        <w:spacing w:after="0"/>
        <w:jc w:val="both"/>
        <w:rPr>
          <w:rFonts w:ascii="Arial" w:hAnsi="Arial" w:cs="Arial"/>
          <w:sz w:val="24"/>
          <w:szCs w:val="24"/>
        </w:rPr>
      </w:pPr>
    </w:p>
    <w:p w:rsidR="00F6714D" w:rsidRPr="00722DF4" w:rsidRDefault="00F6714D" w:rsidP="00722DF4">
      <w:pPr>
        <w:autoSpaceDE w:val="0"/>
        <w:autoSpaceDN w:val="0"/>
        <w:adjustRightInd w:val="0"/>
        <w:spacing w:after="0"/>
        <w:jc w:val="both"/>
        <w:rPr>
          <w:rFonts w:ascii="Arial" w:hAnsi="Arial" w:cs="Arial"/>
          <w:sz w:val="24"/>
          <w:szCs w:val="24"/>
        </w:rPr>
      </w:pPr>
    </w:p>
    <w:p w:rsidR="001C73C1" w:rsidRPr="00722DF4" w:rsidRDefault="00B85B88" w:rsidP="00722DF4">
      <w:pPr>
        <w:pStyle w:val="Heading1"/>
        <w:numPr>
          <w:ilvl w:val="0"/>
          <w:numId w:val="0"/>
        </w:numPr>
        <w:spacing w:before="0"/>
        <w:jc w:val="both"/>
        <w:rPr>
          <w:rFonts w:cs="Arial"/>
          <w:szCs w:val="24"/>
        </w:rPr>
      </w:pPr>
      <w:bookmarkStart w:id="60" w:name="_Toc6172849"/>
      <w:r w:rsidRPr="00722DF4">
        <w:rPr>
          <w:rFonts w:cs="Arial"/>
          <w:szCs w:val="24"/>
        </w:rPr>
        <w:t>10. OPIS PROGRAMA PRAĆENJA STANJA ŽIVOTNE SREDINE, UKLJUČUJUĆI I ZDRAVLJE LJUDI (MONITORING)</w:t>
      </w:r>
      <w:bookmarkEnd w:id="60"/>
    </w:p>
    <w:p w:rsidR="00AE6692" w:rsidRPr="00722DF4" w:rsidRDefault="00AE6692" w:rsidP="00722DF4">
      <w:pPr>
        <w:pStyle w:val="T30X"/>
        <w:spacing w:before="0" w:after="0" w:line="276" w:lineRule="auto"/>
        <w:ind w:firstLine="0"/>
        <w:rPr>
          <w:rFonts w:ascii="Arial" w:hAnsi="Arial" w:cs="Arial"/>
          <w:sz w:val="24"/>
          <w:szCs w:val="24"/>
        </w:rPr>
      </w:pPr>
    </w:p>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S obzirom da će realizacija </w:t>
      </w:r>
      <w:r w:rsidR="00700739">
        <w:rPr>
          <w:rFonts w:ascii="Arial" w:hAnsi="Arial" w:cs="Arial"/>
          <w:sz w:val="24"/>
          <w:szCs w:val="24"/>
        </w:rPr>
        <w:t xml:space="preserve">Plana eksploatacije mineralnih sirovina </w:t>
      </w:r>
      <w:r w:rsidRPr="00722DF4">
        <w:rPr>
          <w:rFonts w:ascii="Arial" w:hAnsi="Arial" w:cs="Arial"/>
          <w:sz w:val="24"/>
          <w:szCs w:val="24"/>
        </w:rPr>
        <w:t>imati određene uticaje na životnu sredinu, bitno je vr</w:t>
      </w:r>
      <w:r w:rsidR="00700739">
        <w:rPr>
          <w:rFonts w:ascii="Arial" w:hAnsi="Arial" w:cs="Arial"/>
          <w:sz w:val="24"/>
          <w:szCs w:val="24"/>
        </w:rPr>
        <w:t>šiti monitoring realizacije aktivnosti</w:t>
      </w:r>
      <w:r w:rsidRPr="00722DF4">
        <w:rPr>
          <w:rFonts w:ascii="Arial" w:hAnsi="Arial" w:cs="Arial"/>
          <w:sz w:val="24"/>
          <w:szCs w:val="24"/>
        </w:rPr>
        <w:t xml:space="preserve">, </w:t>
      </w:r>
      <w:r w:rsidR="0006097A" w:rsidRPr="00722DF4">
        <w:rPr>
          <w:rFonts w:ascii="Arial" w:hAnsi="Arial" w:cs="Arial"/>
          <w:sz w:val="24"/>
          <w:szCs w:val="24"/>
        </w:rPr>
        <w:t xml:space="preserve">početno (nulto stanje), </w:t>
      </w:r>
      <w:r w:rsidRPr="00722DF4">
        <w:rPr>
          <w:rFonts w:ascii="Arial" w:hAnsi="Arial" w:cs="Arial"/>
          <w:sz w:val="24"/>
          <w:szCs w:val="24"/>
        </w:rPr>
        <w:t>tokom izgradnje i tokom eksploatacije, kako bi bili utvrđeni eventualni nepredviđeni negativni</w:t>
      </w:r>
      <w:r w:rsidR="00700739">
        <w:rPr>
          <w:rFonts w:ascii="Arial" w:hAnsi="Arial" w:cs="Arial"/>
          <w:sz w:val="24"/>
          <w:szCs w:val="24"/>
        </w:rPr>
        <w:t xml:space="preserve"> </w:t>
      </w:r>
      <w:r w:rsidRPr="00722DF4">
        <w:rPr>
          <w:rFonts w:ascii="Arial" w:hAnsi="Arial" w:cs="Arial"/>
          <w:sz w:val="24"/>
          <w:szCs w:val="24"/>
        </w:rPr>
        <w:t>uticaji i kako bi se omogućilo preduzimanje adekvatnih korektivnih mjera.</w:t>
      </w:r>
    </w:p>
    <w:p w:rsidR="00AE6692" w:rsidRPr="00722DF4" w:rsidRDefault="00AE6692" w:rsidP="00722DF4">
      <w:pPr>
        <w:autoSpaceDE w:val="0"/>
        <w:autoSpaceDN w:val="0"/>
        <w:adjustRightInd w:val="0"/>
        <w:spacing w:after="0"/>
        <w:jc w:val="both"/>
        <w:rPr>
          <w:rFonts w:ascii="Arial" w:hAnsi="Arial" w:cs="Arial"/>
          <w:sz w:val="24"/>
          <w:szCs w:val="24"/>
        </w:rPr>
      </w:pPr>
    </w:p>
    <w:p w:rsidR="00AE6692" w:rsidRPr="00722DF4" w:rsidRDefault="00700739" w:rsidP="00722DF4">
      <w:pPr>
        <w:autoSpaceDE w:val="0"/>
        <w:autoSpaceDN w:val="0"/>
        <w:adjustRightInd w:val="0"/>
        <w:spacing w:after="0"/>
        <w:jc w:val="both"/>
        <w:rPr>
          <w:rFonts w:ascii="Arial" w:hAnsi="Arial" w:cs="Arial"/>
          <w:sz w:val="24"/>
          <w:szCs w:val="24"/>
        </w:rPr>
      </w:pPr>
      <w:r>
        <w:rPr>
          <w:rFonts w:ascii="Arial" w:hAnsi="Arial" w:cs="Arial"/>
          <w:sz w:val="24"/>
          <w:szCs w:val="24"/>
        </w:rPr>
        <w:lastRenderedPageBreak/>
        <w:t>Monitoring takođe omogućava</w:t>
      </w:r>
      <w:r w:rsidR="00AE6692" w:rsidRPr="00722DF4">
        <w:rPr>
          <w:rFonts w:ascii="Arial" w:hAnsi="Arial" w:cs="Arial"/>
          <w:sz w:val="24"/>
          <w:szCs w:val="24"/>
        </w:rPr>
        <w:t xml:space="preserve"> da</w:t>
      </w:r>
      <w:r w:rsidR="003D609B">
        <w:rPr>
          <w:rFonts w:ascii="Arial" w:hAnsi="Arial" w:cs="Arial"/>
          <w:sz w:val="24"/>
          <w:szCs w:val="24"/>
        </w:rPr>
        <w:t xml:space="preserve"> </w:t>
      </w:r>
      <w:r w:rsidR="00AE6692" w:rsidRPr="00722DF4">
        <w:rPr>
          <w:rFonts w:ascii="Arial" w:hAnsi="Arial" w:cs="Arial"/>
          <w:sz w:val="24"/>
          <w:szCs w:val="24"/>
        </w:rPr>
        <w:t xml:space="preserve"> stvarni značajni uticaji</w:t>
      </w:r>
      <w:r w:rsidR="003D609B">
        <w:rPr>
          <w:rFonts w:ascii="Arial" w:hAnsi="Arial" w:cs="Arial"/>
          <w:sz w:val="24"/>
          <w:szCs w:val="24"/>
        </w:rPr>
        <w:t xml:space="preserve"> vezani za realizaciju Plana eksploatacije mineralnih sirovi</w:t>
      </w:r>
      <w:r w:rsidR="00AE6692" w:rsidRPr="00722DF4">
        <w:rPr>
          <w:rFonts w:ascii="Arial" w:hAnsi="Arial" w:cs="Arial"/>
          <w:sz w:val="24"/>
          <w:szCs w:val="24"/>
        </w:rPr>
        <w:t xml:space="preserve"> na životn</w:t>
      </w:r>
      <w:r w:rsidR="003D609B">
        <w:rPr>
          <w:rFonts w:ascii="Arial" w:hAnsi="Arial" w:cs="Arial"/>
          <w:sz w:val="24"/>
          <w:szCs w:val="24"/>
        </w:rPr>
        <w:t>u sredinu</w:t>
      </w:r>
      <w:r w:rsidR="00AE6692" w:rsidRPr="00722DF4">
        <w:rPr>
          <w:rFonts w:ascii="Arial" w:hAnsi="Arial" w:cs="Arial"/>
          <w:sz w:val="24"/>
          <w:szCs w:val="24"/>
        </w:rPr>
        <w:t xml:space="preserve"> budu</w:t>
      </w:r>
      <w:r w:rsidR="003D609B">
        <w:rPr>
          <w:rFonts w:ascii="Arial" w:hAnsi="Arial" w:cs="Arial"/>
          <w:sz w:val="24"/>
          <w:szCs w:val="24"/>
        </w:rPr>
        <w:t xml:space="preserve"> </w:t>
      </w:r>
      <w:r w:rsidR="00AE6692" w:rsidRPr="00722DF4">
        <w:rPr>
          <w:rFonts w:ascii="Arial" w:hAnsi="Arial" w:cs="Arial"/>
          <w:sz w:val="24"/>
          <w:szCs w:val="24"/>
        </w:rPr>
        <w:t>testirani u odnosu na one koji su prognozirani. On stoga pomaže da se obezbjedi da eventualni problemi koji</w:t>
      </w:r>
      <w:r w:rsidR="003D609B">
        <w:rPr>
          <w:rFonts w:ascii="Arial" w:hAnsi="Arial" w:cs="Arial"/>
          <w:sz w:val="24"/>
          <w:szCs w:val="24"/>
        </w:rPr>
        <w:t xml:space="preserve"> </w:t>
      </w:r>
      <w:r w:rsidR="00AE6692" w:rsidRPr="00722DF4">
        <w:rPr>
          <w:rFonts w:ascii="Arial" w:hAnsi="Arial" w:cs="Arial"/>
          <w:sz w:val="24"/>
          <w:szCs w:val="24"/>
        </w:rPr>
        <w:t xml:space="preserve">se javljaju tokom realizacije, bez obzira na to da li su bili predviđeni, </w:t>
      </w:r>
      <w:r w:rsidR="0006097A" w:rsidRPr="00722DF4">
        <w:rPr>
          <w:rFonts w:ascii="Arial" w:hAnsi="Arial" w:cs="Arial"/>
          <w:sz w:val="24"/>
          <w:szCs w:val="24"/>
        </w:rPr>
        <w:t>bivaju</w:t>
      </w:r>
      <w:r w:rsidR="00AE6692" w:rsidRPr="00722DF4">
        <w:rPr>
          <w:rFonts w:ascii="Arial" w:hAnsi="Arial" w:cs="Arial"/>
          <w:sz w:val="24"/>
          <w:szCs w:val="24"/>
        </w:rPr>
        <w:t xml:space="preserve"> identifikovani.</w:t>
      </w:r>
    </w:p>
    <w:p w:rsidR="00AE6692" w:rsidRPr="00722DF4" w:rsidRDefault="00AE6692" w:rsidP="00722DF4">
      <w:pPr>
        <w:autoSpaceDE w:val="0"/>
        <w:autoSpaceDN w:val="0"/>
        <w:adjustRightInd w:val="0"/>
        <w:spacing w:after="0"/>
        <w:jc w:val="both"/>
        <w:rPr>
          <w:rFonts w:ascii="Arial" w:hAnsi="Arial" w:cs="Arial"/>
          <w:sz w:val="24"/>
          <w:szCs w:val="24"/>
        </w:rPr>
      </w:pPr>
    </w:p>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Monitoring će takođe biti važan za prikupljanje polaznih informacija za buduće planove i programe, kao i zapripremu informacija koje će biti potrebne za procjenu uticaja na životnu sredinu za pojedinačne projekte. Monitoring i procjena progresa ka postizanju</w:t>
      </w:r>
      <w:r w:rsidR="003D609B">
        <w:rPr>
          <w:rFonts w:ascii="Arial" w:hAnsi="Arial" w:cs="Arial"/>
          <w:sz w:val="24"/>
          <w:szCs w:val="24"/>
        </w:rPr>
        <w:t xml:space="preserve"> </w:t>
      </w:r>
      <w:r w:rsidRPr="00722DF4">
        <w:rPr>
          <w:rFonts w:ascii="Arial" w:hAnsi="Arial" w:cs="Arial"/>
          <w:sz w:val="24"/>
          <w:szCs w:val="24"/>
        </w:rPr>
        <w:t>ciljeva mogu predstavljati ključni dio mehanizma povratnih informacija. Povratne informacije iz procesa</w:t>
      </w:r>
      <w:r w:rsidR="003D609B">
        <w:rPr>
          <w:rFonts w:ascii="Arial" w:hAnsi="Arial" w:cs="Arial"/>
          <w:sz w:val="24"/>
          <w:szCs w:val="24"/>
        </w:rPr>
        <w:t xml:space="preserve"> </w:t>
      </w:r>
      <w:r w:rsidRPr="00722DF4">
        <w:rPr>
          <w:rFonts w:ascii="Arial" w:hAnsi="Arial" w:cs="Arial"/>
          <w:sz w:val="24"/>
          <w:szCs w:val="24"/>
        </w:rPr>
        <w:t>monitoringa pomažu u obezbjeđivanju relevantnijih informacija koje mogu biti korišćene u ukazivanju naodređene probleme u radu i značajne efekte, i konačno dovode do donošenja odluka na osnovu višeinformacija.</w:t>
      </w:r>
    </w:p>
    <w:p w:rsidR="00AE6692" w:rsidRPr="00722DF4" w:rsidRDefault="00AE6692" w:rsidP="00722DF4">
      <w:pPr>
        <w:autoSpaceDE w:val="0"/>
        <w:autoSpaceDN w:val="0"/>
        <w:adjustRightInd w:val="0"/>
        <w:spacing w:after="0"/>
        <w:jc w:val="both"/>
        <w:rPr>
          <w:rFonts w:ascii="Arial" w:hAnsi="Arial" w:cs="Arial"/>
          <w:sz w:val="24"/>
          <w:szCs w:val="24"/>
        </w:rPr>
      </w:pPr>
    </w:p>
    <w:p w:rsidR="006C4113"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tabeli </w:t>
      </w:r>
      <w:r w:rsidR="00630B11" w:rsidRPr="00722DF4">
        <w:rPr>
          <w:rFonts w:ascii="Arial" w:hAnsi="Arial" w:cs="Arial"/>
          <w:sz w:val="24"/>
          <w:szCs w:val="24"/>
        </w:rPr>
        <w:t>10.1 je</w:t>
      </w:r>
      <w:r w:rsidRPr="00722DF4">
        <w:rPr>
          <w:rFonts w:ascii="Arial" w:hAnsi="Arial" w:cs="Arial"/>
          <w:sz w:val="24"/>
          <w:szCs w:val="24"/>
        </w:rPr>
        <w:t xml:space="preserve"> dat </w:t>
      </w:r>
      <w:r w:rsidR="005D512C">
        <w:rPr>
          <w:rFonts w:ascii="Arial" w:hAnsi="Arial" w:cs="Arial"/>
          <w:sz w:val="24"/>
          <w:szCs w:val="24"/>
        </w:rPr>
        <w:t xml:space="preserve">predlog monitoring program. </w:t>
      </w:r>
      <w:r w:rsidRPr="00722DF4">
        <w:rPr>
          <w:rFonts w:ascii="Arial" w:hAnsi="Arial" w:cs="Arial"/>
          <w:sz w:val="24"/>
          <w:szCs w:val="24"/>
        </w:rPr>
        <w:t>Nosioc realizacije aktivnosti monitoring</w:t>
      </w:r>
      <w:r w:rsidR="005D512C">
        <w:rPr>
          <w:rFonts w:ascii="Arial" w:hAnsi="Arial" w:cs="Arial"/>
          <w:sz w:val="24"/>
          <w:szCs w:val="24"/>
        </w:rPr>
        <w:t>a</w:t>
      </w:r>
      <w:r w:rsidRPr="00722DF4">
        <w:rPr>
          <w:rFonts w:ascii="Arial" w:hAnsi="Arial" w:cs="Arial"/>
          <w:sz w:val="24"/>
          <w:szCs w:val="24"/>
        </w:rPr>
        <w:t xml:space="preserve"> je Ministarstvo </w:t>
      </w:r>
      <w:r w:rsidR="005D512C">
        <w:rPr>
          <w:rFonts w:ascii="Arial" w:hAnsi="Arial" w:cs="Arial"/>
          <w:sz w:val="24"/>
          <w:szCs w:val="24"/>
        </w:rPr>
        <w:t>ekonomije u saradnji sa ostalim nadležnim državnim služabama (Uprava za inspekcijske poslove)</w:t>
      </w:r>
      <w:r w:rsidR="004D7972">
        <w:rPr>
          <w:rFonts w:ascii="Arial" w:hAnsi="Arial" w:cs="Arial"/>
          <w:sz w:val="24"/>
          <w:szCs w:val="24"/>
        </w:rPr>
        <w:t xml:space="preserve">.  </w:t>
      </w:r>
    </w:p>
    <w:p w:rsidR="004D7972" w:rsidRPr="004D7972" w:rsidRDefault="004D7972" w:rsidP="00722DF4">
      <w:pPr>
        <w:autoSpaceDE w:val="0"/>
        <w:autoSpaceDN w:val="0"/>
        <w:adjustRightInd w:val="0"/>
        <w:spacing w:after="0"/>
        <w:jc w:val="both"/>
        <w:rPr>
          <w:rFonts w:ascii="Arial" w:hAnsi="Arial" w:cs="Arial"/>
          <w:sz w:val="24"/>
          <w:szCs w:val="24"/>
        </w:rPr>
      </w:pPr>
    </w:p>
    <w:p w:rsidR="00071C88" w:rsidRPr="007806FD" w:rsidRDefault="00AE6692" w:rsidP="00722DF4">
      <w:pPr>
        <w:autoSpaceDE w:val="0"/>
        <w:autoSpaceDN w:val="0"/>
        <w:adjustRightInd w:val="0"/>
        <w:spacing w:after="0"/>
        <w:jc w:val="both"/>
        <w:rPr>
          <w:rFonts w:ascii="Arial" w:hAnsi="Arial" w:cs="Arial"/>
          <w:i/>
        </w:rPr>
      </w:pPr>
      <w:r w:rsidRPr="007806FD">
        <w:rPr>
          <w:rFonts w:ascii="Arial" w:hAnsi="Arial" w:cs="Arial"/>
          <w:b/>
        </w:rPr>
        <w:t>Tabel</w:t>
      </w:r>
      <w:r w:rsidR="00630B11" w:rsidRPr="007806FD">
        <w:rPr>
          <w:rFonts w:ascii="Arial" w:hAnsi="Arial" w:cs="Arial"/>
          <w:b/>
        </w:rPr>
        <w:t xml:space="preserve">a 10.1. </w:t>
      </w:r>
      <w:r w:rsidRPr="007806FD">
        <w:rPr>
          <w:rFonts w:ascii="Arial" w:hAnsi="Arial" w:cs="Arial"/>
        </w:rPr>
        <w:t xml:space="preserve">Program </w:t>
      </w:r>
      <w:r w:rsidR="00071C88" w:rsidRPr="007806FD">
        <w:rPr>
          <w:rFonts w:ascii="Arial" w:hAnsi="Arial" w:cs="Arial"/>
        </w:rPr>
        <w:t>monitoring</w:t>
      </w:r>
      <w:r w:rsidR="003D609B" w:rsidRPr="007806FD">
        <w:rPr>
          <w:rFonts w:ascii="Arial" w:hAnsi="Arial" w:cs="Arial"/>
        </w:rPr>
        <w: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7"/>
        <w:gridCol w:w="5333"/>
      </w:tblGrid>
      <w:tr w:rsidR="00AE6692" w:rsidRPr="00722DF4" w:rsidTr="005D512C">
        <w:trPr>
          <w:trHeight w:val="477"/>
        </w:trPr>
        <w:tc>
          <w:tcPr>
            <w:tcW w:w="4101" w:type="dxa"/>
            <w:shd w:val="clear" w:color="auto" w:fill="CCFFFF"/>
            <w:vAlign w:val="center"/>
          </w:tcPr>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b/>
                <w:bCs/>
                <w:sz w:val="24"/>
                <w:szCs w:val="24"/>
              </w:rPr>
              <w:t>Tema/Indikator</w:t>
            </w:r>
          </w:p>
        </w:tc>
        <w:tc>
          <w:tcPr>
            <w:tcW w:w="5462" w:type="dxa"/>
            <w:tcBorders>
              <w:right w:val="single" w:sz="4" w:space="0" w:color="auto"/>
            </w:tcBorders>
            <w:shd w:val="clear" w:color="auto" w:fill="CCFFFF"/>
            <w:vAlign w:val="center"/>
          </w:tcPr>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b/>
                <w:bCs/>
                <w:sz w:val="24"/>
                <w:szCs w:val="24"/>
              </w:rPr>
              <w:t>Aktivnosti monitoringa</w:t>
            </w:r>
          </w:p>
        </w:tc>
      </w:tr>
      <w:tr w:rsidR="00AE6692" w:rsidRPr="00722DF4" w:rsidTr="00AE6692">
        <w:trPr>
          <w:trHeight w:val="307"/>
        </w:trPr>
        <w:tc>
          <w:tcPr>
            <w:tcW w:w="4101" w:type="dxa"/>
          </w:tcPr>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Biodiverzitet –</w:t>
            </w:r>
          </w:p>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Flora - Fauna</w:t>
            </w:r>
          </w:p>
        </w:tc>
        <w:tc>
          <w:tcPr>
            <w:tcW w:w="5462" w:type="dxa"/>
            <w:tcBorders>
              <w:right w:val="single" w:sz="4" w:space="0" w:color="auto"/>
            </w:tcBorders>
          </w:tcPr>
          <w:p w:rsidR="00AE6692" w:rsidRPr="00722DF4" w:rsidRDefault="003D609B" w:rsidP="00722DF4">
            <w:pPr>
              <w:autoSpaceDE w:val="0"/>
              <w:autoSpaceDN w:val="0"/>
              <w:adjustRightInd w:val="0"/>
              <w:spacing w:after="0"/>
              <w:jc w:val="both"/>
              <w:rPr>
                <w:rFonts w:ascii="Arial" w:hAnsi="Arial" w:cs="Arial"/>
                <w:sz w:val="24"/>
                <w:szCs w:val="24"/>
              </w:rPr>
            </w:pPr>
            <w:r>
              <w:rPr>
                <w:rFonts w:ascii="Arial" w:eastAsia="SymbolMT" w:hAnsi="Arial" w:cs="Arial"/>
                <w:sz w:val="24"/>
                <w:szCs w:val="24"/>
              </w:rPr>
              <w:t>• A</w:t>
            </w:r>
            <w:r w:rsidR="00AE6692" w:rsidRPr="00722DF4">
              <w:rPr>
                <w:rFonts w:ascii="Arial" w:hAnsi="Arial" w:cs="Arial"/>
                <w:sz w:val="24"/>
                <w:szCs w:val="24"/>
              </w:rPr>
              <w:t>naliza staništa u skladu sa klasifikacijom</w:t>
            </w:r>
          </w:p>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Direktive o staništima i pticama</w:t>
            </w:r>
          </w:p>
        </w:tc>
      </w:tr>
      <w:tr w:rsidR="00AE6692" w:rsidRPr="00722DF4" w:rsidTr="00AE6692">
        <w:trPr>
          <w:trHeight w:val="307"/>
        </w:trPr>
        <w:tc>
          <w:tcPr>
            <w:tcW w:w="4101" w:type="dxa"/>
          </w:tcPr>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Geologija</w:t>
            </w:r>
          </w:p>
          <w:p w:rsidR="00AE6692" w:rsidRPr="00722DF4" w:rsidRDefault="00AE6692" w:rsidP="00722DF4">
            <w:pPr>
              <w:autoSpaceDE w:val="0"/>
              <w:autoSpaceDN w:val="0"/>
              <w:adjustRightInd w:val="0"/>
              <w:spacing w:after="0"/>
              <w:jc w:val="both"/>
              <w:rPr>
                <w:rFonts w:ascii="Arial" w:hAnsi="Arial" w:cs="Arial"/>
                <w:sz w:val="24"/>
                <w:szCs w:val="24"/>
              </w:rPr>
            </w:pPr>
          </w:p>
          <w:p w:rsidR="00AE6692" w:rsidRPr="00722DF4" w:rsidRDefault="00AE6692" w:rsidP="00722DF4">
            <w:pPr>
              <w:autoSpaceDE w:val="0"/>
              <w:autoSpaceDN w:val="0"/>
              <w:adjustRightInd w:val="0"/>
              <w:spacing w:after="0"/>
              <w:jc w:val="both"/>
              <w:rPr>
                <w:rFonts w:ascii="Arial" w:hAnsi="Arial" w:cs="Arial"/>
                <w:sz w:val="24"/>
                <w:szCs w:val="24"/>
              </w:rPr>
            </w:pPr>
          </w:p>
        </w:tc>
        <w:tc>
          <w:tcPr>
            <w:tcW w:w="5462" w:type="dxa"/>
          </w:tcPr>
          <w:p w:rsidR="00AE6692" w:rsidRDefault="00AE6692" w:rsidP="00722DF4">
            <w:pPr>
              <w:autoSpaceDE w:val="0"/>
              <w:autoSpaceDN w:val="0"/>
              <w:adjustRightInd w:val="0"/>
              <w:spacing w:after="0"/>
              <w:jc w:val="both"/>
              <w:rPr>
                <w:rFonts w:ascii="Arial" w:hAnsi="Arial" w:cs="Arial"/>
                <w:sz w:val="24"/>
                <w:szCs w:val="24"/>
              </w:rPr>
            </w:pPr>
            <w:r w:rsidRPr="00722DF4">
              <w:rPr>
                <w:rFonts w:ascii="Arial" w:eastAsia="SymbolMT" w:hAnsi="Arial" w:cs="Arial"/>
                <w:sz w:val="24"/>
                <w:szCs w:val="24"/>
              </w:rPr>
              <w:t xml:space="preserve">• </w:t>
            </w:r>
            <w:r w:rsidR="003D609B">
              <w:rPr>
                <w:rFonts w:ascii="Arial" w:eastAsia="SymbolMT" w:hAnsi="Arial" w:cs="Arial"/>
                <w:sz w:val="24"/>
                <w:szCs w:val="24"/>
              </w:rPr>
              <w:t xml:space="preserve"> </w:t>
            </w:r>
            <w:r w:rsidR="003D609B" w:rsidRPr="00722DF4">
              <w:rPr>
                <w:rFonts w:ascii="Arial" w:eastAsia="SymbolMT" w:hAnsi="Arial" w:cs="Arial"/>
                <w:sz w:val="24"/>
                <w:szCs w:val="24"/>
              </w:rPr>
              <w:t>Redovan monitoring kontrole erozije</w:t>
            </w:r>
            <w:r w:rsidR="003D609B">
              <w:rPr>
                <w:rFonts w:ascii="Arial" w:eastAsia="SymbolMT" w:hAnsi="Arial" w:cs="Arial"/>
                <w:sz w:val="24"/>
                <w:szCs w:val="24"/>
              </w:rPr>
              <w:t xml:space="preserve"> i stabilnosti kosina</w:t>
            </w:r>
          </w:p>
          <w:p w:rsidR="003D609B" w:rsidRDefault="003D609B" w:rsidP="00663F7F">
            <w:pPr>
              <w:numPr>
                <w:ilvl w:val="0"/>
                <w:numId w:val="25"/>
              </w:numPr>
              <w:autoSpaceDE w:val="0"/>
              <w:autoSpaceDN w:val="0"/>
              <w:adjustRightInd w:val="0"/>
              <w:spacing w:after="0"/>
              <w:ind w:left="357" w:hanging="357"/>
              <w:jc w:val="both"/>
              <w:rPr>
                <w:rFonts w:ascii="Arial" w:hAnsi="Arial" w:cs="Arial"/>
                <w:sz w:val="24"/>
                <w:szCs w:val="24"/>
              </w:rPr>
            </w:pPr>
            <w:r>
              <w:rPr>
                <w:rFonts w:ascii="Arial" w:hAnsi="Arial" w:cs="Arial"/>
                <w:sz w:val="24"/>
                <w:szCs w:val="24"/>
              </w:rPr>
              <w:t>Kontrola količina eksploatisanih mineralnih sirovina i obuhvata radova u prostoru – frontovi napredovanja rudnika</w:t>
            </w:r>
          </w:p>
          <w:p w:rsidR="003D609B" w:rsidRPr="00722DF4" w:rsidRDefault="003D609B" w:rsidP="003D609B">
            <w:pPr>
              <w:autoSpaceDE w:val="0"/>
              <w:autoSpaceDN w:val="0"/>
              <w:adjustRightInd w:val="0"/>
              <w:spacing w:after="0"/>
              <w:ind w:left="1178"/>
              <w:jc w:val="both"/>
              <w:rPr>
                <w:rFonts w:ascii="Arial" w:hAnsi="Arial" w:cs="Arial"/>
                <w:sz w:val="24"/>
                <w:szCs w:val="24"/>
              </w:rPr>
            </w:pPr>
          </w:p>
        </w:tc>
      </w:tr>
      <w:tr w:rsidR="00AE6692" w:rsidRPr="00722DF4" w:rsidTr="00AE6692">
        <w:trPr>
          <w:trHeight w:val="307"/>
        </w:trPr>
        <w:tc>
          <w:tcPr>
            <w:tcW w:w="4101" w:type="dxa"/>
          </w:tcPr>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Kvalitet zemljišta</w:t>
            </w:r>
          </w:p>
        </w:tc>
        <w:tc>
          <w:tcPr>
            <w:tcW w:w="5462" w:type="dxa"/>
          </w:tcPr>
          <w:p w:rsidR="00AE6692" w:rsidRPr="00722DF4" w:rsidRDefault="003D609B" w:rsidP="00663F7F">
            <w:pPr>
              <w:pStyle w:val="ColorfulList-Accent11"/>
              <w:numPr>
                <w:ilvl w:val="0"/>
                <w:numId w:val="10"/>
              </w:numPr>
              <w:autoSpaceDE w:val="0"/>
              <w:autoSpaceDN w:val="0"/>
              <w:adjustRightInd w:val="0"/>
              <w:spacing w:after="0"/>
              <w:ind w:left="294" w:hanging="294"/>
              <w:jc w:val="both"/>
              <w:rPr>
                <w:rFonts w:ascii="Arial" w:eastAsia="SymbolMT" w:hAnsi="Arial" w:cs="Arial"/>
                <w:sz w:val="24"/>
                <w:szCs w:val="24"/>
              </w:rPr>
            </w:pPr>
            <w:r>
              <w:rPr>
                <w:rFonts w:ascii="Arial" w:eastAsia="SymbolMT" w:hAnsi="Arial" w:cs="Arial"/>
                <w:sz w:val="24"/>
                <w:szCs w:val="24"/>
              </w:rPr>
              <w:t>A</w:t>
            </w:r>
            <w:r w:rsidR="00AE6692" w:rsidRPr="00722DF4">
              <w:rPr>
                <w:rFonts w:ascii="Arial" w:eastAsia="SymbolMT" w:hAnsi="Arial" w:cs="Arial"/>
                <w:sz w:val="24"/>
                <w:szCs w:val="24"/>
              </w:rPr>
              <w:t xml:space="preserve">naliza kvaliteta zemljišta </w:t>
            </w:r>
            <w:r w:rsidR="00AE6692" w:rsidRPr="00722DF4">
              <w:rPr>
                <w:rFonts w:ascii="Arial" w:hAnsi="Arial" w:cs="Arial"/>
                <w:sz w:val="24"/>
                <w:szCs w:val="24"/>
              </w:rPr>
              <w:t xml:space="preserve">u oblastima u kojim se </w:t>
            </w:r>
            <w:r>
              <w:rPr>
                <w:rFonts w:ascii="Arial" w:hAnsi="Arial" w:cs="Arial"/>
                <w:sz w:val="24"/>
                <w:szCs w:val="24"/>
              </w:rPr>
              <w:t>izvodi ili planira</w:t>
            </w:r>
            <w:r w:rsidR="00AE6692" w:rsidRPr="00722DF4">
              <w:rPr>
                <w:rFonts w:ascii="Arial" w:hAnsi="Arial" w:cs="Arial"/>
                <w:sz w:val="24"/>
                <w:szCs w:val="24"/>
              </w:rPr>
              <w:t xml:space="preserve"> </w:t>
            </w:r>
            <w:r>
              <w:rPr>
                <w:rFonts w:ascii="Arial" w:hAnsi="Arial" w:cs="Arial"/>
                <w:sz w:val="24"/>
                <w:szCs w:val="24"/>
              </w:rPr>
              <w:t>eksploatacija mineralnih sirovina</w:t>
            </w:r>
            <w:r w:rsidR="00AE6692" w:rsidRPr="00722DF4">
              <w:rPr>
                <w:rFonts w:ascii="Arial" w:hAnsi="Arial" w:cs="Arial"/>
                <w:sz w:val="24"/>
                <w:szCs w:val="24"/>
              </w:rPr>
              <w:t xml:space="preserve">  </w:t>
            </w:r>
          </w:p>
        </w:tc>
      </w:tr>
      <w:tr w:rsidR="00AE6692" w:rsidRPr="00722DF4" w:rsidTr="00AE6692">
        <w:trPr>
          <w:trHeight w:val="307"/>
        </w:trPr>
        <w:tc>
          <w:tcPr>
            <w:tcW w:w="4101" w:type="dxa"/>
          </w:tcPr>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Kvalitet vode</w:t>
            </w:r>
          </w:p>
          <w:p w:rsidR="00AE6692" w:rsidRPr="00722DF4" w:rsidRDefault="00AE6692" w:rsidP="00722DF4">
            <w:pPr>
              <w:autoSpaceDE w:val="0"/>
              <w:autoSpaceDN w:val="0"/>
              <w:adjustRightInd w:val="0"/>
              <w:spacing w:after="0"/>
              <w:jc w:val="both"/>
              <w:rPr>
                <w:rFonts w:ascii="Arial" w:hAnsi="Arial" w:cs="Arial"/>
                <w:sz w:val="24"/>
                <w:szCs w:val="24"/>
              </w:rPr>
            </w:pPr>
          </w:p>
        </w:tc>
        <w:tc>
          <w:tcPr>
            <w:tcW w:w="5462" w:type="dxa"/>
          </w:tcPr>
          <w:p w:rsidR="00AE6692" w:rsidRDefault="00AE6692" w:rsidP="003D609B">
            <w:pPr>
              <w:autoSpaceDE w:val="0"/>
              <w:autoSpaceDN w:val="0"/>
              <w:adjustRightInd w:val="0"/>
              <w:spacing w:after="0"/>
              <w:jc w:val="both"/>
              <w:rPr>
                <w:rFonts w:ascii="Arial" w:hAnsi="Arial" w:cs="Arial"/>
                <w:sz w:val="24"/>
                <w:szCs w:val="24"/>
              </w:rPr>
            </w:pPr>
            <w:r w:rsidRPr="00722DF4">
              <w:rPr>
                <w:rFonts w:ascii="Arial" w:eastAsia="SymbolMT" w:hAnsi="Arial" w:cs="Arial"/>
                <w:sz w:val="24"/>
                <w:szCs w:val="24"/>
              </w:rPr>
              <w:t xml:space="preserve">• </w:t>
            </w:r>
            <w:r w:rsidR="003D609B">
              <w:rPr>
                <w:rFonts w:ascii="Arial" w:hAnsi="Arial" w:cs="Arial"/>
                <w:sz w:val="24"/>
                <w:szCs w:val="24"/>
              </w:rPr>
              <w:t>Analiza</w:t>
            </w:r>
            <w:r w:rsidRPr="00722DF4">
              <w:rPr>
                <w:rFonts w:ascii="Arial" w:hAnsi="Arial" w:cs="Arial"/>
                <w:sz w:val="24"/>
                <w:szCs w:val="24"/>
              </w:rPr>
              <w:t xml:space="preserve"> kvalitet</w:t>
            </w:r>
            <w:r w:rsidR="003D609B">
              <w:rPr>
                <w:rFonts w:ascii="Arial" w:hAnsi="Arial" w:cs="Arial"/>
                <w:sz w:val="24"/>
                <w:szCs w:val="24"/>
              </w:rPr>
              <w:t>a</w:t>
            </w:r>
            <w:r w:rsidRPr="00722DF4">
              <w:rPr>
                <w:rFonts w:ascii="Arial" w:hAnsi="Arial" w:cs="Arial"/>
                <w:sz w:val="24"/>
                <w:szCs w:val="24"/>
              </w:rPr>
              <w:t xml:space="preserve"> vode, pun opseg parametara, uključujući teške metale (površinske i podzemne vode koje se nalaze u oblastima u kojim</w:t>
            </w:r>
            <w:r w:rsidR="003D609B">
              <w:rPr>
                <w:rFonts w:ascii="Arial" w:hAnsi="Arial" w:cs="Arial"/>
                <w:sz w:val="24"/>
                <w:szCs w:val="24"/>
              </w:rPr>
              <w:t>a</w:t>
            </w:r>
            <w:r w:rsidRPr="00722DF4">
              <w:rPr>
                <w:rFonts w:ascii="Arial" w:hAnsi="Arial" w:cs="Arial"/>
                <w:sz w:val="24"/>
                <w:szCs w:val="24"/>
              </w:rPr>
              <w:t xml:space="preserve"> se </w:t>
            </w:r>
            <w:r w:rsidR="003D609B" w:rsidRPr="00722DF4">
              <w:rPr>
                <w:rFonts w:ascii="Arial" w:hAnsi="Arial" w:cs="Arial"/>
                <w:sz w:val="24"/>
                <w:szCs w:val="24"/>
              </w:rPr>
              <w:t xml:space="preserve">se </w:t>
            </w:r>
            <w:r w:rsidR="003D609B">
              <w:rPr>
                <w:rFonts w:ascii="Arial" w:hAnsi="Arial" w:cs="Arial"/>
                <w:sz w:val="24"/>
                <w:szCs w:val="24"/>
              </w:rPr>
              <w:t>izvodi ili planira</w:t>
            </w:r>
            <w:r w:rsidR="003D609B" w:rsidRPr="00722DF4">
              <w:rPr>
                <w:rFonts w:ascii="Arial" w:hAnsi="Arial" w:cs="Arial"/>
                <w:sz w:val="24"/>
                <w:szCs w:val="24"/>
              </w:rPr>
              <w:t xml:space="preserve"> </w:t>
            </w:r>
            <w:r w:rsidR="003D609B">
              <w:rPr>
                <w:rFonts w:ascii="Arial" w:hAnsi="Arial" w:cs="Arial"/>
                <w:sz w:val="24"/>
                <w:szCs w:val="24"/>
              </w:rPr>
              <w:t>eksploatacija mineralnih sirovina)</w:t>
            </w:r>
            <w:r w:rsidR="003D609B" w:rsidRPr="00722DF4">
              <w:rPr>
                <w:rFonts w:ascii="Arial" w:hAnsi="Arial" w:cs="Arial"/>
                <w:sz w:val="24"/>
                <w:szCs w:val="24"/>
              </w:rPr>
              <w:t xml:space="preserve">  </w:t>
            </w:r>
          </w:p>
          <w:p w:rsidR="003D609B" w:rsidRPr="00722DF4" w:rsidRDefault="003D609B" w:rsidP="00663F7F">
            <w:pPr>
              <w:pStyle w:val="ColorfulList-Accent11"/>
              <w:numPr>
                <w:ilvl w:val="0"/>
                <w:numId w:val="10"/>
              </w:numPr>
              <w:autoSpaceDE w:val="0"/>
              <w:autoSpaceDN w:val="0"/>
              <w:adjustRightInd w:val="0"/>
              <w:spacing w:after="0"/>
              <w:ind w:left="294" w:hanging="284"/>
              <w:jc w:val="both"/>
              <w:rPr>
                <w:rFonts w:ascii="Arial" w:eastAsia="SymbolMT" w:hAnsi="Arial" w:cs="Arial"/>
                <w:sz w:val="24"/>
                <w:szCs w:val="24"/>
              </w:rPr>
            </w:pPr>
            <w:r w:rsidRPr="00722DF4">
              <w:rPr>
                <w:rFonts w:ascii="Arial" w:eastAsia="SymbolMT" w:hAnsi="Arial" w:cs="Arial"/>
                <w:sz w:val="24"/>
                <w:szCs w:val="24"/>
              </w:rPr>
              <w:t xml:space="preserve">Utvrditi da su na lokaciji izgrađeni sanitarni </w:t>
            </w:r>
          </w:p>
          <w:p w:rsidR="003D609B" w:rsidRPr="00722DF4" w:rsidRDefault="003D609B" w:rsidP="003D609B">
            <w:pPr>
              <w:autoSpaceDE w:val="0"/>
              <w:autoSpaceDN w:val="0"/>
              <w:adjustRightInd w:val="0"/>
              <w:spacing w:after="0"/>
              <w:jc w:val="both"/>
              <w:rPr>
                <w:rFonts w:ascii="Arial" w:eastAsia="SymbolMT" w:hAnsi="Arial" w:cs="Arial"/>
                <w:sz w:val="24"/>
                <w:szCs w:val="24"/>
              </w:rPr>
            </w:pPr>
            <w:r w:rsidRPr="00722DF4">
              <w:rPr>
                <w:rFonts w:ascii="Arial" w:eastAsia="SymbolMT" w:hAnsi="Arial" w:cs="Arial"/>
                <w:sz w:val="24"/>
                <w:szCs w:val="24"/>
              </w:rPr>
              <w:t xml:space="preserve">   objekti i objekti za otpadne vode u skladu sa  </w:t>
            </w:r>
          </w:p>
          <w:p w:rsidR="003D609B" w:rsidRPr="00722DF4" w:rsidRDefault="003D609B" w:rsidP="003D609B">
            <w:pPr>
              <w:autoSpaceDE w:val="0"/>
              <w:autoSpaceDN w:val="0"/>
              <w:adjustRightInd w:val="0"/>
              <w:spacing w:after="0"/>
              <w:jc w:val="both"/>
              <w:rPr>
                <w:rFonts w:ascii="Arial" w:hAnsi="Arial" w:cs="Arial"/>
                <w:sz w:val="24"/>
                <w:szCs w:val="24"/>
              </w:rPr>
            </w:pPr>
            <w:r w:rsidRPr="00722DF4">
              <w:rPr>
                <w:rFonts w:ascii="Arial" w:eastAsia="SymbolMT" w:hAnsi="Arial" w:cs="Arial"/>
                <w:sz w:val="24"/>
                <w:szCs w:val="24"/>
              </w:rPr>
              <w:t xml:space="preserve">   odgovarajućim higijenskim standardima.</w:t>
            </w:r>
          </w:p>
        </w:tc>
      </w:tr>
      <w:tr w:rsidR="00AE6692" w:rsidRPr="00722DF4" w:rsidTr="00AE6692">
        <w:trPr>
          <w:trHeight w:val="307"/>
        </w:trPr>
        <w:tc>
          <w:tcPr>
            <w:tcW w:w="4101" w:type="dxa"/>
          </w:tcPr>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lastRenderedPageBreak/>
              <w:t xml:space="preserve">Buka </w:t>
            </w:r>
          </w:p>
        </w:tc>
        <w:tc>
          <w:tcPr>
            <w:tcW w:w="5462" w:type="dxa"/>
          </w:tcPr>
          <w:p w:rsidR="00AE6692" w:rsidRPr="00722DF4" w:rsidRDefault="005D512C" w:rsidP="00663F7F">
            <w:pPr>
              <w:pStyle w:val="ColorfulList-Accent11"/>
              <w:numPr>
                <w:ilvl w:val="0"/>
                <w:numId w:val="10"/>
              </w:numPr>
              <w:autoSpaceDE w:val="0"/>
              <w:autoSpaceDN w:val="0"/>
              <w:adjustRightInd w:val="0"/>
              <w:spacing w:after="0"/>
              <w:ind w:left="152" w:hanging="142"/>
              <w:jc w:val="both"/>
              <w:rPr>
                <w:rFonts w:ascii="Arial" w:hAnsi="Arial" w:cs="Arial"/>
                <w:sz w:val="24"/>
                <w:szCs w:val="24"/>
              </w:rPr>
            </w:pPr>
            <w:r>
              <w:rPr>
                <w:rFonts w:ascii="Arial" w:hAnsi="Arial" w:cs="Arial"/>
                <w:sz w:val="24"/>
                <w:szCs w:val="24"/>
              </w:rPr>
              <w:t xml:space="preserve"> </w:t>
            </w:r>
            <w:r w:rsidRPr="00722DF4">
              <w:rPr>
                <w:rFonts w:ascii="Arial" w:hAnsi="Arial" w:cs="Arial"/>
                <w:sz w:val="24"/>
                <w:szCs w:val="24"/>
              </w:rPr>
              <w:t>Redovan godišnji monitoring buke</w:t>
            </w:r>
          </w:p>
        </w:tc>
      </w:tr>
      <w:tr w:rsidR="00AE6692" w:rsidRPr="00722DF4" w:rsidTr="00AE6692">
        <w:trPr>
          <w:trHeight w:val="307"/>
        </w:trPr>
        <w:tc>
          <w:tcPr>
            <w:tcW w:w="4101" w:type="dxa"/>
          </w:tcPr>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Kvalitet vazduha</w:t>
            </w:r>
          </w:p>
        </w:tc>
        <w:tc>
          <w:tcPr>
            <w:tcW w:w="5462" w:type="dxa"/>
          </w:tcPr>
          <w:p w:rsidR="00AE6692" w:rsidRPr="00722DF4" w:rsidRDefault="003D609B" w:rsidP="00663F7F">
            <w:pPr>
              <w:pStyle w:val="ColorfulList-Accent11"/>
              <w:numPr>
                <w:ilvl w:val="0"/>
                <w:numId w:val="10"/>
              </w:numPr>
              <w:autoSpaceDE w:val="0"/>
              <w:autoSpaceDN w:val="0"/>
              <w:adjustRightInd w:val="0"/>
              <w:spacing w:after="0"/>
              <w:ind w:left="152" w:hanging="152"/>
              <w:jc w:val="both"/>
              <w:rPr>
                <w:rFonts w:ascii="Arial" w:hAnsi="Arial" w:cs="Arial"/>
                <w:sz w:val="24"/>
                <w:szCs w:val="24"/>
              </w:rPr>
            </w:pPr>
            <w:r>
              <w:rPr>
                <w:rFonts w:ascii="Arial" w:hAnsi="Arial" w:cs="Arial"/>
                <w:sz w:val="24"/>
                <w:szCs w:val="24"/>
              </w:rPr>
              <w:t xml:space="preserve"> A</w:t>
            </w:r>
            <w:r w:rsidR="00AE6692" w:rsidRPr="00722DF4">
              <w:rPr>
                <w:rFonts w:ascii="Arial" w:hAnsi="Arial" w:cs="Arial"/>
                <w:sz w:val="24"/>
                <w:szCs w:val="24"/>
              </w:rPr>
              <w:t>naliza kvaliteta vazduha u oblastima u kojim</w:t>
            </w:r>
            <w:r>
              <w:rPr>
                <w:rFonts w:ascii="Arial" w:hAnsi="Arial" w:cs="Arial"/>
                <w:sz w:val="24"/>
                <w:szCs w:val="24"/>
              </w:rPr>
              <w:t>a</w:t>
            </w:r>
            <w:r w:rsidR="00AE6692" w:rsidRPr="00722DF4">
              <w:rPr>
                <w:rFonts w:ascii="Arial" w:hAnsi="Arial" w:cs="Arial"/>
                <w:sz w:val="24"/>
                <w:szCs w:val="24"/>
              </w:rPr>
              <w:t xml:space="preserve"> </w:t>
            </w:r>
            <w:r w:rsidRPr="00722DF4">
              <w:rPr>
                <w:rFonts w:ascii="Arial" w:hAnsi="Arial" w:cs="Arial"/>
                <w:sz w:val="24"/>
                <w:szCs w:val="24"/>
              </w:rPr>
              <w:t xml:space="preserve">se </w:t>
            </w:r>
            <w:r>
              <w:rPr>
                <w:rFonts w:ascii="Arial" w:hAnsi="Arial" w:cs="Arial"/>
                <w:sz w:val="24"/>
                <w:szCs w:val="24"/>
              </w:rPr>
              <w:t>izvodi ili planira</w:t>
            </w:r>
            <w:r w:rsidRPr="00722DF4">
              <w:rPr>
                <w:rFonts w:ascii="Arial" w:hAnsi="Arial" w:cs="Arial"/>
                <w:sz w:val="24"/>
                <w:szCs w:val="24"/>
              </w:rPr>
              <w:t xml:space="preserve"> </w:t>
            </w:r>
            <w:r>
              <w:rPr>
                <w:rFonts w:ascii="Arial" w:hAnsi="Arial" w:cs="Arial"/>
                <w:sz w:val="24"/>
                <w:szCs w:val="24"/>
              </w:rPr>
              <w:t>eksploatacija mineralnih sirovina</w:t>
            </w:r>
            <w:r w:rsidRPr="00722DF4">
              <w:rPr>
                <w:rFonts w:ascii="Arial" w:hAnsi="Arial" w:cs="Arial"/>
                <w:sz w:val="24"/>
                <w:szCs w:val="24"/>
              </w:rPr>
              <w:t xml:space="preserve">  </w:t>
            </w:r>
          </w:p>
        </w:tc>
      </w:tr>
    </w:tbl>
    <w:p w:rsidR="00AE6692" w:rsidRPr="00722DF4" w:rsidRDefault="00AE6692" w:rsidP="00722DF4">
      <w:pPr>
        <w:autoSpaceDE w:val="0"/>
        <w:autoSpaceDN w:val="0"/>
        <w:adjustRightInd w:val="0"/>
        <w:spacing w:after="0"/>
        <w:jc w:val="both"/>
        <w:rPr>
          <w:rFonts w:ascii="Arial" w:hAnsi="Arial" w:cs="Arial"/>
          <w:sz w:val="24"/>
          <w:szCs w:val="24"/>
        </w:rPr>
      </w:pPr>
    </w:p>
    <w:p w:rsidR="00AE6692" w:rsidRPr="00722DF4" w:rsidRDefault="00AE6692" w:rsidP="00722DF4">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Realizacija Programa monitoringa </w:t>
      </w:r>
      <w:r w:rsidR="005D512C">
        <w:rPr>
          <w:rFonts w:ascii="Arial" w:hAnsi="Arial" w:cs="Arial"/>
          <w:sz w:val="24"/>
          <w:szCs w:val="24"/>
        </w:rPr>
        <w:t>tokom</w:t>
      </w:r>
      <w:r w:rsidRPr="00722DF4">
        <w:rPr>
          <w:rFonts w:ascii="Arial" w:hAnsi="Arial" w:cs="Arial"/>
          <w:sz w:val="24"/>
          <w:szCs w:val="24"/>
        </w:rPr>
        <w:t xml:space="preserve"> eksploatacije</w:t>
      </w:r>
      <w:r w:rsidR="005D512C">
        <w:rPr>
          <w:rFonts w:ascii="Arial" w:hAnsi="Arial" w:cs="Arial"/>
          <w:sz w:val="24"/>
          <w:szCs w:val="24"/>
        </w:rPr>
        <w:t xml:space="preserve"> mineralnih sirovina</w:t>
      </w:r>
      <w:r w:rsidRPr="00722DF4">
        <w:rPr>
          <w:rFonts w:ascii="Arial" w:hAnsi="Arial" w:cs="Arial"/>
          <w:sz w:val="24"/>
          <w:szCs w:val="24"/>
        </w:rPr>
        <w:t xml:space="preserve"> je značajna s aspekta praćenja uticaja na životnu sredinu i zdravlje ljudi. Posebnu pažnju treba posvetiti praćenju kvaliteta vazduha i nivoa buke kao</w:t>
      </w:r>
      <w:r w:rsidR="0015111B" w:rsidRPr="00722DF4">
        <w:rPr>
          <w:rFonts w:ascii="Arial" w:hAnsi="Arial" w:cs="Arial"/>
          <w:sz w:val="24"/>
          <w:szCs w:val="24"/>
        </w:rPr>
        <w:t xml:space="preserve"> segmente životne sredine, koji </w:t>
      </w:r>
      <w:r w:rsidRPr="00722DF4">
        <w:rPr>
          <w:rFonts w:ascii="Arial" w:hAnsi="Arial" w:cs="Arial"/>
          <w:sz w:val="24"/>
          <w:szCs w:val="24"/>
        </w:rPr>
        <w:t>u ovom slučaju, mogu imati uticaj na zdravlje ljudi.</w:t>
      </w:r>
      <w:r w:rsidR="0015111B" w:rsidRPr="00722DF4">
        <w:rPr>
          <w:rFonts w:ascii="Arial" w:hAnsi="Arial" w:cs="Arial"/>
          <w:sz w:val="24"/>
          <w:szCs w:val="24"/>
        </w:rPr>
        <w:t xml:space="preserve"> </w:t>
      </w:r>
    </w:p>
    <w:p w:rsidR="00AE6692" w:rsidRPr="00722DF4" w:rsidRDefault="00AE6692" w:rsidP="00722DF4">
      <w:pPr>
        <w:autoSpaceDE w:val="0"/>
        <w:autoSpaceDN w:val="0"/>
        <w:adjustRightInd w:val="0"/>
        <w:spacing w:after="0"/>
        <w:jc w:val="both"/>
        <w:rPr>
          <w:rFonts w:ascii="Arial" w:hAnsi="Arial" w:cs="Arial"/>
          <w:sz w:val="24"/>
          <w:szCs w:val="24"/>
        </w:rPr>
      </w:pPr>
    </w:p>
    <w:p w:rsidR="00AE6692" w:rsidRPr="00722DF4" w:rsidRDefault="00AE6692" w:rsidP="00722DF4">
      <w:pPr>
        <w:autoSpaceDE w:val="0"/>
        <w:autoSpaceDN w:val="0"/>
        <w:adjustRightInd w:val="0"/>
        <w:spacing w:after="0"/>
        <w:jc w:val="both"/>
        <w:rPr>
          <w:rFonts w:ascii="Arial" w:hAnsi="Arial" w:cs="Arial"/>
          <w:sz w:val="24"/>
          <w:szCs w:val="24"/>
        </w:rPr>
      </w:pPr>
    </w:p>
    <w:p w:rsidR="005D512C" w:rsidRPr="00722DF4" w:rsidRDefault="005D512C" w:rsidP="00722DF4">
      <w:pPr>
        <w:autoSpaceDE w:val="0"/>
        <w:autoSpaceDN w:val="0"/>
        <w:adjustRightInd w:val="0"/>
        <w:spacing w:after="0"/>
        <w:jc w:val="both"/>
        <w:rPr>
          <w:rFonts w:ascii="Arial" w:hAnsi="Arial" w:cs="Arial"/>
          <w:sz w:val="24"/>
          <w:szCs w:val="24"/>
        </w:rPr>
      </w:pPr>
    </w:p>
    <w:p w:rsidR="005F0CB4" w:rsidRPr="00722DF4" w:rsidRDefault="005F0CB4" w:rsidP="00722DF4">
      <w:pPr>
        <w:spacing w:after="0"/>
        <w:jc w:val="both"/>
        <w:rPr>
          <w:rFonts w:ascii="Arial" w:hAnsi="Arial" w:cs="Arial"/>
          <w:sz w:val="24"/>
          <w:szCs w:val="24"/>
        </w:rPr>
      </w:pPr>
    </w:p>
    <w:p w:rsidR="001C73C1" w:rsidRPr="00722DF4" w:rsidRDefault="00B85B88" w:rsidP="00722DF4">
      <w:pPr>
        <w:pStyle w:val="Heading1"/>
        <w:numPr>
          <w:ilvl w:val="0"/>
          <w:numId w:val="0"/>
        </w:numPr>
        <w:spacing w:before="0"/>
        <w:jc w:val="both"/>
        <w:rPr>
          <w:rFonts w:cs="Arial"/>
          <w:szCs w:val="24"/>
        </w:rPr>
      </w:pPr>
      <w:bookmarkStart w:id="61" w:name="_Toc6172850"/>
      <w:r w:rsidRPr="00722DF4">
        <w:rPr>
          <w:rFonts w:cs="Arial"/>
          <w:szCs w:val="24"/>
        </w:rPr>
        <w:t>11. ZAKLJUČCI DO KOJIH SE DOŠLO TOKOM IZRADE IZVEŠTAJA O STRATEŠKOJ PROCJENI PREDSTAVLJENE NA NAČIN RAZUMLJIV JAVNOSTI</w:t>
      </w:r>
      <w:bookmarkEnd w:id="61"/>
    </w:p>
    <w:p w:rsidR="005F0CB4" w:rsidRPr="00722DF4" w:rsidRDefault="009314BB" w:rsidP="00722DF4">
      <w:pPr>
        <w:spacing w:after="0"/>
        <w:jc w:val="both"/>
        <w:rPr>
          <w:rFonts w:ascii="Arial" w:hAnsi="Arial" w:cs="Arial"/>
          <w:sz w:val="24"/>
          <w:szCs w:val="24"/>
        </w:rPr>
      </w:pPr>
      <w:r>
        <w:rPr>
          <w:rFonts w:ascii="Arial" w:hAnsi="Arial" w:cs="Arial"/>
          <w:sz w:val="24"/>
          <w:szCs w:val="24"/>
        </w:rPr>
        <w:t xml:space="preserve"> </w:t>
      </w:r>
    </w:p>
    <w:p w:rsidR="00610CC6" w:rsidRPr="00722DF4" w:rsidRDefault="00610CC6" w:rsidP="00722DF4">
      <w:pPr>
        <w:spacing w:after="0"/>
        <w:jc w:val="both"/>
        <w:rPr>
          <w:rFonts w:ascii="Arial" w:hAnsi="Arial" w:cs="Arial"/>
          <w:sz w:val="24"/>
          <w:szCs w:val="24"/>
        </w:rPr>
      </w:pPr>
    </w:p>
    <w:p w:rsidR="002859EC" w:rsidRPr="00B11865" w:rsidRDefault="002859EC" w:rsidP="002859EC">
      <w:pPr>
        <w:jc w:val="both"/>
        <w:rPr>
          <w:rFonts w:ascii="Arial" w:eastAsia="Times New Roman" w:hAnsi="Arial" w:cs="Arial"/>
          <w:iCs/>
          <w:color w:val="000000"/>
          <w:sz w:val="24"/>
          <w:szCs w:val="24"/>
          <w:lang w:eastAsia="sl-SI"/>
        </w:rPr>
      </w:pPr>
      <w:r w:rsidRPr="00B11865">
        <w:rPr>
          <w:rFonts w:ascii="Arial" w:eastAsia="Times New Roman" w:hAnsi="Arial" w:cs="Arial"/>
          <w:iCs/>
          <w:color w:val="000000"/>
          <w:sz w:val="24"/>
          <w:szCs w:val="24"/>
          <w:lang w:eastAsia="sl-SI"/>
        </w:rPr>
        <w:t>Programom rada Vlade Crne Gore za 2018. godinu, predviđena je izrada Državnog plana eksploatacije mineral</w:t>
      </w:r>
      <w:r w:rsidR="007806FD">
        <w:rPr>
          <w:rFonts w:ascii="Arial" w:eastAsia="Times New Roman" w:hAnsi="Arial" w:cs="Arial"/>
          <w:iCs/>
          <w:color w:val="000000"/>
          <w:sz w:val="24"/>
          <w:szCs w:val="24"/>
          <w:lang w:eastAsia="sl-SI"/>
        </w:rPr>
        <w:t>nih sirovina za period 2019-2028</w:t>
      </w:r>
      <w:r w:rsidRPr="00B11865">
        <w:rPr>
          <w:rFonts w:ascii="Arial" w:eastAsia="Times New Roman" w:hAnsi="Arial" w:cs="Arial"/>
          <w:iCs/>
          <w:color w:val="000000"/>
          <w:sz w:val="24"/>
          <w:szCs w:val="24"/>
          <w:lang w:eastAsia="sl-SI"/>
        </w:rPr>
        <w:t>. godina sa ciljem planiranja proizvodnje u sektoru rudarstva koji će za rezultat imati racionalno korišćenje mineralnih resursa rukovodeći se principima održivog razvoja i zaštite životne sredine. Shodno tome, cilj izrade Državnog plana je priprema i dobijanje konciznog i jasnog dokumenta sa podacima i saznanjima o svim vrstama mineralnih sirovina koje su do sada otkrivene u Crnoj Gori i definisane članom 4 Uredbe o sadržaju državnog plana eksploatacije mineralnih sirovina, a koje svojim rezervama, kvalitetom, tržišnom tražnjom i ekonomičnošću proizvodnje predstavljaju resurs u momentu sagledavanja.</w:t>
      </w:r>
    </w:p>
    <w:p w:rsidR="002859EC" w:rsidRPr="00B11865" w:rsidRDefault="002859EC" w:rsidP="002859EC">
      <w:pPr>
        <w:jc w:val="both"/>
        <w:rPr>
          <w:rFonts w:ascii="Arial" w:eastAsia="Times New Roman" w:hAnsi="Arial" w:cs="Arial"/>
          <w:iCs/>
          <w:color w:val="000000"/>
          <w:sz w:val="24"/>
          <w:szCs w:val="24"/>
          <w:lang w:eastAsia="sl-SI"/>
        </w:rPr>
      </w:pPr>
      <w:r w:rsidRPr="00B11865">
        <w:rPr>
          <w:rFonts w:ascii="Arial" w:eastAsia="Times New Roman" w:hAnsi="Arial" w:cs="Arial"/>
          <w:iCs/>
          <w:color w:val="000000"/>
          <w:sz w:val="24"/>
          <w:szCs w:val="24"/>
          <w:lang w:eastAsia="sl-SI"/>
        </w:rPr>
        <w:t>Projekcija buduće rudarske aktivnosti u okviru Plana treba da bude sagledana na osnovu:</w:t>
      </w:r>
    </w:p>
    <w:p w:rsidR="002859EC" w:rsidRPr="00B11865" w:rsidRDefault="002859EC" w:rsidP="00663F7F">
      <w:pPr>
        <w:numPr>
          <w:ilvl w:val="0"/>
          <w:numId w:val="31"/>
        </w:numPr>
        <w:spacing w:after="160" w:line="259" w:lineRule="auto"/>
        <w:jc w:val="both"/>
        <w:rPr>
          <w:rFonts w:ascii="Arial" w:eastAsia="Times New Roman" w:hAnsi="Arial" w:cs="Arial"/>
          <w:iCs/>
          <w:color w:val="000000"/>
          <w:sz w:val="24"/>
          <w:szCs w:val="24"/>
          <w:lang w:eastAsia="sl-SI"/>
        </w:rPr>
      </w:pPr>
      <w:r w:rsidRPr="00B11865">
        <w:rPr>
          <w:rFonts w:ascii="Arial" w:eastAsia="Times New Roman" w:hAnsi="Arial" w:cs="Arial"/>
          <w:iCs/>
          <w:color w:val="000000"/>
          <w:sz w:val="24"/>
          <w:szCs w:val="24"/>
          <w:lang w:eastAsia="sl-SI"/>
        </w:rPr>
        <w:t>potencijala bilansnih rezervi za ležišta koja su već u eksploataciji i</w:t>
      </w:r>
    </w:p>
    <w:p w:rsidR="002859EC" w:rsidRPr="00B11865" w:rsidRDefault="002859EC" w:rsidP="00663F7F">
      <w:pPr>
        <w:numPr>
          <w:ilvl w:val="0"/>
          <w:numId w:val="31"/>
        </w:numPr>
        <w:spacing w:after="160" w:line="259" w:lineRule="auto"/>
        <w:jc w:val="both"/>
        <w:rPr>
          <w:rFonts w:ascii="Arial" w:eastAsia="Times New Roman" w:hAnsi="Arial" w:cs="Arial"/>
          <w:iCs/>
          <w:color w:val="000000"/>
          <w:sz w:val="24"/>
          <w:szCs w:val="24"/>
          <w:lang w:eastAsia="sl-SI"/>
        </w:rPr>
      </w:pPr>
      <w:r w:rsidRPr="00B11865">
        <w:rPr>
          <w:rFonts w:ascii="Arial" w:eastAsia="Times New Roman" w:hAnsi="Arial" w:cs="Arial"/>
          <w:iCs/>
          <w:color w:val="000000"/>
          <w:sz w:val="24"/>
          <w:szCs w:val="24"/>
          <w:lang w:eastAsia="sl-SI"/>
        </w:rPr>
        <w:t>sprovedenog geološkog istraživanja i sagledavanja ekonomskog značaja za ležišta koja nisu u eksploataciji, vodeći računa o maksimalnom iskorišćenju ležišta i planiranju radova doistraživanja imajući u vidu neobnovljivost mineralnih (rudnih) resursa.</w:t>
      </w:r>
    </w:p>
    <w:p w:rsidR="002859EC" w:rsidRPr="00B11865" w:rsidRDefault="002859EC" w:rsidP="002859EC">
      <w:pPr>
        <w:jc w:val="both"/>
        <w:rPr>
          <w:rFonts w:ascii="Arial" w:eastAsia="Times New Roman" w:hAnsi="Arial" w:cs="Arial"/>
          <w:iCs/>
          <w:color w:val="000000"/>
          <w:sz w:val="24"/>
          <w:szCs w:val="24"/>
          <w:lang w:eastAsia="sl-SI"/>
        </w:rPr>
      </w:pPr>
      <w:r w:rsidRPr="00B11865">
        <w:rPr>
          <w:rFonts w:ascii="Arial" w:eastAsia="Times New Roman" w:hAnsi="Arial" w:cs="Arial"/>
          <w:iCs/>
          <w:color w:val="000000"/>
          <w:sz w:val="24"/>
          <w:szCs w:val="24"/>
          <w:lang w:eastAsia="sl-SI"/>
        </w:rPr>
        <w:t>Upravljanje resursima na način definisan ovim Planom dovešće do privlačenja investicionih ulaganja u oblasti geoloških istraživanja i rudarstva, stvaranje dodate vrijednosti za lokalne zajednice i Crnu Goru u cjelini kao i transfer znanja i tehnologija savremenih geoloških istraživanja i upravljanja eksploatacijom u rudarstvu.</w:t>
      </w:r>
    </w:p>
    <w:p w:rsidR="002859EC" w:rsidRPr="00B11865" w:rsidRDefault="002859EC" w:rsidP="00B11865">
      <w:pPr>
        <w:spacing w:after="0"/>
        <w:jc w:val="both"/>
        <w:rPr>
          <w:rFonts w:ascii="Arial" w:eastAsia="Times New Roman" w:hAnsi="Arial" w:cs="Arial"/>
          <w:sz w:val="24"/>
          <w:szCs w:val="24"/>
        </w:rPr>
      </w:pPr>
      <w:r w:rsidRPr="00B11865">
        <w:rPr>
          <w:rFonts w:ascii="Arial" w:eastAsia="Times New Roman" w:hAnsi="Arial" w:cs="Arial"/>
          <w:sz w:val="24"/>
          <w:szCs w:val="24"/>
        </w:rPr>
        <w:lastRenderedPageBreak/>
        <w:t>Državni plan, prema čl. 2 Uredbe, sastoji se od Opšteg plana i Plana eksploatacije pojedinih mineralnih sirovina. U Opštem planu navedeni su uopšteni sadržaji o mineralnim sirovinama u Crnoj Gori (član 3), a u Planu eksploatacije: vrste mineralnih sirovina (član 4 i član 5), sa podacima o rezervama, obimu proizvodnje, tehnologiji, tržištu, zaštiti životne sredine i ekonomskim parametrima planirane eksploatacije (član 5).</w:t>
      </w:r>
    </w:p>
    <w:p w:rsidR="002859EC" w:rsidRPr="00B11865" w:rsidRDefault="002859EC" w:rsidP="00B11865">
      <w:pPr>
        <w:spacing w:after="0"/>
        <w:ind w:left="964"/>
        <w:jc w:val="both"/>
        <w:rPr>
          <w:rFonts w:ascii="Arial" w:eastAsia="Times New Roman" w:hAnsi="Arial" w:cs="Arial"/>
          <w:sz w:val="24"/>
          <w:szCs w:val="24"/>
        </w:rPr>
      </w:pPr>
    </w:p>
    <w:p w:rsidR="002859EC" w:rsidRPr="00B11865" w:rsidRDefault="002859EC" w:rsidP="00B11865">
      <w:pPr>
        <w:spacing w:after="0"/>
        <w:jc w:val="both"/>
        <w:rPr>
          <w:rFonts w:ascii="Arial" w:eastAsia="Times New Roman" w:hAnsi="Arial" w:cs="Arial"/>
          <w:sz w:val="24"/>
          <w:szCs w:val="24"/>
        </w:rPr>
      </w:pPr>
      <w:r w:rsidRPr="00B11865">
        <w:rPr>
          <w:rFonts w:ascii="Arial" w:eastAsia="Times New Roman" w:hAnsi="Arial" w:cs="Arial"/>
          <w:sz w:val="24"/>
          <w:szCs w:val="24"/>
        </w:rPr>
        <w:t>Državni Plan eksploatacije predstavlja dokument sa podacima i saznanjima o svim vrstama mineralnih sirovina koje su do sada otkrivene u Crnoj Gori i navedene u članu 4 pomenute Uredbe, a koje svojim rezervama, kvalitetom, tržišnom tražnjom i ekonomičnošću proizvodnje predstavljaju resurs u momentu sagledavanja.</w:t>
      </w:r>
    </w:p>
    <w:p w:rsidR="002859EC" w:rsidRPr="00B11865" w:rsidRDefault="002859EC" w:rsidP="00B11865">
      <w:pPr>
        <w:spacing w:after="0"/>
        <w:jc w:val="both"/>
        <w:rPr>
          <w:rFonts w:ascii="Arial" w:eastAsia="Times New Roman" w:hAnsi="Arial" w:cs="Arial"/>
          <w:sz w:val="24"/>
          <w:szCs w:val="24"/>
        </w:rPr>
      </w:pPr>
    </w:p>
    <w:p w:rsidR="002859EC" w:rsidRDefault="002859EC" w:rsidP="00B11865">
      <w:pPr>
        <w:spacing w:after="0"/>
        <w:jc w:val="both"/>
        <w:rPr>
          <w:rFonts w:ascii="Arial" w:eastAsia="Times New Roman" w:hAnsi="Arial" w:cs="Arial"/>
          <w:sz w:val="24"/>
          <w:szCs w:val="24"/>
        </w:rPr>
      </w:pPr>
      <w:r w:rsidRPr="00B11865">
        <w:rPr>
          <w:rFonts w:ascii="Arial" w:eastAsia="Times New Roman" w:hAnsi="Arial" w:cs="Arial"/>
          <w:sz w:val="24"/>
          <w:szCs w:val="24"/>
        </w:rPr>
        <w:t>Imajući u vidu navedeni cilj, Državn plana treba uraditi na jedinstven način, uz uvažavanje specifičnosti, po vrstama mineralnih sirovina:</w:t>
      </w:r>
    </w:p>
    <w:p w:rsidR="005F2742" w:rsidRPr="00B11865" w:rsidRDefault="005F2742" w:rsidP="00B11865">
      <w:pPr>
        <w:spacing w:after="0"/>
        <w:jc w:val="both"/>
        <w:rPr>
          <w:rFonts w:ascii="Arial" w:eastAsia="Times New Roman" w:hAnsi="Arial" w:cs="Arial"/>
          <w:sz w:val="24"/>
          <w:szCs w:val="24"/>
        </w:rPr>
      </w:pPr>
    </w:p>
    <w:p w:rsidR="002859EC" w:rsidRPr="00B11865" w:rsidRDefault="002859EC" w:rsidP="00663F7F">
      <w:pPr>
        <w:numPr>
          <w:ilvl w:val="0"/>
          <w:numId w:val="32"/>
        </w:numPr>
        <w:spacing w:after="0"/>
        <w:jc w:val="both"/>
        <w:rPr>
          <w:rFonts w:ascii="Arial" w:eastAsia="Times New Roman" w:hAnsi="Arial" w:cs="Arial"/>
          <w:sz w:val="24"/>
          <w:szCs w:val="24"/>
        </w:rPr>
      </w:pPr>
      <w:r w:rsidRPr="00B11865">
        <w:rPr>
          <w:rFonts w:ascii="Arial" w:eastAsia="Times New Roman" w:hAnsi="Arial" w:cs="Arial"/>
          <w:sz w:val="24"/>
          <w:szCs w:val="24"/>
        </w:rPr>
        <w:t xml:space="preserve">mrkolignitni i mrki ugalj </w:t>
      </w:r>
    </w:p>
    <w:p w:rsidR="002859EC" w:rsidRPr="00B11865" w:rsidRDefault="002859EC" w:rsidP="00663F7F">
      <w:pPr>
        <w:numPr>
          <w:ilvl w:val="0"/>
          <w:numId w:val="32"/>
        </w:numPr>
        <w:spacing w:after="0"/>
        <w:jc w:val="both"/>
        <w:rPr>
          <w:rFonts w:ascii="Arial" w:eastAsia="Times New Roman" w:hAnsi="Arial" w:cs="Arial"/>
          <w:sz w:val="24"/>
          <w:szCs w:val="24"/>
        </w:rPr>
      </w:pPr>
      <w:r w:rsidRPr="00B11865">
        <w:rPr>
          <w:rFonts w:ascii="Arial" w:eastAsia="Times New Roman" w:hAnsi="Arial" w:cs="Arial"/>
          <w:sz w:val="24"/>
          <w:szCs w:val="24"/>
        </w:rPr>
        <w:t>metalične mineralne sirovine (crveni boksiti, olovo i cink)</w:t>
      </w:r>
    </w:p>
    <w:p w:rsidR="002859EC" w:rsidRPr="00B11865" w:rsidRDefault="002859EC" w:rsidP="00663F7F">
      <w:pPr>
        <w:numPr>
          <w:ilvl w:val="0"/>
          <w:numId w:val="32"/>
        </w:numPr>
        <w:spacing w:after="0"/>
        <w:jc w:val="both"/>
        <w:rPr>
          <w:rFonts w:ascii="Arial" w:eastAsia="Times New Roman" w:hAnsi="Arial" w:cs="Arial"/>
          <w:sz w:val="24"/>
          <w:szCs w:val="24"/>
        </w:rPr>
      </w:pPr>
      <w:r w:rsidRPr="00B11865">
        <w:rPr>
          <w:rFonts w:ascii="Arial" w:eastAsia="Times New Roman" w:hAnsi="Arial" w:cs="Arial"/>
          <w:sz w:val="24"/>
          <w:szCs w:val="24"/>
        </w:rPr>
        <w:t>nemetalične mineralne sirovine (navedene u članu 4 Uredbe)</w:t>
      </w:r>
    </w:p>
    <w:p w:rsidR="002859EC" w:rsidRDefault="002859EC" w:rsidP="00663F7F">
      <w:pPr>
        <w:numPr>
          <w:ilvl w:val="0"/>
          <w:numId w:val="32"/>
        </w:numPr>
        <w:spacing w:after="0"/>
        <w:jc w:val="both"/>
        <w:rPr>
          <w:rFonts w:ascii="Arial" w:eastAsia="Times New Roman" w:hAnsi="Arial" w:cs="Arial"/>
          <w:sz w:val="24"/>
          <w:szCs w:val="24"/>
        </w:rPr>
      </w:pPr>
      <w:r w:rsidRPr="00B11865">
        <w:rPr>
          <w:rFonts w:ascii="Arial" w:eastAsia="Times New Roman" w:hAnsi="Arial" w:cs="Arial"/>
          <w:sz w:val="24"/>
          <w:szCs w:val="24"/>
        </w:rPr>
        <w:t>tehnogene mineralne sirovine.</w:t>
      </w:r>
    </w:p>
    <w:p w:rsidR="002F54FE" w:rsidRPr="002F54FE" w:rsidRDefault="002F54FE" w:rsidP="002F54FE">
      <w:pPr>
        <w:spacing w:after="0"/>
        <w:ind w:left="1440"/>
        <w:jc w:val="both"/>
        <w:rPr>
          <w:rFonts w:ascii="Arial" w:eastAsia="Times New Roman" w:hAnsi="Arial" w:cs="Arial"/>
          <w:sz w:val="24"/>
          <w:szCs w:val="24"/>
        </w:rPr>
      </w:pPr>
    </w:p>
    <w:p w:rsidR="002F54FE" w:rsidRDefault="002F54FE" w:rsidP="002F54FE">
      <w:pPr>
        <w:autoSpaceDE w:val="0"/>
        <w:autoSpaceDN w:val="0"/>
        <w:adjustRightInd w:val="0"/>
        <w:spacing w:after="0"/>
        <w:jc w:val="both"/>
        <w:rPr>
          <w:rFonts w:ascii="Arial" w:hAnsi="Arial" w:cs="Arial"/>
          <w:sz w:val="24"/>
          <w:szCs w:val="24"/>
        </w:rPr>
      </w:pPr>
      <w:r>
        <w:rPr>
          <w:rFonts w:ascii="Arial" w:hAnsi="Arial" w:cs="Arial"/>
          <w:sz w:val="24"/>
          <w:szCs w:val="24"/>
        </w:rPr>
        <w:t xml:space="preserve">Mnoge sirovine su definisane na nivou potencijala, pojedine od njih su korišćene u prethodnom periodu, a danas se ne koriste (cementni laporac, opekarske gline, bijeli boksiti). Na procjenu ponovnog aktiviranja korišćenja ovih i drugih mineralnih sirovina utiče mnogo faktora, u prvom redu ekonomski i tehnološki. Dalje eventualno korišćenje navedenih mineralnih sirovina zahtjeva dodatnu detaljnu analizu i procjena mogućih uticaja planiranih aktivnosti na životnu sredinu. </w:t>
      </w:r>
    </w:p>
    <w:p w:rsidR="002F54FE" w:rsidRDefault="002F54FE" w:rsidP="00B11865">
      <w:pPr>
        <w:pStyle w:val="Default"/>
        <w:spacing w:line="276" w:lineRule="auto"/>
        <w:jc w:val="both"/>
        <w:rPr>
          <w:rFonts w:ascii="Arial" w:hAnsi="Arial" w:cs="Arial"/>
        </w:rPr>
      </w:pPr>
    </w:p>
    <w:p w:rsidR="006E0B83" w:rsidRPr="00B11865" w:rsidRDefault="006E0B83" w:rsidP="00B11865">
      <w:pPr>
        <w:pStyle w:val="Default"/>
        <w:spacing w:line="276" w:lineRule="auto"/>
        <w:jc w:val="both"/>
        <w:rPr>
          <w:rFonts w:ascii="Arial" w:hAnsi="Arial" w:cs="Arial"/>
        </w:rPr>
      </w:pPr>
      <w:r w:rsidRPr="00B11865">
        <w:rPr>
          <w:rFonts w:ascii="Arial" w:hAnsi="Arial" w:cs="Arial"/>
        </w:rPr>
        <w:t xml:space="preserve">Predmetnim Izvještajem </w:t>
      </w:r>
      <w:r w:rsidR="002859EC" w:rsidRPr="00B11865">
        <w:rPr>
          <w:rFonts w:ascii="Arial" w:hAnsi="Arial" w:cs="Arial"/>
        </w:rPr>
        <w:t xml:space="preserve">o strateškoj porcjeni uticaja </w:t>
      </w:r>
      <w:r w:rsidRPr="00B11865">
        <w:rPr>
          <w:rFonts w:ascii="Arial" w:hAnsi="Arial" w:cs="Arial"/>
        </w:rPr>
        <w:t xml:space="preserve">dat je detaljni prikaz opisa svih segmenata životne sredine u okviru Poglavlja 2. Poseban akcenat dat je segmenatima životne sredine, na koje se očekuje uticaj usled realizacije planiranih </w:t>
      </w:r>
      <w:r w:rsidR="002859EC" w:rsidRPr="00B11865">
        <w:rPr>
          <w:rFonts w:ascii="Arial" w:hAnsi="Arial" w:cs="Arial"/>
        </w:rPr>
        <w:t>aktivnosti</w:t>
      </w:r>
      <w:r w:rsidRPr="00B11865">
        <w:rPr>
          <w:rFonts w:ascii="Arial" w:hAnsi="Arial" w:cs="Arial"/>
        </w:rPr>
        <w:t xml:space="preserve">. S tim u vezi, potrebno je posebno istaći da se uticaji očekuju u pogledu kvaliteta vazduha, </w:t>
      </w:r>
      <w:r w:rsidR="009B018A" w:rsidRPr="00B11865">
        <w:rPr>
          <w:rFonts w:ascii="Arial" w:hAnsi="Arial" w:cs="Arial"/>
        </w:rPr>
        <w:t>kvaliettea voda, buke</w:t>
      </w:r>
      <w:r w:rsidR="002859EC" w:rsidRPr="00B11865">
        <w:rPr>
          <w:rFonts w:ascii="Arial" w:hAnsi="Arial" w:cs="Arial"/>
        </w:rPr>
        <w:t xml:space="preserve"> </w:t>
      </w:r>
      <w:r w:rsidR="009B018A" w:rsidRPr="00B11865">
        <w:rPr>
          <w:rFonts w:ascii="Arial" w:hAnsi="Arial" w:cs="Arial"/>
        </w:rPr>
        <w:t>i</w:t>
      </w:r>
      <w:r w:rsidR="002859EC" w:rsidRPr="00B11865">
        <w:rPr>
          <w:rFonts w:ascii="Arial" w:hAnsi="Arial" w:cs="Arial"/>
        </w:rPr>
        <w:t xml:space="preserve"> vibracije u bližoj okolini eksploatacijskih lokacija</w:t>
      </w:r>
      <w:r w:rsidRPr="00B11865">
        <w:rPr>
          <w:rFonts w:ascii="Arial" w:hAnsi="Arial" w:cs="Arial"/>
        </w:rPr>
        <w:t xml:space="preserve">, </w:t>
      </w:r>
      <w:r w:rsidR="009B018A" w:rsidRPr="00B11865">
        <w:rPr>
          <w:rFonts w:ascii="Arial" w:hAnsi="Arial" w:cs="Arial"/>
        </w:rPr>
        <w:t>ko i</w:t>
      </w:r>
      <w:r w:rsidR="002859EC" w:rsidRPr="00B11865">
        <w:rPr>
          <w:rFonts w:ascii="Arial" w:hAnsi="Arial" w:cs="Arial"/>
        </w:rPr>
        <w:t xml:space="preserve"> u dijelu uticaja na zemljište</w:t>
      </w:r>
      <w:r w:rsidR="009B018A" w:rsidRPr="00B11865">
        <w:rPr>
          <w:rFonts w:ascii="Arial" w:hAnsi="Arial" w:cs="Arial"/>
        </w:rPr>
        <w:t xml:space="preserve"> I bidovirezitet. Značajan uticaj se može očekivati sa aspekta promjene pejzaž i </w:t>
      </w:r>
      <w:r w:rsidR="002859EC" w:rsidRPr="00B11865">
        <w:rPr>
          <w:rFonts w:ascii="Arial" w:hAnsi="Arial" w:cs="Arial"/>
        </w:rPr>
        <w:t>vizuelnih uticaja na kulturna</w:t>
      </w:r>
      <w:r w:rsidR="009B018A" w:rsidRPr="00B11865">
        <w:rPr>
          <w:rFonts w:ascii="Arial" w:hAnsi="Arial" w:cs="Arial"/>
        </w:rPr>
        <w:t xml:space="preserve"> dobara.</w:t>
      </w:r>
    </w:p>
    <w:p w:rsidR="002859EC" w:rsidRDefault="002859EC" w:rsidP="00B11865">
      <w:pPr>
        <w:pStyle w:val="Default"/>
        <w:spacing w:line="276" w:lineRule="auto"/>
        <w:jc w:val="both"/>
        <w:rPr>
          <w:rFonts w:ascii="Arial" w:hAnsi="Arial" w:cs="Arial"/>
        </w:rPr>
      </w:pPr>
    </w:p>
    <w:p w:rsidR="002F54FE" w:rsidRDefault="002F54FE" w:rsidP="00B11865">
      <w:pPr>
        <w:pStyle w:val="Default"/>
        <w:spacing w:line="276" w:lineRule="auto"/>
        <w:jc w:val="both"/>
        <w:rPr>
          <w:rFonts w:ascii="Arial" w:hAnsi="Arial" w:cs="Arial"/>
        </w:rPr>
      </w:pPr>
      <w:r>
        <w:rPr>
          <w:rFonts w:ascii="Arial" w:hAnsi="Arial" w:cs="Arial"/>
        </w:rPr>
        <w:t>Detaljnije uticaje ekploatacije pojedinih mineralnih sirovina nije moguće procjeniti i definisati, obzirom da Planom eksploatacije mineral</w:t>
      </w:r>
      <w:r w:rsidR="005F2742">
        <w:rPr>
          <w:rFonts w:ascii="Arial" w:hAnsi="Arial" w:cs="Arial"/>
        </w:rPr>
        <w:t>nih sirovina za period 2019-2028</w:t>
      </w:r>
      <w:r>
        <w:rPr>
          <w:rFonts w:ascii="Arial" w:hAnsi="Arial" w:cs="Arial"/>
        </w:rPr>
        <w:t xml:space="preserve"> nisu data jasne projekcije budućih aktivnosti. </w:t>
      </w:r>
    </w:p>
    <w:p w:rsidR="002F54FE" w:rsidRPr="00B11865" w:rsidRDefault="002F54FE" w:rsidP="00B11865">
      <w:pPr>
        <w:pStyle w:val="Default"/>
        <w:spacing w:line="276" w:lineRule="auto"/>
        <w:jc w:val="both"/>
        <w:rPr>
          <w:rFonts w:ascii="Arial" w:hAnsi="Arial" w:cs="Arial"/>
        </w:rPr>
      </w:pPr>
    </w:p>
    <w:p w:rsidR="009B018A" w:rsidRPr="00B11865" w:rsidRDefault="006E0B83" w:rsidP="00B11865">
      <w:pPr>
        <w:pStyle w:val="Default"/>
        <w:spacing w:line="276" w:lineRule="auto"/>
        <w:jc w:val="both"/>
        <w:rPr>
          <w:rFonts w:ascii="Arial" w:hAnsi="Arial" w:cs="Arial"/>
        </w:rPr>
      </w:pPr>
      <w:r w:rsidRPr="00B11865">
        <w:rPr>
          <w:rFonts w:ascii="Arial" w:hAnsi="Arial" w:cs="Arial"/>
        </w:rPr>
        <w:lastRenderedPageBreak/>
        <w:t xml:space="preserve">Tokom </w:t>
      </w:r>
      <w:r w:rsidR="009B018A" w:rsidRPr="00B11865">
        <w:rPr>
          <w:rFonts w:ascii="Arial" w:hAnsi="Arial" w:cs="Arial"/>
        </w:rPr>
        <w:t>dalje realizacije planiranih aktivnosti nophodno je veopditi računa o pripremi prostorno</w:t>
      </w:r>
      <w:r w:rsidRPr="00B11865">
        <w:rPr>
          <w:rFonts w:ascii="Arial" w:hAnsi="Arial" w:cs="Arial"/>
        </w:rPr>
        <w:t xml:space="preserve"> planske dioku</w:t>
      </w:r>
      <w:r w:rsidR="009B018A" w:rsidRPr="00B11865">
        <w:rPr>
          <w:rFonts w:ascii="Arial" w:hAnsi="Arial" w:cs="Arial"/>
        </w:rPr>
        <w:t>mentacije i poštovanju relevantne zakonske regulative  u cilju izbora adekvatnih lokacija I eventualno proširenje postojećih. Naime, u cilju poštovanja propisanih mjera zaštite, neophodno je voditi računa o svim porcedurama propisanih zakonskim propisima, sa posebnim akcentom na zakonodavstvo iz oblasti životne sredine.</w:t>
      </w:r>
    </w:p>
    <w:p w:rsidR="006E0B83" w:rsidRPr="00B11865" w:rsidRDefault="006E0B83" w:rsidP="00B11865">
      <w:pPr>
        <w:pStyle w:val="Default"/>
        <w:spacing w:line="276" w:lineRule="auto"/>
        <w:jc w:val="both"/>
        <w:rPr>
          <w:rFonts w:ascii="Arial" w:hAnsi="Arial" w:cs="Arial"/>
        </w:rPr>
      </w:pPr>
      <w:r w:rsidRPr="00B11865">
        <w:rPr>
          <w:rFonts w:ascii="Arial" w:hAnsi="Arial" w:cs="Arial"/>
        </w:rPr>
        <w:t xml:space="preserve"> </w:t>
      </w:r>
    </w:p>
    <w:p w:rsidR="006E0B83" w:rsidRPr="00B11865" w:rsidRDefault="001A4A6D" w:rsidP="00B11865">
      <w:pPr>
        <w:pStyle w:val="Default"/>
        <w:spacing w:line="276" w:lineRule="auto"/>
        <w:jc w:val="both"/>
        <w:rPr>
          <w:rFonts w:ascii="Arial" w:hAnsi="Arial" w:cs="Arial"/>
        </w:rPr>
      </w:pPr>
      <w:r w:rsidRPr="00B11865">
        <w:rPr>
          <w:rFonts w:ascii="Arial" w:hAnsi="Arial" w:cs="Arial"/>
        </w:rPr>
        <w:t>U skladu sa pr</w:t>
      </w:r>
      <w:r w:rsidR="00A47FBB" w:rsidRPr="00B11865">
        <w:rPr>
          <w:rFonts w:ascii="Arial" w:hAnsi="Arial" w:cs="Arial"/>
        </w:rPr>
        <w:t>ocjenjenim mogućim uticajima, Iz</w:t>
      </w:r>
      <w:r w:rsidRPr="00B11865">
        <w:rPr>
          <w:rFonts w:ascii="Arial" w:hAnsi="Arial" w:cs="Arial"/>
        </w:rPr>
        <w:t>vještajem su definisane mjere zaštite čije će adekvatno sprovođenje</w:t>
      </w:r>
      <w:r w:rsidR="00A47FBB" w:rsidRPr="00B11865">
        <w:rPr>
          <w:rFonts w:ascii="Arial" w:hAnsi="Arial" w:cs="Arial"/>
        </w:rPr>
        <w:t xml:space="preserve"> minimizirati sve potencijalne uticaje na životnu sredinu područja obuhvata.</w:t>
      </w:r>
      <w:r w:rsidRPr="00B11865">
        <w:rPr>
          <w:rFonts w:ascii="Arial" w:hAnsi="Arial" w:cs="Arial"/>
        </w:rPr>
        <w:t xml:space="preserve"> </w:t>
      </w:r>
    </w:p>
    <w:p w:rsidR="00A47FBB" w:rsidRPr="00B11865" w:rsidRDefault="00A47FBB" w:rsidP="00B11865">
      <w:pPr>
        <w:pStyle w:val="Default"/>
        <w:spacing w:line="276" w:lineRule="auto"/>
        <w:jc w:val="both"/>
        <w:rPr>
          <w:rFonts w:ascii="Arial" w:hAnsi="Arial" w:cs="Arial"/>
        </w:rPr>
      </w:pPr>
    </w:p>
    <w:p w:rsidR="00BD532D" w:rsidRDefault="00B11865" w:rsidP="00B11865">
      <w:pPr>
        <w:spacing w:after="0"/>
        <w:jc w:val="both"/>
        <w:rPr>
          <w:rFonts w:ascii="Arial" w:hAnsi="Arial" w:cs="Arial"/>
          <w:sz w:val="24"/>
          <w:szCs w:val="24"/>
        </w:rPr>
      </w:pPr>
      <w:r>
        <w:rPr>
          <w:rFonts w:ascii="Arial" w:hAnsi="Arial" w:cs="Arial"/>
          <w:sz w:val="24"/>
          <w:szCs w:val="24"/>
        </w:rPr>
        <w:t>Na osnovu</w:t>
      </w:r>
      <w:r w:rsidR="00BD532D" w:rsidRPr="00B11865">
        <w:rPr>
          <w:rFonts w:ascii="Arial" w:hAnsi="Arial" w:cs="Arial"/>
          <w:sz w:val="24"/>
          <w:szCs w:val="24"/>
        </w:rPr>
        <w:t xml:space="preserve"> sa </w:t>
      </w:r>
      <w:r>
        <w:rPr>
          <w:rFonts w:ascii="Arial" w:hAnsi="Arial" w:cs="Arial"/>
          <w:sz w:val="24"/>
          <w:szCs w:val="24"/>
        </w:rPr>
        <w:t>Zakona</w:t>
      </w:r>
      <w:r w:rsidR="00BD532D" w:rsidRPr="00B11865">
        <w:rPr>
          <w:rFonts w:ascii="Arial" w:hAnsi="Arial" w:cs="Arial"/>
          <w:sz w:val="24"/>
          <w:szCs w:val="24"/>
        </w:rPr>
        <w:t xml:space="preserve"> o strateškoj procjeni uticaja na životnu sredinu, kao i Protokolu o strateškoj procjeni uticaja </w:t>
      </w:r>
      <w:r w:rsidR="00BD532D" w:rsidRPr="00B11865">
        <w:rPr>
          <w:rFonts w:ascii="Arial" w:hAnsi="Arial" w:cs="Arial"/>
          <w:spacing w:val="1"/>
          <w:sz w:val="24"/>
          <w:szCs w:val="24"/>
        </w:rPr>
        <w:t>n</w:t>
      </w:r>
      <w:r w:rsidR="00BD532D" w:rsidRPr="00B11865">
        <w:rPr>
          <w:rFonts w:ascii="Arial" w:hAnsi="Arial" w:cs="Arial"/>
          <w:sz w:val="24"/>
          <w:szCs w:val="24"/>
        </w:rPr>
        <w:t xml:space="preserve">a životnu sredinu u prekograničnom kontekstu, </w:t>
      </w:r>
      <w:r w:rsidR="00BD532D" w:rsidRPr="00B11865">
        <w:rPr>
          <w:rFonts w:ascii="Arial" w:hAnsi="Arial" w:cs="Arial"/>
          <w:color w:val="000000"/>
          <w:sz w:val="24"/>
          <w:szCs w:val="24"/>
          <w:bdr w:val="none" w:sz="0" w:space="0" w:color="auto" w:frame="1"/>
        </w:rPr>
        <w:t>sproveden je postupak razmjene informacija o prekograničnim uticajima sa susjednim državama. Postupak prekograničnog informisanja</w:t>
      </w:r>
      <w:r>
        <w:rPr>
          <w:rFonts w:ascii="Arial" w:hAnsi="Arial" w:cs="Arial"/>
          <w:color w:val="000000"/>
          <w:sz w:val="24"/>
          <w:szCs w:val="24"/>
          <w:bdr w:val="none" w:sz="0" w:space="0" w:color="auto" w:frame="1"/>
        </w:rPr>
        <w:t xml:space="preserve"> nije sproveden </w:t>
      </w:r>
      <w:r w:rsidRPr="00B11865">
        <w:rPr>
          <w:rFonts w:ascii="Arial" w:hAnsi="Arial" w:cs="Arial"/>
          <w:color w:val="000000"/>
          <w:sz w:val="24"/>
          <w:szCs w:val="24"/>
          <w:bdr w:val="none" w:sz="0" w:space="0" w:color="auto" w:frame="1"/>
        </w:rPr>
        <w:t xml:space="preserve">obzirom da je u procesu </w:t>
      </w:r>
      <w:r w:rsidRPr="00B11865">
        <w:rPr>
          <w:rFonts w:ascii="Arial" w:hAnsi="Arial" w:cs="Arial"/>
          <w:sz w:val="24"/>
          <w:szCs w:val="24"/>
        </w:rPr>
        <w:t>identifikovanja uticaja pl</w:t>
      </w:r>
      <w:r>
        <w:rPr>
          <w:rFonts w:ascii="Arial" w:hAnsi="Arial" w:cs="Arial"/>
          <w:sz w:val="24"/>
          <w:szCs w:val="24"/>
        </w:rPr>
        <w:t>aniranih aktivnosti procjenjeno</w:t>
      </w:r>
      <w:r w:rsidRPr="00B11865">
        <w:rPr>
          <w:rFonts w:ascii="Arial" w:hAnsi="Arial" w:cs="Arial"/>
          <w:sz w:val="24"/>
          <w:szCs w:val="24"/>
        </w:rPr>
        <w:t xml:space="preserve"> da se preko</w:t>
      </w:r>
      <w:r>
        <w:rPr>
          <w:rFonts w:ascii="Arial" w:hAnsi="Arial" w:cs="Arial"/>
          <w:sz w:val="24"/>
          <w:szCs w:val="24"/>
        </w:rPr>
        <w:t>granični uticaj ne može očekivati na teritorijama</w:t>
      </w:r>
      <w:r w:rsidRPr="00B11865">
        <w:rPr>
          <w:rFonts w:ascii="Arial" w:hAnsi="Arial" w:cs="Arial"/>
          <w:sz w:val="24"/>
          <w:szCs w:val="24"/>
        </w:rPr>
        <w:t xml:space="preserve"> u širem</w:t>
      </w:r>
      <w:r>
        <w:rPr>
          <w:rFonts w:ascii="Arial" w:hAnsi="Arial" w:cs="Arial"/>
          <w:sz w:val="24"/>
          <w:szCs w:val="24"/>
        </w:rPr>
        <w:t xml:space="preserve"> okruženju planiranih lokacija i</w:t>
      </w:r>
      <w:r w:rsidRPr="00B11865">
        <w:rPr>
          <w:rFonts w:ascii="Arial" w:hAnsi="Arial" w:cs="Arial"/>
          <w:sz w:val="24"/>
          <w:szCs w:val="24"/>
        </w:rPr>
        <w:t xml:space="preserve"> van granica Crne Gore.</w:t>
      </w:r>
    </w:p>
    <w:p w:rsidR="00B11865" w:rsidRPr="00B11865" w:rsidRDefault="00B11865" w:rsidP="00B11865">
      <w:pPr>
        <w:spacing w:after="0"/>
        <w:jc w:val="both"/>
        <w:rPr>
          <w:rFonts w:ascii="Arial" w:hAnsi="Arial" w:cs="Arial"/>
          <w:sz w:val="24"/>
          <w:szCs w:val="24"/>
        </w:rPr>
      </w:pPr>
    </w:p>
    <w:p w:rsidR="00FD1BAF" w:rsidRPr="00B11865" w:rsidRDefault="00FD1BAF" w:rsidP="00B11865">
      <w:pPr>
        <w:autoSpaceDE w:val="0"/>
        <w:autoSpaceDN w:val="0"/>
        <w:adjustRightInd w:val="0"/>
        <w:spacing w:after="0"/>
        <w:jc w:val="both"/>
        <w:rPr>
          <w:rFonts w:ascii="Arial" w:hAnsi="Arial" w:cs="Arial"/>
          <w:sz w:val="24"/>
          <w:szCs w:val="24"/>
        </w:rPr>
      </w:pPr>
      <w:r w:rsidRPr="00B11865">
        <w:rPr>
          <w:rFonts w:ascii="Arial" w:hAnsi="Arial" w:cs="Arial"/>
          <w:sz w:val="24"/>
          <w:szCs w:val="24"/>
        </w:rPr>
        <w:t>Izvještajem je definisan program monitoring životne sredine kojim će se stvoriti uslovi da  mogući značajni uticaji vezani za realizaciju Plana eksploatacije mineralnih sirovina životnu sredinu budu blagoveremeno identifikovani i testirani u odnosu na one koji su prognozirani. Time će se obezbjediti da eventualni problemi uzrokovani negativnim uticajima budu izbjegnuti ili minimizirani na najmanju mjeru.</w:t>
      </w:r>
    </w:p>
    <w:p w:rsidR="00FD1BAF" w:rsidRPr="00B11865" w:rsidRDefault="00FD1BAF" w:rsidP="00B11865">
      <w:pPr>
        <w:autoSpaceDE w:val="0"/>
        <w:autoSpaceDN w:val="0"/>
        <w:adjustRightInd w:val="0"/>
        <w:spacing w:after="0"/>
        <w:jc w:val="both"/>
        <w:rPr>
          <w:rFonts w:ascii="Arial" w:hAnsi="Arial" w:cs="Arial"/>
          <w:sz w:val="24"/>
          <w:szCs w:val="24"/>
        </w:rPr>
      </w:pPr>
    </w:p>
    <w:p w:rsidR="00610CC6" w:rsidRDefault="00FD1BAF" w:rsidP="00B11865">
      <w:pPr>
        <w:spacing w:after="0"/>
        <w:jc w:val="both"/>
        <w:rPr>
          <w:rFonts w:ascii="Arial" w:hAnsi="Arial" w:cs="Arial"/>
          <w:sz w:val="24"/>
          <w:szCs w:val="24"/>
        </w:rPr>
      </w:pPr>
      <w:r w:rsidRPr="00B11865">
        <w:rPr>
          <w:rFonts w:ascii="Arial" w:hAnsi="Arial" w:cs="Arial"/>
          <w:sz w:val="24"/>
          <w:szCs w:val="24"/>
        </w:rPr>
        <w:t xml:space="preserve">Monitoring će takođe omogućiti  prikupljanje polaznih informacija za buduće planove i programe, kao i za pripremu informacija potrebnih za procjenu uticaja na životnu sredinu pojedinačnih projekte. </w:t>
      </w:r>
    </w:p>
    <w:p w:rsidR="00B11640" w:rsidRDefault="00B11640" w:rsidP="00B11865">
      <w:pPr>
        <w:spacing w:after="0"/>
        <w:jc w:val="both"/>
        <w:rPr>
          <w:rFonts w:ascii="Arial" w:hAnsi="Arial" w:cs="Arial"/>
          <w:sz w:val="24"/>
          <w:szCs w:val="24"/>
        </w:rPr>
      </w:pPr>
    </w:p>
    <w:p w:rsidR="00B11640" w:rsidRDefault="00B11640" w:rsidP="00B11865">
      <w:pPr>
        <w:spacing w:after="0"/>
        <w:jc w:val="both"/>
        <w:rPr>
          <w:rFonts w:ascii="Arial" w:hAnsi="Arial" w:cs="Arial"/>
          <w:sz w:val="24"/>
          <w:szCs w:val="24"/>
        </w:rPr>
      </w:pPr>
    </w:p>
    <w:p w:rsidR="00B11640" w:rsidRPr="00722DF4" w:rsidRDefault="00B11640" w:rsidP="00B11865">
      <w:pPr>
        <w:spacing w:after="0"/>
        <w:jc w:val="both"/>
        <w:rPr>
          <w:rFonts w:ascii="Arial" w:hAnsi="Arial" w:cs="Arial"/>
          <w:sz w:val="24"/>
          <w:szCs w:val="24"/>
        </w:rPr>
      </w:pPr>
    </w:p>
    <w:p w:rsidR="00610CC6" w:rsidRPr="00722DF4" w:rsidRDefault="00610CC6" w:rsidP="00B11865">
      <w:pPr>
        <w:spacing w:after="0"/>
        <w:jc w:val="both"/>
        <w:rPr>
          <w:rFonts w:ascii="Arial" w:hAnsi="Arial" w:cs="Arial"/>
          <w:sz w:val="24"/>
          <w:szCs w:val="24"/>
        </w:rPr>
      </w:pPr>
    </w:p>
    <w:p w:rsidR="00167932" w:rsidRPr="00722DF4" w:rsidRDefault="004D7972" w:rsidP="00722DF4">
      <w:pPr>
        <w:pStyle w:val="Heading1"/>
        <w:numPr>
          <w:ilvl w:val="0"/>
          <w:numId w:val="0"/>
        </w:numPr>
        <w:spacing w:before="0"/>
        <w:jc w:val="both"/>
        <w:rPr>
          <w:rFonts w:cs="Arial"/>
          <w:szCs w:val="24"/>
        </w:rPr>
      </w:pPr>
      <w:r>
        <w:rPr>
          <w:rFonts w:cs="Arial"/>
          <w:szCs w:val="24"/>
        </w:rPr>
        <w:br w:type="page"/>
      </w:r>
      <w:bookmarkStart w:id="62" w:name="_Toc6172851"/>
      <w:r w:rsidR="00F877AC" w:rsidRPr="00722DF4">
        <w:rPr>
          <w:rFonts w:cs="Arial"/>
          <w:szCs w:val="24"/>
        </w:rPr>
        <w:lastRenderedPageBreak/>
        <w:t>12. REZIME</w:t>
      </w:r>
      <w:bookmarkEnd w:id="62"/>
    </w:p>
    <w:p w:rsidR="005F0CB4" w:rsidRPr="00722DF4" w:rsidRDefault="005F0CB4" w:rsidP="00722DF4">
      <w:pPr>
        <w:autoSpaceDE w:val="0"/>
        <w:autoSpaceDN w:val="0"/>
        <w:adjustRightInd w:val="0"/>
        <w:spacing w:after="0"/>
        <w:jc w:val="both"/>
        <w:rPr>
          <w:rFonts w:ascii="Arial" w:hAnsi="Arial" w:cs="Arial"/>
          <w:b/>
          <w:sz w:val="24"/>
          <w:szCs w:val="24"/>
        </w:rPr>
      </w:pPr>
    </w:p>
    <w:p w:rsidR="00293ECD" w:rsidRDefault="00293ECD" w:rsidP="00293ECD">
      <w:pPr>
        <w:pStyle w:val="Default"/>
        <w:spacing w:line="276" w:lineRule="auto"/>
        <w:jc w:val="both"/>
        <w:rPr>
          <w:rFonts w:ascii="Arial" w:hAnsi="Arial" w:cs="Arial"/>
        </w:rPr>
      </w:pPr>
      <w:r w:rsidRPr="006521C3">
        <w:rPr>
          <w:rFonts w:ascii="Arial" w:hAnsi="Arial" w:cs="Arial"/>
        </w:rPr>
        <w:t>Cilj izrade Strateške procjene uticaja na životnu sredinu  Državnog plana eksploatacije mineralnih sirovina za perio</w:t>
      </w:r>
      <w:r w:rsidR="00C836AD">
        <w:rPr>
          <w:rFonts w:ascii="Arial" w:hAnsi="Arial" w:cs="Arial"/>
        </w:rPr>
        <w:t>d 2019-2028</w:t>
      </w:r>
      <w:r w:rsidRPr="006521C3">
        <w:rPr>
          <w:rFonts w:ascii="Arial" w:hAnsi="Arial" w:cs="Arial"/>
        </w:rPr>
        <w:t xml:space="preserve">. godina </w:t>
      </w:r>
      <w:r>
        <w:rPr>
          <w:rFonts w:ascii="Arial" w:hAnsi="Arial" w:cs="Arial"/>
        </w:rPr>
        <w:t>je</w:t>
      </w:r>
      <w:r w:rsidRPr="006521C3">
        <w:rPr>
          <w:rFonts w:ascii="Arial" w:hAnsi="Arial" w:cs="Arial"/>
        </w:rPr>
        <w:t xml:space="preserve"> planiranj</w:t>
      </w:r>
      <w:r>
        <w:rPr>
          <w:rFonts w:ascii="Arial" w:hAnsi="Arial" w:cs="Arial"/>
        </w:rPr>
        <w:t>e</w:t>
      </w:r>
      <w:r w:rsidRPr="006521C3">
        <w:rPr>
          <w:rFonts w:ascii="Arial" w:hAnsi="Arial" w:cs="Arial"/>
        </w:rPr>
        <w:t xml:space="preserve"> proizvodnje u sektoru rudarstva koji će za rezultat imati racionalno korišćenje mineralnih resursa</w:t>
      </w:r>
      <w:r>
        <w:rPr>
          <w:rFonts w:ascii="Arial" w:hAnsi="Arial" w:cs="Arial"/>
        </w:rPr>
        <w:t>,</w:t>
      </w:r>
      <w:r w:rsidRPr="006521C3">
        <w:rPr>
          <w:rFonts w:ascii="Arial" w:hAnsi="Arial" w:cs="Arial"/>
        </w:rPr>
        <w:t xml:space="preserve"> rukovodeći se principima održivog razvoja i zaštite životne sredine Države.</w:t>
      </w:r>
    </w:p>
    <w:p w:rsidR="00674399" w:rsidRDefault="00674399" w:rsidP="00293ECD">
      <w:pPr>
        <w:pStyle w:val="Default"/>
        <w:spacing w:line="276" w:lineRule="auto"/>
        <w:jc w:val="both"/>
        <w:rPr>
          <w:rFonts w:ascii="Arial" w:hAnsi="Arial" w:cs="Arial"/>
        </w:rPr>
      </w:pPr>
    </w:p>
    <w:p w:rsidR="00293ECD" w:rsidRPr="006521C3" w:rsidRDefault="00293ECD" w:rsidP="00293ECD">
      <w:pPr>
        <w:pStyle w:val="Default"/>
        <w:spacing w:line="276" w:lineRule="auto"/>
        <w:jc w:val="both"/>
        <w:rPr>
          <w:rFonts w:ascii="Arial" w:hAnsi="Arial" w:cs="Arial"/>
        </w:rPr>
      </w:pPr>
      <w:r w:rsidRPr="00722DF4">
        <w:rPr>
          <w:rFonts w:ascii="Arial" w:hAnsi="Arial" w:cs="Arial"/>
        </w:rPr>
        <w:t>Danas se u Crnoj Gori vrši eksploatacija: metaličnih mineralnih sirovina - crvenih boksita i olova i cinka; nemetaličnih mineralnih sirovina – uglavnom nemetala-građevinskih materijala i energetskih mineralnih sirovina - mrkolignitnog i mrkog uglja.</w:t>
      </w:r>
    </w:p>
    <w:p w:rsidR="00293ECD" w:rsidRDefault="00293ECD" w:rsidP="00293ECD">
      <w:pPr>
        <w:spacing w:after="0"/>
        <w:jc w:val="both"/>
        <w:rPr>
          <w:rFonts w:ascii="Arial" w:hAnsi="Arial" w:cs="Arial"/>
          <w:sz w:val="24"/>
          <w:szCs w:val="24"/>
        </w:rPr>
      </w:pPr>
      <w:r w:rsidRPr="00722DF4">
        <w:rPr>
          <w:rFonts w:ascii="Arial" w:hAnsi="Arial" w:cs="Arial"/>
          <w:sz w:val="24"/>
          <w:szCs w:val="24"/>
        </w:rPr>
        <w:t>Od metaličnih mineralnih sirovina u Crnoj Gori najveći ekonomski značaj imaju ležišta crvenih boksita i ležišta rude olova i cinka.</w:t>
      </w:r>
    </w:p>
    <w:p w:rsidR="00674399" w:rsidRDefault="00674399" w:rsidP="00293ECD">
      <w:pPr>
        <w:spacing w:after="0"/>
        <w:jc w:val="both"/>
        <w:rPr>
          <w:rFonts w:ascii="Arial" w:hAnsi="Arial" w:cs="Arial"/>
          <w:sz w:val="24"/>
          <w:szCs w:val="24"/>
        </w:rPr>
      </w:pPr>
    </w:p>
    <w:p w:rsidR="00293ECD" w:rsidRDefault="00293ECD" w:rsidP="00293ECD">
      <w:pPr>
        <w:autoSpaceDE w:val="0"/>
        <w:autoSpaceDN w:val="0"/>
        <w:adjustRightInd w:val="0"/>
        <w:spacing w:after="0"/>
        <w:jc w:val="both"/>
        <w:rPr>
          <w:rFonts w:ascii="Arial" w:hAnsi="Arial" w:cs="Arial"/>
          <w:sz w:val="24"/>
          <w:szCs w:val="24"/>
        </w:rPr>
      </w:pPr>
      <w:r w:rsidRPr="00722DF4">
        <w:rPr>
          <w:rFonts w:ascii="Arial" w:hAnsi="Arial" w:cs="Arial"/>
          <w:sz w:val="24"/>
          <w:szCs w:val="24"/>
        </w:rPr>
        <w:t>Ležišta i pojave crvenih boksita imaju veliko rasprostranjenje u središnjim, a manje u južnim djelovima Crne Gore i predstavljaju najznačajniju metaličnu mineralnu sirovinu. Do sada je utvrđeno 30 ležišta i 150 pojava crvenih boksita</w:t>
      </w:r>
      <w:r>
        <w:rPr>
          <w:rFonts w:ascii="Arial" w:hAnsi="Arial" w:cs="Arial"/>
          <w:sz w:val="24"/>
          <w:szCs w:val="24"/>
        </w:rPr>
        <w:t>.</w:t>
      </w:r>
      <w:r w:rsidRPr="00FB0BFD">
        <w:rPr>
          <w:rFonts w:ascii="Arial" w:hAnsi="Arial" w:cs="Arial"/>
          <w:sz w:val="24"/>
          <w:szCs w:val="24"/>
        </w:rPr>
        <w:t xml:space="preserve"> </w:t>
      </w:r>
      <w:r w:rsidRPr="00722DF4">
        <w:rPr>
          <w:rFonts w:ascii="Arial" w:hAnsi="Arial" w:cs="Arial"/>
          <w:sz w:val="24"/>
          <w:szCs w:val="24"/>
        </w:rPr>
        <w:t>Najveći ekonomski značaj imaju jurski boksiti. Otkriveni su u rejonima: Nikšićke Župe, Bjelopavlićkih planina, Banjana, Rudina i na prostoru Katunske nahije. Može se zaključiti da u Crnoj Gori potencijal perspektivnih rezervi, pored do sada dokazanih oko 66 miliona tona, sigurno iznosi oko 50 miliona tona.</w:t>
      </w:r>
    </w:p>
    <w:p w:rsidR="00674399" w:rsidRDefault="00674399" w:rsidP="00293ECD">
      <w:pPr>
        <w:autoSpaceDE w:val="0"/>
        <w:autoSpaceDN w:val="0"/>
        <w:adjustRightInd w:val="0"/>
        <w:spacing w:after="0"/>
        <w:jc w:val="both"/>
        <w:rPr>
          <w:rFonts w:ascii="Arial" w:hAnsi="Arial" w:cs="Arial"/>
          <w:sz w:val="24"/>
          <w:szCs w:val="24"/>
        </w:rPr>
      </w:pPr>
    </w:p>
    <w:p w:rsidR="00293ECD" w:rsidRDefault="00293ECD" w:rsidP="00293ECD">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Planirani obim eksploatacije rude crvenog boksita </w:t>
      </w:r>
      <w:r w:rsidR="00C836AD">
        <w:rPr>
          <w:rFonts w:ascii="Arial" w:hAnsi="Arial" w:cs="Arial"/>
          <w:sz w:val="24"/>
          <w:szCs w:val="24"/>
        </w:rPr>
        <w:t>u Crnoj Gori za period 2019-2028</w:t>
      </w:r>
      <w:r w:rsidRPr="00722DF4">
        <w:rPr>
          <w:rFonts w:ascii="Arial" w:hAnsi="Arial" w:cs="Arial"/>
          <w:sz w:val="24"/>
          <w:szCs w:val="24"/>
        </w:rPr>
        <w:t>. godina baziran je na postojećim kapacitetima rudnika boksita, koncesionara Unipro</w:t>
      </w:r>
      <w:r>
        <w:rPr>
          <w:rFonts w:ascii="Arial" w:hAnsi="Arial" w:cs="Arial"/>
          <w:sz w:val="24"/>
          <w:szCs w:val="24"/>
        </w:rPr>
        <w:t>m-metali d.o.o., na ležištima: Zagrad, Biočki stan i Štitovo II</w:t>
      </w:r>
      <w:r w:rsidRPr="00722DF4">
        <w:rPr>
          <w:rFonts w:ascii="Arial" w:hAnsi="Arial" w:cs="Arial"/>
          <w:sz w:val="24"/>
          <w:szCs w:val="24"/>
        </w:rPr>
        <w:t>, kao i na rezervama ležišta Đurakov do I.</w:t>
      </w:r>
    </w:p>
    <w:p w:rsidR="00674399" w:rsidRPr="00722DF4" w:rsidRDefault="00674399" w:rsidP="00293ECD">
      <w:pPr>
        <w:autoSpaceDE w:val="0"/>
        <w:autoSpaceDN w:val="0"/>
        <w:adjustRightInd w:val="0"/>
        <w:spacing w:after="0"/>
        <w:jc w:val="both"/>
        <w:rPr>
          <w:rFonts w:ascii="Arial" w:hAnsi="Arial" w:cs="Arial"/>
          <w:sz w:val="24"/>
          <w:szCs w:val="24"/>
        </w:rPr>
      </w:pPr>
    </w:p>
    <w:p w:rsidR="00293ECD" w:rsidRDefault="00293ECD" w:rsidP="00805237">
      <w:pPr>
        <w:pStyle w:val="ColorfulList-Accent11"/>
        <w:spacing w:after="0"/>
        <w:ind w:left="0"/>
        <w:jc w:val="both"/>
        <w:rPr>
          <w:rFonts w:ascii="Arial" w:hAnsi="Arial" w:cs="Arial"/>
          <w:sz w:val="24"/>
          <w:szCs w:val="24"/>
        </w:rPr>
      </w:pPr>
      <w:r w:rsidRPr="00722DF4">
        <w:rPr>
          <w:rFonts w:ascii="Arial" w:hAnsi="Arial" w:cs="Arial"/>
          <w:sz w:val="24"/>
          <w:szCs w:val="24"/>
        </w:rPr>
        <w:t>Nalazišta olova i cinka u Crnoj Gori vezana su za metalogenetsku oblast sjeveroistočne Crne Gore. Ekonomske koncentracije rude ovih metala dokazane su u rejonima planina Ljubišnje (rudnik “Šuplja stijena”) i Bjelasice (rudnik “Brskovo”). Kao vrlo perspektivna procijenjena su i područja planina Visitor i Sjekirica, gdje je do sada dokazano više ekonomski interesantnih rudnih pojava.</w:t>
      </w:r>
      <w:r w:rsidR="00805237">
        <w:rPr>
          <w:rFonts w:ascii="Arial" w:hAnsi="Arial" w:cs="Arial"/>
          <w:sz w:val="24"/>
          <w:szCs w:val="24"/>
        </w:rPr>
        <w:t xml:space="preserve"> </w:t>
      </w:r>
      <w:r w:rsidRPr="00722DF4">
        <w:rPr>
          <w:rFonts w:ascii="Arial" w:hAnsi="Arial" w:cs="Arial"/>
          <w:sz w:val="24"/>
          <w:szCs w:val="24"/>
        </w:rPr>
        <w:t>Planirana je eksploatacija rude za narednih 10 godina koja iznosi 5.100.000</w:t>
      </w:r>
      <w:r w:rsidR="00FE2F15">
        <w:rPr>
          <w:rFonts w:ascii="Arial" w:hAnsi="Arial" w:cs="Arial"/>
          <w:sz w:val="24"/>
          <w:szCs w:val="24"/>
        </w:rPr>
        <w:t xml:space="preserve"> tona. </w:t>
      </w:r>
    </w:p>
    <w:p w:rsidR="00293ECD" w:rsidRPr="00722DF4" w:rsidRDefault="00293ECD" w:rsidP="00293ECD">
      <w:pPr>
        <w:autoSpaceDE w:val="0"/>
        <w:autoSpaceDN w:val="0"/>
        <w:adjustRightInd w:val="0"/>
        <w:spacing w:after="0"/>
        <w:jc w:val="both"/>
        <w:rPr>
          <w:rFonts w:ascii="Arial" w:hAnsi="Arial" w:cs="Arial"/>
          <w:sz w:val="24"/>
          <w:szCs w:val="24"/>
        </w:rPr>
      </w:pPr>
    </w:p>
    <w:p w:rsidR="00293ECD" w:rsidRPr="00D4074B" w:rsidRDefault="00293ECD" w:rsidP="00293ECD">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Najznačajnije koncentracije rude bakra u Crnoj Gori, otkrivene su u </w:t>
      </w:r>
      <w:r w:rsidRPr="004045DD">
        <w:rPr>
          <w:rFonts w:ascii="Arial" w:hAnsi="Arial" w:cs="Arial"/>
          <w:bCs/>
          <w:sz w:val="24"/>
          <w:szCs w:val="24"/>
        </w:rPr>
        <w:t>Varinama</w:t>
      </w:r>
      <w:r w:rsidRPr="00722DF4">
        <w:rPr>
          <w:rFonts w:ascii="Arial" w:hAnsi="Arial" w:cs="Arial"/>
          <w:b/>
          <w:bCs/>
          <w:sz w:val="24"/>
          <w:szCs w:val="24"/>
        </w:rPr>
        <w:t xml:space="preserve"> </w:t>
      </w:r>
      <w:r w:rsidRPr="00722DF4">
        <w:rPr>
          <w:rFonts w:ascii="Arial" w:hAnsi="Arial" w:cs="Arial"/>
          <w:sz w:val="24"/>
          <w:szCs w:val="24"/>
        </w:rPr>
        <w:t>(kod Pljevalja). Pre</w:t>
      </w:r>
      <w:r>
        <w:rPr>
          <w:rFonts w:ascii="Arial" w:hAnsi="Arial" w:cs="Arial"/>
          <w:sz w:val="24"/>
          <w:szCs w:val="24"/>
        </w:rPr>
        <w:t>ma S.</w:t>
      </w:r>
      <w:r w:rsidR="00FE2F15">
        <w:rPr>
          <w:rFonts w:ascii="Arial" w:hAnsi="Arial" w:cs="Arial"/>
          <w:sz w:val="24"/>
          <w:szCs w:val="24"/>
        </w:rPr>
        <w:t xml:space="preserve"> Pejanoviću</w:t>
      </w:r>
      <w:r>
        <w:rPr>
          <w:rFonts w:ascii="Arial" w:hAnsi="Arial" w:cs="Arial"/>
          <w:sz w:val="24"/>
          <w:szCs w:val="24"/>
        </w:rPr>
        <w:t xml:space="preserve"> P</w:t>
      </w:r>
      <w:r w:rsidRPr="00722DF4">
        <w:rPr>
          <w:rFonts w:ascii="Arial" w:hAnsi="Arial" w:cs="Arial"/>
          <w:sz w:val="24"/>
          <w:szCs w:val="24"/>
        </w:rPr>
        <w:t>roračunate s</w:t>
      </w:r>
      <w:r>
        <w:rPr>
          <w:rFonts w:ascii="Arial" w:hAnsi="Arial" w:cs="Arial"/>
          <w:sz w:val="24"/>
          <w:szCs w:val="24"/>
        </w:rPr>
        <w:t>u rezerve rude bakra u Varinama</w:t>
      </w:r>
      <w:r w:rsidRPr="00722DF4">
        <w:rPr>
          <w:rFonts w:ascii="Arial" w:hAnsi="Arial" w:cs="Arial"/>
          <w:sz w:val="24"/>
          <w:szCs w:val="24"/>
        </w:rPr>
        <w:t xml:space="preserve"> u iznosu od 7.295.000 tona, sa 0,77%Cu, 9 g/t Ag i 0,3g/t Au. Perspektivne rezerve rude bakra u Varinama su procijenjene na oko 24 miliona tona, sa 0,29% Cu.</w:t>
      </w:r>
      <w:r w:rsidR="00805237">
        <w:rPr>
          <w:rFonts w:ascii="Arial" w:hAnsi="Arial" w:cs="Arial"/>
          <w:sz w:val="24"/>
          <w:szCs w:val="24"/>
        </w:rPr>
        <w:t xml:space="preserve"> </w:t>
      </w:r>
      <w:r w:rsidRPr="00D4074B">
        <w:rPr>
          <w:rFonts w:ascii="Arial" w:hAnsi="Arial" w:cs="Arial"/>
          <w:sz w:val="24"/>
          <w:szCs w:val="24"/>
        </w:rPr>
        <w:t>Koncesija za detaljna geološka istraživanja i eksploataciju ležišta Varine nije dodjeljena. Planom nije definisana mogućnost proizvodnje, ali proizvodnja nije isključena.</w:t>
      </w:r>
    </w:p>
    <w:p w:rsidR="00293ECD" w:rsidRPr="00722DF4" w:rsidRDefault="00293ECD" w:rsidP="00293ECD">
      <w:pPr>
        <w:autoSpaceDE w:val="0"/>
        <w:autoSpaceDN w:val="0"/>
        <w:adjustRightInd w:val="0"/>
        <w:spacing w:after="0"/>
        <w:jc w:val="both"/>
        <w:rPr>
          <w:rFonts w:ascii="Arial" w:hAnsi="Arial" w:cs="Arial"/>
          <w:sz w:val="24"/>
          <w:szCs w:val="24"/>
        </w:rPr>
      </w:pPr>
    </w:p>
    <w:p w:rsidR="00293ECD" w:rsidRDefault="00293ECD" w:rsidP="00293ECD">
      <w:pPr>
        <w:autoSpaceDE w:val="0"/>
        <w:autoSpaceDN w:val="0"/>
        <w:adjustRightInd w:val="0"/>
        <w:spacing w:after="0"/>
        <w:jc w:val="both"/>
        <w:rPr>
          <w:rFonts w:ascii="Arial" w:hAnsi="Arial" w:cs="Arial"/>
          <w:sz w:val="24"/>
          <w:szCs w:val="24"/>
        </w:rPr>
      </w:pPr>
      <w:r w:rsidRPr="00722DF4">
        <w:rPr>
          <w:rFonts w:ascii="Arial" w:hAnsi="Arial" w:cs="Arial"/>
          <w:sz w:val="24"/>
          <w:szCs w:val="24"/>
        </w:rPr>
        <w:t>U Crnoj Gori otkriveno je preko 20 pojava gvožđa, od kojih su najznačajnije pojave na Sozini (iznad Sutomora), u Klinima (atar Konjuha kod Andrijevice) i u Kozici (kod Pljevalja).</w:t>
      </w:r>
    </w:p>
    <w:p w:rsidR="00674399" w:rsidRDefault="00674399" w:rsidP="00293ECD">
      <w:pPr>
        <w:autoSpaceDE w:val="0"/>
        <w:autoSpaceDN w:val="0"/>
        <w:adjustRightInd w:val="0"/>
        <w:spacing w:after="0"/>
        <w:jc w:val="both"/>
        <w:rPr>
          <w:rFonts w:ascii="Arial" w:hAnsi="Arial" w:cs="Arial"/>
          <w:sz w:val="24"/>
          <w:szCs w:val="24"/>
        </w:rPr>
      </w:pPr>
    </w:p>
    <w:p w:rsidR="00293ECD" w:rsidRDefault="00293ECD" w:rsidP="00FE2F15">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U Crnoj Gori dokazano je 13 vrsta nemetaličnih mineralnih sirovina od ekonomskog značaja i to: arhitektonsko-građevinski kamen, tehničko-građevinski kamen, bigar, šljunak i pijesak, opekarske gline, cementni laporac, bijeli boksit, dolomit, barit, bentonit, kvarcni pijesak, rožnaci i morska so. </w:t>
      </w:r>
    </w:p>
    <w:p w:rsidR="00674399" w:rsidRDefault="00674399" w:rsidP="00293ECD">
      <w:pPr>
        <w:autoSpaceDE w:val="0"/>
        <w:autoSpaceDN w:val="0"/>
        <w:adjustRightInd w:val="0"/>
        <w:spacing w:after="0"/>
        <w:jc w:val="both"/>
        <w:rPr>
          <w:rFonts w:ascii="Arial" w:hAnsi="Arial" w:cs="Arial"/>
          <w:sz w:val="24"/>
          <w:szCs w:val="24"/>
        </w:rPr>
      </w:pPr>
    </w:p>
    <w:p w:rsidR="00FE2F15" w:rsidRPr="00C14311" w:rsidRDefault="00FE2F15" w:rsidP="00FE2F15">
      <w:pPr>
        <w:autoSpaceDE w:val="0"/>
        <w:autoSpaceDN w:val="0"/>
        <w:adjustRightInd w:val="0"/>
        <w:spacing w:after="0"/>
        <w:jc w:val="both"/>
        <w:rPr>
          <w:rFonts w:ascii="Arial" w:hAnsi="Arial" w:cs="Arial"/>
          <w:sz w:val="24"/>
          <w:szCs w:val="24"/>
        </w:rPr>
      </w:pPr>
      <w:r w:rsidRPr="00C14311">
        <w:rPr>
          <w:rFonts w:ascii="Arial" w:hAnsi="Arial" w:cs="Arial"/>
          <w:sz w:val="24"/>
          <w:szCs w:val="24"/>
        </w:rPr>
        <w:t>Do sada je u Crnoj Gori otkriveno 21 ležište arhitektonsko-građevinskog kamena sa dokazanim bilansim rezervama stijenske mase A+B+C1 kategorije u iznosu od 20.531.681 m</w:t>
      </w:r>
      <w:r w:rsidRPr="00C14311">
        <w:rPr>
          <w:rFonts w:ascii="Arial" w:hAnsi="Arial" w:cs="Arial"/>
          <w:sz w:val="24"/>
          <w:szCs w:val="24"/>
          <w:vertAlign w:val="superscript"/>
        </w:rPr>
        <w:t>3</w:t>
      </w:r>
      <w:r w:rsidRPr="00C14311">
        <w:rPr>
          <w:rFonts w:ascii="Arial" w:hAnsi="Arial" w:cs="Arial"/>
          <w:sz w:val="24"/>
          <w:szCs w:val="24"/>
        </w:rPr>
        <w:t>č.s.m. Od toga rezervama A kategorije pripada 2 703 661 m</w:t>
      </w:r>
      <w:r w:rsidRPr="00C14311">
        <w:rPr>
          <w:rFonts w:ascii="Arial" w:hAnsi="Arial" w:cs="Arial"/>
          <w:sz w:val="24"/>
          <w:szCs w:val="24"/>
          <w:vertAlign w:val="superscript"/>
        </w:rPr>
        <w:t>3</w:t>
      </w:r>
      <w:r w:rsidRPr="00C14311">
        <w:rPr>
          <w:rFonts w:ascii="Arial" w:hAnsi="Arial" w:cs="Arial"/>
          <w:sz w:val="24"/>
          <w:szCs w:val="24"/>
        </w:rPr>
        <w:t>č.s.m, rezervama B kategorije 8.500.089 m</w:t>
      </w:r>
      <w:r w:rsidRPr="00C14311">
        <w:rPr>
          <w:rFonts w:ascii="Arial" w:hAnsi="Arial" w:cs="Arial"/>
          <w:sz w:val="24"/>
          <w:szCs w:val="24"/>
          <w:vertAlign w:val="superscript"/>
        </w:rPr>
        <w:t>3</w:t>
      </w:r>
      <w:r w:rsidRPr="00C14311">
        <w:rPr>
          <w:rFonts w:ascii="Arial" w:hAnsi="Arial" w:cs="Arial"/>
          <w:sz w:val="24"/>
          <w:szCs w:val="24"/>
        </w:rPr>
        <w:t>č.s.m, a rezervama C1 kategorije 9.326.932 m</w:t>
      </w:r>
      <w:r w:rsidRPr="00C14311">
        <w:rPr>
          <w:rFonts w:ascii="Arial" w:hAnsi="Arial" w:cs="Arial"/>
          <w:sz w:val="24"/>
          <w:szCs w:val="24"/>
          <w:vertAlign w:val="superscript"/>
        </w:rPr>
        <w:t>3</w:t>
      </w:r>
      <w:r w:rsidRPr="00C14311">
        <w:rPr>
          <w:rFonts w:ascii="Arial" w:hAnsi="Arial" w:cs="Arial"/>
          <w:sz w:val="24"/>
          <w:szCs w:val="24"/>
        </w:rPr>
        <w:t>č.s.m. Ukupne rezerve blok mase uzimajući iskorišćenje koje se kreće od 12% (ležište Bobik) do 31% (ležište Vukići) iznose 2.401.060 m</w:t>
      </w:r>
      <w:r w:rsidRPr="00C14311">
        <w:rPr>
          <w:rFonts w:ascii="Arial" w:hAnsi="Arial" w:cs="Arial"/>
          <w:sz w:val="24"/>
          <w:szCs w:val="24"/>
          <w:vertAlign w:val="superscript"/>
        </w:rPr>
        <w:t>3</w:t>
      </w:r>
      <w:r w:rsidRPr="00C14311">
        <w:rPr>
          <w:rFonts w:ascii="Arial" w:hAnsi="Arial" w:cs="Arial"/>
          <w:sz w:val="24"/>
          <w:szCs w:val="24"/>
        </w:rPr>
        <w:t>č.s.m.</w:t>
      </w:r>
    </w:p>
    <w:p w:rsidR="00674399" w:rsidRDefault="00674399" w:rsidP="00293ECD">
      <w:pPr>
        <w:autoSpaceDE w:val="0"/>
        <w:autoSpaceDN w:val="0"/>
        <w:adjustRightInd w:val="0"/>
        <w:spacing w:after="0"/>
        <w:jc w:val="both"/>
        <w:rPr>
          <w:rFonts w:ascii="Arial" w:hAnsi="Arial" w:cs="Arial"/>
          <w:sz w:val="24"/>
          <w:szCs w:val="24"/>
        </w:rPr>
      </w:pPr>
    </w:p>
    <w:p w:rsidR="00293ECD" w:rsidRDefault="00293ECD" w:rsidP="00293ECD">
      <w:pPr>
        <w:autoSpaceDE w:val="0"/>
        <w:autoSpaceDN w:val="0"/>
        <w:adjustRightInd w:val="0"/>
        <w:spacing w:after="0"/>
        <w:jc w:val="both"/>
        <w:rPr>
          <w:rFonts w:ascii="Arial" w:hAnsi="Arial" w:cs="Arial"/>
          <w:sz w:val="24"/>
          <w:szCs w:val="24"/>
        </w:rPr>
      </w:pPr>
      <w:r w:rsidRPr="00D4074B">
        <w:rPr>
          <w:rFonts w:ascii="Arial" w:hAnsi="Arial" w:cs="Arial"/>
          <w:bCs/>
          <w:sz w:val="24"/>
          <w:szCs w:val="24"/>
        </w:rPr>
        <w:t>Prema Planu eksploatacije mineral</w:t>
      </w:r>
      <w:r w:rsidR="00C836AD">
        <w:rPr>
          <w:rFonts w:ascii="Arial" w:hAnsi="Arial" w:cs="Arial"/>
          <w:bCs/>
          <w:sz w:val="24"/>
          <w:szCs w:val="24"/>
        </w:rPr>
        <w:t xml:space="preserve">nih sirovina za period 2019-2028 </w:t>
      </w:r>
      <w:r w:rsidRPr="00D4074B">
        <w:rPr>
          <w:rFonts w:ascii="Arial" w:hAnsi="Arial" w:cs="Arial"/>
          <w:bCs/>
          <w:sz w:val="24"/>
          <w:szCs w:val="24"/>
        </w:rPr>
        <w:t>godine eksploatacija</w:t>
      </w:r>
      <w:r w:rsidRPr="00D4074B">
        <w:rPr>
          <w:rFonts w:ascii="Arial" w:hAnsi="Arial" w:cs="Arial"/>
          <w:sz w:val="24"/>
          <w:szCs w:val="24"/>
        </w:rPr>
        <w:t xml:space="preserve"> </w:t>
      </w:r>
      <w:r w:rsidRPr="00722DF4">
        <w:rPr>
          <w:rFonts w:ascii="Arial" w:hAnsi="Arial" w:cs="Arial"/>
          <w:sz w:val="24"/>
          <w:szCs w:val="24"/>
        </w:rPr>
        <w:t>opekarske gline, cementni</w:t>
      </w:r>
      <w:r>
        <w:rPr>
          <w:rFonts w:ascii="Arial" w:hAnsi="Arial" w:cs="Arial"/>
          <w:sz w:val="24"/>
          <w:szCs w:val="24"/>
        </w:rPr>
        <w:t>h</w:t>
      </w:r>
      <w:r w:rsidRPr="00722DF4">
        <w:rPr>
          <w:rFonts w:ascii="Arial" w:hAnsi="Arial" w:cs="Arial"/>
          <w:sz w:val="24"/>
          <w:szCs w:val="24"/>
        </w:rPr>
        <w:t xml:space="preserve"> laporac</w:t>
      </w:r>
      <w:r>
        <w:rPr>
          <w:rFonts w:ascii="Arial" w:hAnsi="Arial" w:cs="Arial"/>
          <w:sz w:val="24"/>
          <w:szCs w:val="24"/>
        </w:rPr>
        <w:t>a</w:t>
      </w:r>
      <w:r w:rsidRPr="00722DF4">
        <w:rPr>
          <w:rFonts w:ascii="Arial" w:hAnsi="Arial" w:cs="Arial"/>
          <w:sz w:val="24"/>
          <w:szCs w:val="24"/>
        </w:rPr>
        <w:t>, bijeli</w:t>
      </w:r>
      <w:r>
        <w:rPr>
          <w:rFonts w:ascii="Arial" w:hAnsi="Arial" w:cs="Arial"/>
          <w:sz w:val="24"/>
          <w:szCs w:val="24"/>
        </w:rPr>
        <w:t>h</w:t>
      </w:r>
      <w:r w:rsidRPr="00722DF4">
        <w:rPr>
          <w:rFonts w:ascii="Arial" w:hAnsi="Arial" w:cs="Arial"/>
          <w:sz w:val="24"/>
          <w:szCs w:val="24"/>
        </w:rPr>
        <w:t xml:space="preserve"> boksit, dolomit</w:t>
      </w:r>
      <w:r>
        <w:rPr>
          <w:rFonts w:ascii="Arial" w:hAnsi="Arial" w:cs="Arial"/>
          <w:sz w:val="24"/>
          <w:szCs w:val="24"/>
        </w:rPr>
        <w:t>a</w:t>
      </w:r>
      <w:r w:rsidRPr="00722DF4">
        <w:rPr>
          <w:rFonts w:ascii="Arial" w:hAnsi="Arial" w:cs="Arial"/>
          <w:sz w:val="24"/>
          <w:szCs w:val="24"/>
        </w:rPr>
        <w:t>, barit</w:t>
      </w:r>
      <w:r>
        <w:rPr>
          <w:rFonts w:ascii="Arial" w:hAnsi="Arial" w:cs="Arial"/>
          <w:sz w:val="24"/>
          <w:szCs w:val="24"/>
        </w:rPr>
        <w:t>a</w:t>
      </w:r>
      <w:r w:rsidRPr="00722DF4">
        <w:rPr>
          <w:rFonts w:ascii="Arial" w:hAnsi="Arial" w:cs="Arial"/>
          <w:sz w:val="24"/>
          <w:szCs w:val="24"/>
        </w:rPr>
        <w:t>, bentonit</w:t>
      </w:r>
      <w:r>
        <w:rPr>
          <w:rFonts w:ascii="Arial" w:hAnsi="Arial" w:cs="Arial"/>
          <w:sz w:val="24"/>
          <w:szCs w:val="24"/>
        </w:rPr>
        <w:t>a</w:t>
      </w:r>
      <w:r w:rsidRPr="00722DF4">
        <w:rPr>
          <w:rFonts w:ascii="Arial" w:hAnsi="Arial" w:cs="Arial"/>
          <w:sz w:val="24"/>
          <w:szCs w:val="24"/>
        </w:rPr>
        <w:t>, kvarcni</w:t>
      </w:r>
      <w:r>
        <w:rPr>
          <w:rFonts w:ascii="Arial" w:hAnsi="Arial" w:cs="Arial"/>
          <w:sz w:val="24"/>
          <w:szCs w:val="24"/>
        </w:rPr>
        <w:t>h</w:t>
      </w:r>
      <w:r w:rsidRPr="00722DF4">
        <w:rPr>
          <w:rFonts w:ascii="Arial" w:hAnsi="Arial" w:cs="Arial"/>
          <w:sz w:val="24"/>
          <w:szCs w:val="24"/>
        </w:rPr>
        <w:t xml:space="preserve"> pijesak</w:t>
      </w:r>
      <w:r>
        <w:rPr>
          <w:rFonts w:ascii="Arial" w:hAnsi="Arial" w:cs="Arial"/>
          <w:sz w:val="24"/>
          <w:szCs w:val="24"/>
        </w:rPr>
        <w:t xml:space="preserve">a i </w:t>
      </w:r>
      <w:r w:rsidRPr="00722DF4">
        <w:rPr>
          <w:rFonts w:ascii="Arial" w:hAnsi="Arial" w:cs="Arial"/>
          <w:sz w:val="24"/>
          <w:szCs w:val="24"/>
        </w:rPr>
        <w:t>rožnac</w:t>
      </w:r>
      <w:r w:rsidR="00FE2F15">
        <w:rPr>
          <w:rFonts w:ascii="Arial" w:hAnsi="Arial" w:cs="Arial"/>
          <w:sz w:val="24"/>
          <w:szCs w:val="24"/>
        </w:rPr>
        <w:t>a nije definisana, odnosno planirana</w:t>
      </w:r>
      <w:r>
        <w:rPr>
          <w:rFonts w:ascii="Arial" w:hAnsi="Arial" w:cs="Arial"/>
          <w:sz w:val="24"/>
          <w:szCs w:val="24"/>
        </w:rPr>
        <w:t>.</w:t>
      </w:r>
    </w:p>
    <w:p w:rsidR="00674399" w:rsidRPr="00D4074B" w:rsidRDefault="00674399" w:rsidP="00293ECD">
      <w:pPr>
        <w:autoSpaceDE w:val="0"/>
        <w:autoSpaceDN w:val="0"/>
        <w:adjustRightInd w:val="0"/>
        <w:spacing w:after="0"/>
        <w:jc w:val="both"/>
        <w:rPr>
          <w:rFonts w:ascii="Arial" w:hAnsi="Arial" w:cs="Arial"/>
          <w:sz w:val="24"/>
          <w:szCs w:val="24"/>
        </w:rPr>
      </w:pPr>
    </w:p>
    <w:p w:rsidR="00674399" w:rsidRDefault="00293ECD" w:rsidP="00293ECD">
      <w:pPr>
        <w:pStyle w:val="ColorfulList-Accent11"/>
        <w:spacing w:after="0"/>
        <w:ind w:left="0"/>
        <w:jc w:val="both"/>
        <w:rPr>
          <w:rFonts w:ascii="Arial" w:hAnsi="Arial" w:cs="Arial"/>
          <w:sz w:val="24"/>
          <w:szCs w:val="24"/>
        </w:rPr>
      </w:pPr>
      <w:r w:rsidRPr="00722DF4">
        <w:rPr>
          <w:rFonts w:ascii="Arial" w:hAnsi="Arial" w:cs="Arial"/>
          <w:sz w:val="24"/>
          <w:szCs w:val="24"/>
        </w:rPr>
        <w:t>Ugalj</w:t>
      </w:r>
      <w:r w:rsidR="00463A9B">
        <w:rPr>
          <w:rFonts w:ascii="Arial" w:hAnsi="Arial" w:cs="Arial"/>
          <w:sz w:val="24"/>
          <w:szCs w:val="24"/>
        </w:rPr>
        <w:t>, rude olova i cinka</w:t>
      </w:r>
      <w:r w:rsidRPr="00722DF4">
        <w:rPr>
          <w:rFonts w:ascii="Arial" w:hAnsi="Arial" w:cs="Arial"/>
          <w:sz w:val="24"/>
          <w:szCs w:val="24"/>
        </w:rPr>
        <w:t xml:space="preserve"> i crveni boksiti su, za sada, najznačajnije mineralne sirovine u Crnoj Gori. </w:t>
      </w:r>
    </w:p>
    <w:p w:rsidR="00FE2F15" w:rsidRDefault="00FE2F15" w:rsidP="00293ECD">
      <w:pPr>
        <w:pStyle w:val="ColorfulList-Accent11"/>
        <w:spacing w:after="0"/>
        <w:ind w:left="0"/>
        <w:jc w:val="both"/>
        <w:rPr>
          <w:rFonts w:ascii="Arial" w:hAnsi="Arial" w:cs="Arial"/>
          <w:sz w:val="24"/>
          <w:szCs w:val="24"/>
        </w:rPr>
      </w:pPr>
    </w:p>
    <w:p w:rsidR="00FE2F15" w:rsidRPr="00FE2F15" w:rsidRDefault="00FE2F15" w:rsidP="00FE2F15">
      <w:pPr>
        <w:spacing w:after="0"/>
        <w:jc w:val="both"/>
        <w:rPr>
          <w:rFonts w:ascii="Arial" w:hAnsi="Arial" w:cs="Arial"/>
          <w:sz w:val="24"/>
          <w:szCs w:val="24"/>
          <w:lang w:val="sr-Latn-CS"/>
        </w:rPr>
      </w:pPr>
      <w:r w:rsidRPr="00DB12D9">
        <w:rPr>
          <w:rFonts w:ascii="Arial" w:hAnsi="Arial" w:cs="Arial"/>
          <w:sz w:val="24"/>
          <w:szCs w:val="24"/>
          <w:lang w:val="sr-Latn-CS"/>
        </w:rPr>
        <w:t>Ekonomski značajna ležišta uglja u Crnoj Gori nalaze se u jezerskim neogenim basenima na teritoriji pljevalj</w:t>
      </w:r>
      <w:r>
        <w:rPr>
          <w:rFonts w:ascii="Arial" w:hAnsi="Arial" w:cs="Arial"/>
          <w:sz w:val="24"/>
          <w:szCs w:val="24"/>
          <w:lang w:val="sr-Latn-CS"/>
        </w:rPr>
        <w:t>ske i beranske opštine</w:t>
      </w:r>
      <w:r w:rsidRPr="00DB12D9">
        <w:rPr>
          <w:rFonts w:ascii="Arial" w:hAnsi="Arial" w:cs="Arial"/>
          <w:sz w:val="24"/>
          <w:szCs w:val="24"/>
          <w:lang w:val="sr-Latn-CS"/>
        </w:rPr>
        <w:t>. Ugalj iz pljevaljskih basena pripada mekim mrkim ugljevima, na prelazu ka tvrdim, tzv. mrkolignitski ugalj, dok je ugalj iz ležišta beranskih basena tvrdi mat mrki ugalj – ili mrki ugalj.</w:t>
      </w:r>
      <w:r>
        <w:rPr>
          <w:rFonts w:ascii="Arial" w:hAnsi="Arial" w:cs="Arial"/>
          <w:sz w:val="24"/>
          <w:szCs w:val="24"/>
          <w:lang w:val="sr-Latn-CS"/>
        </w:rPr>
        <w:t xml:space="preserve"> </w:t>
      </w:r>
      <w:r w:rsidRPr="00DB12D9">
        <w:rPr>
          <w:rFonts w:ascii="Arial" w:hAnsi="Arial" w:cs="Arial"/>
          <w:sz w:val="24"/>
          <w:szCs w:val="24"/>
          <w:lang w:val="it-IT"/>
        </w:rPr>
        <w:t xml:space="preserve">U široj okolini Pljevalja, u slivu rijeke Ćehotine, nalaze se </w:t>
      </w:r>
      <w:r w:rsidRPr="00DB12D9">
        <w:rPr>
          <w:rFonts w:ascii="Arial" w:hAnsi="Arial" w:cs="Arial"/>
          <w:iCs/>
          <w:sz w:val="24"/>
          <w:szCs w:val="24"/>
          <w:lang w:val="it-IT"/>
        </w:rPr>
        <w:t>pljevaljski, ljuće-šumaski i maočki ugljonosni basen i le</w:t>
      </w:r>
      <w:r w:rsidRPr="00DB12D9">
        <w:rPr>
          <w:rFonts w:ascii="Arial" w:hAnsi="Arial" w:cs="Arial"/>
          <w:iCs/>
          <w:sz w:val="24"/>
          <w:szCs w:val="24"/>
        </w:rPr>
        <w:t>žišta uglja</w:t>
      </w:r>
      <w:r w:rsidRPr="00DB12D9">
        <w:rPr>
          <w:rFonts w:ascii="Arial" w:hAnsi="Arial" w:cs="Arial"/>
          <w:iCs/>
          <w:sz w:val="24"/>
          <w:szCs w:val="24"/>
          <w:lang w:val="it-IT"/>
        </w:rPr>
        <w:t xml:space="preserve"> “Otilovići”, “Bakrenjače”, “Mataruge” i “Glisnica”. </w:t>
      </w:r>
      <w:r w:rsidRPr="00DB12D9">
        <w:rPr>
          <w:rFonts w:ascii="Arial" w:hAnsi="Arial" w:cs="Arial"/>
          <w:sz w:val="24"/>
          <w:szCs w:val="24"/>
          <w:lang w:val="it-IT"/>
        </w:rPr>
        <w:t xml:space="preserve">U eksploataciji su pljevaljski i ljuće-šumanski ugljonosni basen, a neistraženo je ležište Mataruge. </w:t>
      </w:r>
    </w:p>
    <w:p w:rsidR="00FE2F15" w:rsidRDefault="00FE2F15" w:rsidP="00FE2F15">
      <w:pPr>
        <w:tabs>
          <w:tab w:val="left" w:pos="720"/>
        </w:tabs>
        <w:spacing w:after="0"/>
        <w:ind w:right="41"/>
        <w:jc w:val="both"/>
        <w:rPr>
          <w:rFonts w:ascii="Arial" w:hAnsi="Arial" w:cs="Arial"/>
          <w:sz w:val="24"/>
          <w:szCs w:val="24"/>
          <w:lang w:val="it-IT"/>
        </w:rPr>
      </w:pPr>
    </w:p>
    <w:p w:rsidR="00FE2F15" w:rsidRPr="00FE2F15" w:rsidRDefault="00FE2F15" w:rsidP="00FE2F15">
      <w:pPr>
        <w:pStyle w:val="ListParagraph"/>
        <w:shd w:val="clear" w:color="auto" w:fill="FFFFFF"/>
        <w:spacing w:after="0"/>
        <w:ind w:left="11"/>
        <w:jc w:val="both"/>
        <w:rPr>
          <w:rFonts w:ascii="Arial" w:hAnsi="Arial" w:cs="Arial"/>
          <w:sz w:val="24"/>
          <w:szCs w:val="24"/>
        </w:rPr>
      </w:pPr>
      <w:r w:rsidRPr="007F34C7">
        <w:rPr>
          <w:rFonts w:ascii="Arial" w:hAnsi="Arial" w:cs="Arial"/>
          <w:sz w:val="24"/>
          <w:szCs w:val="24"/>
        </w:rPr>
        <w:t xml:space="preserve">Na teritoriji Opštine Berane mogu se izdvojiti dva basena mrkog uglja i to beranski i polički ugljeni basen. U okviru beranskog basena izdvojena su četiri revira, odnosno ležišta uglja: Budimlja, Petnjik, Zagorje i Berane. </w:t>
      </w:r>
      <w:r w:rsidRPr="007F34C7">
        <w:rPr>
          <w:rFonts w:ascii="Arial" w:hAnsi="Arial" w:cs="Arial"/>
          <w:sz w:val="24"/>
          <w:szCs w:val="24"/>
          <w:lang w:val="sr-Latn-CS"/>
        </w:rPr>
        <w:t>Ugljene basene beranske opštine izgrađuju oligomiocenski sedimenti sa ugljem u dolini Lima na kojima se najvećim dijelom nalazi i grad Berane. Površine su od oko 28 km</w:t>
      </w:r>
      <w:r w:rsidRPr="007F34C7">
        <w:rPr>
          <w:rFonts w:ascii="Arial" w:hAnsi="Arial" w:cs="Arial"/>
          <w:sz w:val="24"/>
          <w:szCs w:val="24"/>
          <w:vertAlign w:val="superscript"/>
          <w:lang w:val="sr-Latn-CS"/>
        </w:rPr>
        <w:t>2</w:t>
      </w:r>
      <w:r w:rsidRPr="007F34C7">
        <w:rPr>
          <w:rFonts w:ascii="Arial" w:hAnsi="Arial" w:cs="Arial"/>
          <w:sz w:val="24"/>
          <w:szCs w:val="24"/>
          <w:lang w:val="sr-Latn-CS"/>
        </w:rPr>
        <w:t xml:space="preserve">. U starijim djelovima tercijarnih naslaga deponovane su različite gline u kojima je nabušeno oko 20 slojeva uglja. Sa desne strane Lima, tercijarne sedimente izgrađuju laporci u čijem se podinskom dijelu nalaze slojevi </w:t>
      </w:r>
      <w:r w:rsidRPr="007F34C7">
        <w:rPr>
          <w:rFonts w:ascii="Arial" w:hAnsi="Arial" w:cs="Arial"/>
          <w:sz w:val="24"/>
          <w:szCs w:val="24"/>
          <w:lang w:val="sr-Latn-CS"/>
        </w:rPr>
        <w:lastRenderedPageBreak/>
        <w:t>uglja od ekonomskog značaja. U mlađim djelovima stuba laporaca, međutim, nalaze se slojevi uglja ograničenog rasprostranjenja i značaja.</w:t>
      </w:r>
    </w:p>
    <w:p w:rsidR="00C836AD" w:rsidRPr="00722DF4" w:rsidRDefault="00C836AD" w:rsidP="00293ECD">
      <w:pPr>
        <w:autoSpaceDE w:val="0"/>
        <w:autoSpaceDN w:val="0"/>
        <w:adjustRightInd w:val="0"/>
        <w:spacing w:after="0"/>
        <w:jc w:val="both"/>
        <w:rPr>
          <w:rFonts w:ascii="Arial" w:hAnsi="Arial" w:cs="Arial"/>
          <w:sz w:val="24"/>
          <w:szCs w:val="24"/>
        </w:rPr>
      </w:pPr>
    </w:p>
    <w:p w:rsidR="00FE2F15" w:rsidRPr="00C14311" w:rsidRDefault="00FE2F15" w:rsidP="00FE2F15">
      <w:pPr>
        <w:spacing w:after="0"/>
        <w:jc w:val="both"/>
        <w:rPr>
          <w:rFonts w:ascii="Arial" w:hAnsi="Arial" w:cs="Arial"/>
          <w:sz w:val="24"/>
          <w:szCs w:val="24"/>
          <w:lang w:val="sr-Latn-CS"/>
        </w:rPr>
      </w:pPr>
      <w:r w:rsidRPr="00C14311">
        <w:rPr>
          <w:rFonts w:ascii="Arial" w:hAnsi="Arial" w:cs="Arial"/>
          <w:sz w:val="24"/>
          <w:szCs w:val="24"/>
          <w:lang w:val="sr-Latn-CS"/>
        </w:rPr>
        <w:t>Iz Projekcije eksploatacije uglja u Crnoj Gori za period 2</w:t>
      </w:r>
      <w:r>
        <w:rPr>
          <w:rFonts w:ascii="Arial" w:hAnsi="Arial" w:cs="Arial"/>
          <w:sz w:val="24"/>
          <w:szCs w:val="24"/>
          <w:lang w:val="sr-Latn-CS"/>
        </w:rPr>
        <w:t>019-</w:t>
      </w:r>
      <w:r w:rsidRPr="00C14311">
        <w:rPr>
          <w:rFonts w:ascii="Arial" w:hAnsi="Arial" w:cs="Arial"/>
          <w:sz w:val="24"/>
          <w:szCs w:val="24"/>
          <w:lang w:val="sr-Latn-CS"/>
        </w:rPr>
        <w:t>2028. godina, tabela br. 1.1., otvaranje i početak eksploatacije uglja iz ležišta planirani su sljedećom dinamikom:</w:t>
      </w:r>
    </w:p>
    <w:p w:rsidR="00B77EA4" w:rsidRPr="00B77EA4" w:rsidRDefault="00B77EA4" w:rsidP="00B77EA4">
      <w:pPr>
        <w:numPr>
          <w:ilvl w:val="0"/>
          <w:numId w:val="45"/>
        </w:numPr>
        <w:spacing w:after="0" w:line="240" w:lineRule="auto"/>
        <w:contextualSpacing/>
        <w:jc w:val="both"/>
        <w:rPr>
          <w:rFonts w:ascii="Arial" w:eastAsiaTheme="minorHAnsi" w:hAnsi="Arial" w:cs="Arial"/>
          <w:sz w:val="24"/>
          <w:szCs w:val="24"/>
          <w:lang w:val="sr-Latn-CS"/>
        </w:rPr>
      </w:pPr>
      <w:r w:rsidRPr="00B77EA4">
        <w:rPr>
          <w:rFonts w:ascii="Arial" w:eastAsiaTheme="minorHAnsi" w:hAnsi="Arial" w:cs="Arial"/>
          <w:sz w:val="24"/>
          <w:szCs w:val="24"/>
          <w:lang w:val="sr-Latn-CS"/>
        </w:rPr>
        <w:t>2020. godina - eksploatacija preostalih rezervi uglja ljuće–šumanskog basena (5 godina - sa godišnjim obimom eksploatacije od 300.000 t uglja). Pri čemu bi se nastavilo sa doistraživanjem ostalih dijelova ljuće – šumanskog basena koji nisu bili zahvaćeni dosadašnjom rudarskom aktivnošću.</w:t>
      </w:r>
    </w:p>
    <w:p w:rsidR="00B77EA4" w:rsidRPr="00B77EA4" w:rsidRDefault="00B77EA4" w:rsidP="00B77EA4">
      <w:pPr>
        <w:numPr>
          <w:ilvl w:val="0"/>
          <w:numId w:val="45"/>
        </w:numPr>
        <w:spacing w:after="0" w:line="240" w:lineRule="auto"/>
        <w:contextualSpacing/>
        <w:jc w:val="both"/>
        <w:rPr>
          <w:rFonts w:ascii="Arial" w:eastAsiaTheme="minorHAnsi" w:hAnsi="Arial" w:cs="Arial"/>
          <w:sz w:val="24"/>
          <w:szCs w:val="24"/>
          <w:lang w:val="sr-Latn-CS"/>
        </w:rPr>
      </w:pPr>
      <w:r w:rsidRPr="00B77EA4">
        <w:rPr>
          <w:rFonts w:ascii="Arial" w:eastAsiaTheme="minorHAnsi" w:hAnsi="Arial" w:cs="Arial"/>
          <w:sz w:val="24"/>
          <w:szCs w:val="24"/>
          <w:lang w:val="sr-Latn-CS"/>
        </w:rPr>
        <w:t>2022. godina - eksploatacija uglja ležišta “Glisnica” (5 godina - sa godišnjim obimom eksploatacije od 300.000 t uglja). Pri čemu treba nastaviti sa doistraživanjem pljevaljskog ugljonosnog basena.</w:t>
      </w:r>
    </w:p>
    <w:p w:rsidR="00B77EA4" w:rsidRPr="00B77EA4" w:rsidRDefault="00B77EA4" w:rsidP="00B77EA4">
      <w:pPr>
        <w:numPr>
          <w:ilvl w:val="0"/>
          <w:numId w:val="45"/>
        </w:numPr>
        <w:spacing w:after="0" w:line="240" w:lineRule="auto"/>
        <w:contextualSpacing/>
        <w:jc w:val="both"/>
        <w:rPr>
          <w:rFonts w:ascii="Arial" w:eastAsiaTheme="minorHAnsi" w:hAnsi="Arial" w:cs="Arial"/>
          <w:sz w:val="24"/>
          <w:szCs w:val="24"/>
          <w:lang w:val="sr-Latn-CS"/>
        </w:rPr>
      </w:pPr>
      <w:r w:rsidRPr="00B77EA4">
        <w:rPr>
          <w:rFonts w:ascii="Arial" w:eastAsiaTheme="minorHAnsi" w:hAnsi="Arial" w:cs="Arial"/>
          <w:sz w:val="24"/>
          <w:szCs w:val="24"/>
          <w:lang w:val="sr-Latn-CS"/>
        </w:rPr>
        <w:t>2025.godina - eksploatacija uglja ležišta “Kalušići” (4 godine - sa godišnjim obimom eksploatacije od 500.000 t uglja)</w:t>
      </w:r>
    </w:p>
    <w:p w:rsidR="00B77EA4" w:rsidRPr="00B77EA4" w:rsidRDefault="00B77EA4" w:rsidP="00B77EA4">
      <w:pPr>
        <w:numPr>
          <w:ilvl w:val="0"/>
          <w:numId w:val="45"/>
        </w:numPr>
        <w:spacing w:before="120" w:after="0" w:line="240" w:lineRule="auto"/>
        <w:contextualSpacing/>
        <w:jc w:val="both"/>
        <w:rPr>
          <w:rFonts w:ascii="Arial" w:eastAsiaTheme="minorHAnsi" w:hAnsi="Arial" w:cs="Arial"/>
          <w:sz w:val="24"/>
          <w:szCs w:val="24"/>
          <w:lang w:val="sr-Latn-CS"/>
        </w:rPr>
      </w:pPr>
      <w:r w:rsidRPr="00B77EA4">
        <w:rPr>
          <w:rFonts w:ascii="Arial" w:eastAsiaTheme="minorHAnsi" w:hAnsi="Arial" w:cs="Arial"/>
          <w:sz w:val="24"/>
          <w:szCs w:val="24"/>
          <w:lang w:val="sr-Latn-CS"/>
        </w:rPr>
        <w:t xml:space="preserve">2027.godina - eksploatacija uglja ležišta “Otilovići” (2 godine - sa godišnjim obimom eksploatacije od 300.000 t uglja) po završetku eksploatacije ležišta “Glisnica”. </w:t>
      </w:r>
    </w:p>
    <w:p w:rsidR="00674399" w:rsidRDefault="00B77EA4" w:rsidP="00B77EA4">
      <w:pPr>
        <w:autoSpaceDE w:val="0"/>
        <w:autoSpaceDN w:val="0"/>
        <w:adjustRightInd w:val="0"/>
        <w:spacing w:after="0"/>
        <w:jc w:val="both"/>
        <w:rPr>
          <w:rFonts w:ascii="Arial" w:eastAsiaTheme="minorEastAsia" w:hAnsi="Arial" w:cs="Arial"/>
          <w:sz w:val="24"/>
          <w:szCs w:val="24"/>
          <w:lang w:val="sr-Latn-CS"/>
        </w:rPr>
      </w:pPr>
      <w:r w:rsidRPr="00B77EA4">
        <w:rPr>
          <w:rFonts w:ascii="Arial" w:eastAsiaTheme="minorEastAsia" w:hAnsi="Arial" w:cs="Arial"/>
          <w:sz w:val="24"/>
          <w:szCs w:val="24"/>
          <w:lang w:val="sr-Latn-CS"/>
        </w:rPr>
        <w:t>Detaljnim geološkim istraživanjem i potvrdom rezervi i kvaliteta uglja u ležištu „Mataruge“, ovo ležište bi se moglo planirati za buduću eksploataciju, što bi dovelo do promjene u projektovanoj dinamici u periodu 2019-2028.godine.</w:t>
      </w:r>
    </w:p>
    <w:p w:rsidR="00B77EA4" w:rsidRDefault="00B77EA4" w:rsidP="00B77EA4">
      <w:pPr>
        <w:autoSpaceDE w:val="0"/>
        <w:autoSpaceDN w:val="0"/>
        <w:adjustRightInd w:val="0"/>
        <w:spacing w:after="0"/>
        <w:jc w:val="both"/>
        <w:rPr>
          <w:rFonts w:ascii="Arial" w:hAnsi="Arial" w:cs="Arial"/>
          <w:sz w:val="24"/>
          <w:szCs w:val="24"/>
        </w:rPr>
      </w:pPr>
    </w:p>
    <w:p w:rsidR="00293ECD" w:rsidRDefault="00293ECD" w:rsidP="00293ECD">
      <w:pPr>
        <w:autoSpaceDE w:val="0"/>
        <w:autoSpaceDN w:val="0"/>
        <w:adjustRightInd w:val="0"/>
        <w:spacing w:after="0"/>
        <w:jc w:val="both"/>
        <w:rPr>
          <w:rFonts w:ascii="Arial" w:hAnsi="Arial" w:cs="Arial"/>
          <w:sz w:val="24"/>
          <w:szCs w:val="24"/>
        </w:rPr>
      </w:pPr>
      <w:r w:rsidRPr="00722DF4">
        <w:rPr>
          <w:rFonts w:ascii="Arial" w:hAnsi="Arial" w:cs="Arial"/>
          <w:sz w:val="24"/>
          <w:szCs w:val="24"/>
        </w:rPr>
        <w:t>Rudarska aktivnost na eksploataciji i preradi mineralnih sirovina, sama po sebi predstavlja devastaciju životne sredine. Pored uticaja na zagađenje vazduha, vode i zemljišta koji su osnovni elementi životne sredine površinska eksploatacija svojim kopovima i odlagalištima, a prerada svojim deponijama i jalovištima, imaju za posledicu promjenu reljefa i devastaciju prostora. Faktori koji utiču na životnu sredinu nikada se u potpunosti ne mogu eliminisati, ali se moraju svesti na najmanju moguću mjeru.</w:t>
      </w:r>
      <w:r w:rsidR="00FE2F15">
        <w:rPr>
          <w:rFonts w:ascii="Arial" w:hAnsi="Arial" w:cs="Arial"/>
          <w:sz w:val="24"/>
          <w:szCs w:val="24"/>
        </w:rPr>
        <w:t xml:space="preserve"> Imajući u vidu potrebe savremenog društva za korišćenjem mineralnih sirovina, o ekploataciji treba govoriti kao širokom obimu aktivnosti koje se sporvode uz poštovanje principa održivog razvoja.</w:t>
      </w:r>
    </w:p>
    <w:p w:rsidR="00674399" w:rsidRDefault="00674399" w:rsidP="00293ECD">
      <w:pPr>
        <w:autoSpaceDE w:val="0"/>
        <w:autoSpaceDN w:val="0"/>
        <w:adjustRightInd w:val="0"/>
        <w:spacing w:after="0"/>
        <w:jc w:val="both"/>
        <w:rPr>
          <w:rFonts w:ascii="Arial" w:hAnsi="Arial" w:cs="Arial"/>
          <w:sz w:val="24"/>
          <w:szCs w:val="24"/>
        </w:rPr>
      </w:pPr>
    </w:p>
    <w:p w:rsidR="00293ECD" w:rsidRDefault="00293ECD" w:rsidP="00293ECD">
      <w:pPr>
        <w:pStyle w:val="ColorfulList-Accent11"/>
        <w:spacing w:after="0"/>
        <w:ind w:left="0"/>
        <w:jc w:val="both"/>
        <w:rPr>
          <w:rFonts w:ascii="Arial" w:hAnsi="Arial" w:cs="Arial"/>
          <w:sz w:val="24"/>
          <w:szCs w:val="24"/>
        </w:rPr>
      </w:pPr>
      <w:r w:rsidRPr="00722DF4">
        <w:rPr>
          <w:rFonts w:ascii="Arial" w:hAnsi="Arial" w:cs="Arial"/>
          <w:sz w:val="24"/>
          <w:szCs w:val="24"/>
        </w:rPr>
        <w:t>Izrada projekta rekultivacije i njegovo sprovođenje, tj. dovođenje terena u prvobitno stanje i sprovođenje rekultivacije površina nakon završene eksploatacije predstavlja zakonsku obavezu rudnika i mora se sprovoditi na najbolji mogući način zavisno od toga koliko uslovi dozvoljavaju.</w:t>
      </w:r>
    </w:p>
    <w:p w:rsidR="00674399" w:rsidRDefault="00674399" w:rsidP="00293ECD">
      <w:pPr>
        <w:pStyle w:val="ColorfulList-Accent11"/>
        <w:spacing w:after="0"/>
        <w:ind w:left="0"/>
        <w:jc w:val="both"/>
        <w:rPr>
          <w:rFonts w:ascii="Arial" w:hAnsi="Arial" w:cs="Arial"/>
          <w:sz w:val="24"/>
          <w:szCs w:val="24"/>
        </w:rPr>
      </w:pPr>
    </w:p>
    <w:p w:rsidR="00293ECD" w:rsidRPr="00722DF4" w:rsidRDefault="00293ECD" w:rsidP="00674399">
      <w:pPr>
        <w:widowControl w:val="0"/>
        <w:autoSpaceDE w:val="0"/>
        <w:autoSpaceDN w:val="0"/>
        <w:spacing w:after="0"/>
        <w:ind w:right="4"/>
        <w:jc w:val="both"/>
        <w:rPr>
          <w:rFonts w:ascii="Arial" w:eastAsia="Arial" w:hAnsi="Arial" w:cs="Arial"/>
          <w:sz w:val="24"/>
          <w:szCs w:val="24"/>
          <w:lang w:bidi="en-US"/>
        </w:rPr>
      </w:pPr>
      <w:r w:rsidRPr="00722DF4">
        <w:rPr>
          <w:rFonts w:ascii="Arial" w:eastAsia="Arial" w:hAnsi="Arial" w:cs="Arial"/>
          <w:sz w:val="24"/>
          <w:szCs w:val="24"/>
          <w:lang w:bidi="en-US"/>
        </w:rPr>
        <w:t>Uzimajući u obzir sadržaj i glavne ciljeve Plana, te karakteristike i sadašnje stan</w:t>
      </w:r>
      <w:r w:rsidR="00674399">
        <w:rPr>
          <w:rFonts w:ascii="Arial" w:eastAsia="Arial" w:hAnsi="Arial" w:cs="Arial"/>
          <w:sz w:val="24"/>
          <w:szCs w:val="24"/>
          <w:lang w:bidi="en-US"/>
        </w:rPr>
        <w:t xml:space="preserve">je </w:t>
      </w:r>
      <w:r w:rsidRPr="00722DF4">
        <w:rPr>
          <w:rFonts w:ascii="Arial" w:eastAsia="Arial" w:hAnsi="Arial" w:cs="Arial"/>
          <w:sz w:val="24"/>
          <w:szCs w:val="24"/>
          <w:lang w:bidi="en-US"/>
        </w:rPr>
        <w:t>u prostoru, identifikovana su slijedeća sporna pitanja životne sredine koja je treba ocijeniti u postupku strateške procjene uticaja na životnu sredinu:</w:t>
      </w:r>
    </w:p>
    <w:p w:rsidR="00293ECD" w:rsidRPr="00722DF4" w:rsidRDefault="00293ECD"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Biološka</w:t>
      </w:r>
      <w:r w:rsidRPr="00722DF4">
        <w:rPr>
          <w:rFonts w:ascii="Arial" w:eastAsia="Arial" w:hAnsi="Arial" w:cs="Arial"/>
          <w:spacing w:val="-3"/>
          <w:sz w:val="24"/>
          <w:szCs w:val="24"/>
          <w:lang w:bidi="en-US"/>
        </w:rPr>
        <w:t xml:space="preserve"> </w:t>
      </w:r>
      <w:r w:rsidRPr="00722DF4">
        <w:rPr>
          <w:rFonts w:ascii="Arial" w:eastAsia="Arial" w:hAnsi="Arial" w:cs="Arial"/>
          <w:sz w:val="24"/>
          <w:szCs w:val="24"/>
          <w:lang w:bidi="en-US"/>
        </w:rPr>
        <w:t>raznolikost,</w:t>
      </w:r>
    </w:p>
    <w:p w:rsidR="00293ECD" w:rsidRPr="00722DF4" w:rsidRDefault="00293ECD"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Smanjenje prirodnih zelenih</w:t>
      </w:r>
      <w:r w:rsidRPr="00722DF4">
        <w:rPr>
          <w:rFonts w:ascii="Arial" w:eastAsia="Arial" w:hAnsi="Arial" w:cs="Arial"/>
          <w:spacing w:val="-3"/>
          <w:sz w:val="24"/>
          <w:szCs w:val="24"/>
          <w:lang w:bidi="en-US"/>
        </w:rPr>
        <w:t xml:space="preserve"> </w:t>
      </w:r>
      <w:r w:rsidRPr="00722DF4">
        <w:rPr>
          <w:rFonts w:ascii="Arial" w:eastAsia="Arial" w:hAnsi="Arial" w:cs="Arial"/>
          <w:sz w:val="24"/>
          <w:szCs w:val="24"/>
          <w:lang w:bidi="en-US"/>
        </w:rPr>
        <w:t>površina,</w:t>
      </w:r>
    </w:p>
    <w:p w:rsidR="00293ECD" w:rsidRPr="00722DF4" w:rsidRDefault="00293ECD"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lastRenderedPageBreak/>
        <w:t>Pejzaži,</w:t>
      </w:r>
    </w:p>
    <w:p w:rsidR="00293ECD" w:rsidRPr="00722DF4" w:rsidRDefault="00293ECD"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Vode,</w:t>
      </w:r>
    </w:p>
    <w:p w:rsidR="00293ECD" w:rsidRPr="00722DF4" w:rsidRDefault="00293ECD" w:rsidP="00663F7F">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Vazduh</w:t>
      </w:r>
    </w:p>
    <w:p w:rsidR="00674399" w:rsidRPr="004D7972" w:rsidRDefault="00293ECD" w:rsidP="004D7972">
      <w:pPr>
        <w:widowControl w:val="0"/>
        <w:numPr>
          <w:ilvl w:val="0"/>
          <w:numId w:val="22"/>
        </w:numPr>
        <w:tabs>
          <w:tab w:val="left" w:pos="1178"/>
          <w:tab w:val="left" w:pos="1179"/>
        </w:tabs>
        <w:autoSpaceDE w:val="0"/>
        <w:autoSpaceDN w:val="0"/>
        <w:spacing w:after="0"/>
        <w:ind w:hanging="292"/>
        <w:jc w:val="both"/>
        <w:rPr>
          <w:rFonts w:ascii="Arial" w:eastAsia="Arial" w:hAnsi="Arial" w:cs="Arial"/>
          <w:sz w:val="24"/>
          <w:szCs w:val="24"/>
          <w:lang w:bidi="en-US"/>
        </w:rPr>
      </w:pPr>
      <w:r w:rsidRPr="00722DF4">
        <w:rPr>
          <w:rFonts w:ascii="Arial" w:eastAsia="Arial" w:hAnsi="Arial" w:cs="Arial"/>
          <w:sz w:val="24"/>
          <w:szCs w:val="24"/>
          <w:lang w:bidi="en-US"/>
        </w:rPr>
        <w:t>Stvaranje</w:t>
      </w:r>
      <w:r w:rsidRPr="00722DF4">
        <w:rPr>
          <w:rFonts w:ascii="Arial" w:eastAsia="Arial" w:hAnsi="Arial" w:cs="Arial"/>
          <w:spacing w:val="-1"/>
          <w:sz w:val="24"/>
          <w:szCs w:val="24"/>
          <w:lang w:bidi="en-US"/>
        </w:rPr>
        <w:t xml:space="preserve"> </w:t>
      </w:r>
      <w:r w:rsidRPr="00722DF4">
        <w:rPr>
          <w:rFonts w:ascii="Arial" w:eastAsia="Arial" w:hAnsi="Arial" w:cs="Arial"/>
          <w:sz w:val="24"/>
          <w:szCs w:val="24"/>
          <w:lang w:bidi="en-US"/>
        </w:rPr>
        <w:t>otpada.</w:t>
      </w:r>
    </w:p>
    <w:p w:rsidR="00FE2F15" w:rsidRDefault="00FE2F15" w:rsidP="00293ECD">
      <w:pPr>
        <w:pStyle w:val="ColorfulList-Accent11"/>
        <w:spacing w:after="0"/>
        <w:ind w:left="0"/>
        <w:jc w:val="both"/>
        <w:rPr>
          <w:rFonts w:ascii="Arial" w:hAnsi="Arial" w:cs="Arial"/>
          <w:b/>
          <w:sz w:val="24"/>
          <w:szCs w:val="24"/>
        </w:rPr>
      </w:pPr>
    </w:p>
    <w:p w:rsidR="00293ECD" w:rsidRDefault="00293ECD" w:rsidP="00293ECD">
      <w:pPr>
        <w:pStyle w:val="ColorfulList-Accent11"/>
        <w:spacing w:after="0"/>
        <w:ind w:left="0"/>
        <w:jc w:val="both"/>
        <w:rPr>
          <w:rFonts w:ascii="Arial" w:hAnsi="Arial" w:cs="Arial"/>
          <w:b/>
          <w:sz w:val="24"/>
          <w:szCs w:val="24"/>
        </w:rPr>
      </w:pPr>
      <w:r w:rsidRPr="00855996">
        <w:rPr>
          <w:rFonts w:ascii="Arial" w:hAnsi="Arial" w:cs="Arial"/>
          <w:b/>
          <w:sz w:val="24"/>
          <w:szCs w:val="24"/>
        </w:rPr>
        <w:t>Uticaji na kvalitet vazduha</w:t>
      </w:r>
    </w:p>
    <w:p w:rsidR="00674399" w:rsidRDefault="00674399" w:rsidP="00293ECD">
      <w:pPr>
        <w:pStyle w:val="ColorfulList-Accent11"/>
        <w:spacing w:after="0"/>
        <w:ind w:left="0"/>
        <w:jc w:val="both"/>
        <w:rPr>
          <w:rFonts w:ascii="Arial" w:hAnsi="Arial" w:cs="Arial"/>
          <w:b/>
          <w:sz w:val="24"/>
          <w:szCs w:val="24"/>
        </w:rPr>
      </w:pPr>
    </w:p>
    <w:p w:rsidR="00293ECD" w:rsidRDefault="00293ECD" w:rsidP="00293ECD">
      <w:pPr>
        <w:spacing w:after="0"/>
        <w:jc w:val="both"/>
        <w:rPr>
          <w:rFonts w:ascii="Arial" w:hAnsi="Arial" w:cs="Arial"/>
          <w:sz w:val="24"/>
          <w:szCs w:val="24"/>
        </w:rPr>
      </w:pPr>
      <w:r>
        <w:rPr>
          <w:rFonts w:ascii="Arial" w:hAnsi="Arial" w:cs="Arial"/>
          <w:sz w:val="24"/>
          <w:szCs w:val="24"/>
        </w:rPr>
        <w:t>Znač</w:t>
      </w:r>
      <w:r w:rsidRPr="00722DF4">
        <w:rPr>
          <w:rFonts w:ascii="Arial" w:hAnsi="Arial" w:cs="Arial"/>
          <w:sz w:val="24"/>
          <w:szCs w:val="24"/>
        </w:rPr>
        <w:t>ajnu potencijalnu opasnost za vazduh u životnoj sred</w:t>
      </w:r>
      <w:r>
        <w:rPr>
          <w:rFonts w:ascii="Arial" w:hAnsi="Arial" w:cs="Arial"/>
          <w:sz w:val="24"/>
          <w:szCs w:val="24"/>
        </w:rPr>
        <w:t>ini predstavljaju suspendovane č</w:t>
      </w:r>
      <w:r w:rsidRPr="00722DF4">
        <w:rPr>
          <w:rFonts w:ascii="Arial" w:hAnsi="Arial" w:cs="Arial"/>
          <w:sz w:val="24"/>
          <w:szCs w:val="24"/>
        </w:rPr>
        <w:t>e</w:t>
      </w:r>
      <w:r>
        <w:rPr>
          <w:rFonts w:ascii="Arial" w:hAnsi="Arial" w:cs="Arial"/>
          <w:sz w:val="24"/>
          <w:szCs w:val="24"/>
        </w:rPr>
        <w:t>stice (mineralna prašina) č</w:t>
      </w:r>
      <w:r w:rsidRPr="00722DF4">
        <w:rPr>
          <w:rFonts w:ascii="Arial" w:hAnsi="Arial" w:cs="Arial"/>
          <w:sz w:val="24"/>
          <w:szCs w:val="24"/>
        </w:rPr>
        <w:t xml:space="preserve">ije vrijednosti imisija, u određenim prirodnim </w:t>
      </w:r>
      <w:r>
        <w:rPr>
          <w:rFonts w:ascii="Arial" w:hAnsi="Arial" w:cs="Arial"/>
          <w:sz w:val="24"/>
          <w:szCs w:val="24"/>
        </w:rPr>
        <w:t>uslovima, mogu biti iznad granič</w:t>
      </w:r>
      <w:r w:rsidRPr="00722DF4">
        <w:rPr>
          <w:rFonts w:ascii="Arial" w:hAnsi="Arial" w:cs="Arial"/>
          <w:sz w:val="24"/>
          <w:szCs w:val="24"/>
        </w:rPr>
        <w:t>nih vrijednosti</w:t>
      </w:r>
      <w:r>
        <w:rPr>
          <w:rFonts w:ascii="Arial" w:hAnsi="Arial" w:cs="Arial"/>
          <w:sz w:val="24"/>
          <w:szCs w:val="24"/>
        </w:rPr>
        <w:t xml:space="preserve"> propisanih za nastanjena područ</w:t>
      </w:r>
      <w:r w:rsidRPr="00722DF4">
        <w:rPr>
          <w:rFonts w:ascii="Arial" w:hAnsi="Arial" w:cs="Arial"/>
          <w:sz w:val="24"/>
          <w:szCs w:val="24"/>
        </w:rPr>
        <w:t>ja.</w:t>
      </w:r>
    </w:p>
    <w:p w:rsidR="00674399" w:rsidRDefault="00674399" w:rsidP="00293ECD">
      <w:pPr>
        <w:spacing w:after="0"/>
        <w:jc w:val="both"/>
        <w:rPr>
          <w:rFonts w:ascii="Arial" w:hAnsi="Arial" w:cs="Arial"/>
          <w:sz w:val="24"/>
          <w:szCs w:val="24"/>
        </w:rPr>
      </w:pPr>
    </w:p>
    <w:p w:rsidR="00293ECD" w:rsidRDefault="00293ECD" w:rsidP="00293ECD">
      <w:pPr>
        <w:spacing w:after="0"/>
        <w:jc w:val="both"/>
        <w:rPr>
          <w:rFonts w:ascii="Arial" w:hAnsi="Arial" w:cs="Arial"/>
          <w:sz w:val="24"/>
          <w:szCs w:val="24"/>
        </w:rPr>
      </w:pPr>
      <w:r w:rsidRPr="00722DF4">
        <w:rPr>
          <w:rFonts w:ascii="Arial" w:hAnsi="Arial" w:cs="Arial"/>
          <w:sz w:val="24"/>
          <w:szCs w:val="24"/>
        </w:rPr>
        <w:t xml:space="preserve"> Nastajanje disperzne faze (lebdeće prašine) u vazduhu radne okoline vezano je u većoj ili manjoj mjeri za sve projektovane faze tehnološkog procesa. </w:t>
      </w:r>
    </w:p>
    <w:p w:rsidR="00674399" w:rsidRDefault="00674399" w:rsidP="00293ECD">
      <w:pPr>
        <w:spacing w:after="0"/>
        <w:jc w:val="both"/>
        <w:rPr>
          <w:rFonts w:ascii="Arial" w:hAnsi="Arial" w:cs="Arial"/>
          <w:sz w:val="24"/>
          <w:szCs w:val="24"/>
        </w:rPr>
      </w:pPr>
    </w:p>
    <w:p w:rsidR="00293ECD" w:rsidRDefault="00293ECD" w:rsidP="00293ECD">
      <w:pPr>
        <w:spacing w:after="0"/>
        <w:jc w:val="both"/>
        <w:rPr>
          <w:rFonts w:ascii="Arial" w:hAnsi="Arial" w:cs="Arial"/>
          <w:sz w:val="24"/>
          <w:szCs w:val="24"/>
        </w:rPr>
      </w:pPr>
      <w:r>
        <w:rPr>
          <w:rFonts w:ascii="Arial" w:hAnsi="Arial" w:cs="Arial"/>
          <w:sz w:val="24"/>
          <w:szCs w:val="24"/>
        </w:rPr>
        <w:t>Karakteristič</w:t>
      </w:r>
      <w:r w:rsidRPr="00722DF4">
        <w:rPr>
          <w:rFonts w:ascii="Arial" w:hAnsi="Arial" w:cs="Arial"/>
          <w:sz w:val="24"/>
          <w:szCs w:val="24"/>
        </w:rPr>
        <w:t>ni izvori zag</w:t>
      </w:r>
      <w:r>
        <w:rPr>
          <w:rFonts w:ascii="Arial" w:hAnsi="Arial" w:cs="Arial"/>
          <w:sz w:val="24"/>
          <w:szCs w:val="24"/>
        </w:rPr>
        <w:t>ađivanja vazduha suspendovanim česticama su: tač</w:t>
      </w:r>
      <w:r w:rsidRPr="00722DF4">
        <w:rPr>
          <w:rFonts w:ascii="Arial" w:hAnsi="Arial" w:cs="Arial"/>
          <w:sz w:val="24"/>
          <w:szCs w:val="24"/>
        </w:rPr>
        <w:t>k</w:t>
      </w:r>
      <w:r>
        <w:rPr>
          <w:rFonts w:ascii="Arial" w:hAnsi="Arial" w:cs="Arial"/>
          <w:sz w:val="24"/>
          <w:szCs w:val="24"/>
        </w:rPr>
        <w:t>asti (bušaća garnitura, utovarač</w:t>
      </w:r>
      <w:r w:rsidRPr="00722DF4">
        <w:rPr>
          <w:rFonts w:ascii="Arial" w:hAnsi="Arial" w:cs="Arial"/>
          <w:sz w:val="24"/>
          <w:szCs w:val="24"/>
        </w:rPr>
        <w:t>i), linijski (putevi na površ</w:t>
      </w:r>
      <w:r>
        <w:rPr>
          <w:rFonts w:ascii="Arial" w:hAnsi="Arial" w:cs="Arial"/>
          <w:sz w:val="24"/>
          <w:szCs w:val="24"/>
        </w:rPr>
        <w:t>inskom kopu i koncesionom područ</w:t>
      </w:r>
      <w:r w:rsidRPr="00722DF4">
        <w:rPr>
          <w:rFonts w:ascii="Arial" w:hAnsi="Arial" w:cs="Arial"/>
          <w:sz w:val="24"/>
          <w:szCs w:val="24"/>
        </w:rPr>
        <w:t>ju), površinski (aktivne površine na površinskom kopu, odlagališta i jalovište).</w:t>
      </w:r>
    </w:p>
    <w:p w:rsidR="00293ECD" w:rsidRDefault="00293ECD" w:rsidP="00293ECD">
      <w:pPr>
        <w:spacing w:after="0"/>
        <w:jc w:val="both"/>
        <w:rPr>
          <w:rFonts w:ascii="Arial" w:hAnsi="Arial" w:cs="Arial"/>
          <w:sz w:val="24"/>
          <w:szCs w:val="24"/>
        </w:rPr>
      </w:pPr>
    </w:p>
    <w:p w:rsidR="00293ECD" w:rsidRDefault="00293ECD" w:rsidP="00293ECD">
      <w:pPr>
        <w:pStyle w:val="ColorfulList-Accent11"/>
        <w:spacing w:after="0"/>
        <w:ind w:left="0"/>
        <w:jc w:val="both"/>
        <w:rPr>
          <w:rFonts w:ascii="Arial" w:hAnsi="Arial" w:cs="Arial"/>
          <w:b/>
          <w:sz w:val="24"/>
          <w:szCs w:val="24"/>
        </w:rPr>
      </w:pPr>
      <w:r w:rsidRPr="00EA3F8D">
        <w:rPr>
          <w:rFonts w:ascii="Arial" w:hAnsi="Arial" w:cs="Arial"/>
          <w:b/>
          <w:sz w:val="24"/>
          <w:szCs w:val="24"/>
        </w:rPr>
        <w:t>Uticaji na kvalitet voda</w:t>
      </w:r>
    </w:p>
    <w:p w:rsidR="00674399" w:rsidRDefault="00674399" w:rsidP="00293ECD">
      <w:pPr>
        <w:pStyle w:val="ColorfulList-Accent11"/>
        <w:spacing w:after="0"/>
        <w:ind w:left="0"/>
        <w:jc w:val="both"/>
        <w:rPr>
          <w:rFonts w:ascii="Arial" w:hAnsi="Arial" w:cs="Arial"/>
          <w:b/>
          <w:sz w:val="24"/>
          <w:szCs w:val="24"/>
        </w:rPr>
      </w:pPr>
    </w:p>
    <w:p w:rsidR="00293ECD" w:rsidRDefault="00293ECD" w:rsidP="00293ECD">
      <w:pPr>
        <w:spacing w:after="0"/>
        <w:jc w:val="both"/>
        <w:rPr>
          <w:rFonts w:ascii="Arial" w:hAnsi="Arial" w:cs="Arial"/>
          <w:sz w:val="24"/>
          <w:szCs w:val="24"/>
        </w:rPr>
      </w:pPr>
      <w:r w:rsidRPr="00722DF4">
        <w:rPr>
          <w:rFonts w:ascii="Arial" w:hAnsi="Arial" w:cs="Arial"/>
          <w:sz w:val="24"/>
          <w:szCs w:val="24"/>
        </w:rPr>
        <w:t>Površinska eksploatacija ležišta prema karakteristikama tehnološkog procesa može usloviti promjene hidrogeoloških i hidroloških režima už</w:t>
      </w:r>
      <w:r>
        <w:rPr>
          <w:rFonts w:ascii="Arial" w:hAnsi="Arial" w:cs="Arial"/>
          <w:sz w:val="24"/>
          <w:szCs w:val="24"/>
        </w:rPr>
        <w:t>eg i šireg područ</w:t>
      </w:r>
      <w:r w:rsidRPr="00722DF4">
        <w:rPr>
          <w:rFonts w:ascii="Arial" w:hAnsi="Arial" w:cs="Arial"/>
          <w:sz w:val="24"/>
          <w:szCs w:val="24"/>
        </w:rPr>
        <w:t>ja eksploatacije kao i emisije štetnih materija u površinske i podzemne vode.</w:t>
      </w:r>
    </w:p>
    <w:p w:rsidR="00674399" w:rsidRDefault="00674399" w:rsidP="00293ECD">
      <w:pPr>
        <w:spacing w:after="0"/>
        <w:jc w:val="both"/>
        <w:rPr>
          <w:rFonts w:ascii="Arial" w:hAnsi="Arial" w:cs="Arial"/>
          <w:sz w:val="24"/>
          <w:szCs w:val="24"/>
        </w:rPr>
      </w:pPr>
    </w:p>
    <w:p w:rsidR="00293ECD" w:rsidRDefault="00293ECD" w:rsidP="00293ECD">
      <w:pPr>
        <w:pStyle w:val="ColorfulList-Accent11"/>
        <w:spacing w:after="0"/>
        <w:ind w:left="0"/>
        <w:jc w:val="both"/>
        <w:rPr>
          <w:rFonts w:ascii="Arial" w:hAnsi="Arial" w:cs="Arial"/>
          <w:sz w:val="24"/>
          <w:szCs w:val="24"/>
        </w:rPr>
      </w:pPr>
      <w:r>
        <w:rPr>
          <w:rFonts w:ascii="Arial" w:hAnsi="Arial" w:cs="Arial"/>
          <w:sz w:val="24"/>
          <w:szCs w:val="24"/>
        </w:rPr>
        <w:t>Rudarsku proizvodnju različitih mineralnih sirovina neretko prati određena količina otapda – jalovine, koji može biti različitog hemisjkog satava, u zavisnosti od vrste mineralne sirovine. Kada se govori o uticaju aktivnosti vezanih za eksploataciju mineralnih sirovina na kvalitet voda, posebnu pažnju treba posvetiti načinu odlaganja, odnosno organizacije jalovišta.</w:t>
      </w:r>
    </w:p>
    <w:p w:rsidR="00674399" w:rsidRDefault="00674399" w:rsidP="00293ECD">
      <w:pPr>
        <w:pStyle w:val="ColorfulList-Accent11"/>
        <w:spacing w:after="0"/>
        <w:ind w:left="0"/>
        <w:jc w:val="both"/>
        <w:rPr>
          <w:rFonts w:ascii="Arial" w:hAnsi="Arial" w:cs="Arial"/>
          <w:sz w:val="24"/>
          <w:szCs w:val="24"/>
        </w:rPr>
      </w:pPr>
    </w:p>
    <w:p w:rsidR="00293ECD" w:rsidRDefault="00293ECD" w:rsidP="00293ECD">
      <w:pPr>
        <w:spacing w:after="0"/>
        <w:jc w:val="both"/>
        <w:rPr>
          <w:rFonts w:ascii="Arial" w:hAnsi="Arial" w:cs="Arial"/>
          <w:sz w:val="24"/>
          <w:szCs w:val="24"/>
        </w:rPr>
      </w:pPr>
      <w:r>
        <w:rPr>
          <w:rFonts w:ascii="Arial" w:hAnsi="Arial" w:cs="Arial"/>
          <w:sz w:val="24"/>
          <w:szCs w:val="24"/>
        </w:rPr>
        <w:t>Imajući u vidu aktivnosti predviđene Planom, može se reći da sa stanovišta uticija na kvalitet voda najveći uticaji vezani su za proizvodnju metaličnih mineralnih sirovina kao i energenata, ondnosno uglja. Proizvodnja navedenih mineralnih sirovina podrazumjeva izvesnu količinu otpada, odnosno jalovišta, koji u zavisnosti od tehnologije proizvodnje i same minralne sirovine, imaju različit hemijski sastav.</w:t>
      </w:r>
    </w:p>
    <w:p w:rsidR="00FE2F15" w:rsidRDefault="00FE2F15" w:rsidP="00293ECD">
      <w:pPr>
        <w:spacing w:after="0"/>
        <w:jc w:val="both"/>
        <w:rPr>
          <w:rFonts w:ascii="Arial" w:hAnsi="Arial" w:cs="Arial"/>
          <w:sz w:val="24"/>
          <w:szCs w:val="24"/>
        </w:rPr>
      </w:pPr>
    </w:p>
    <w:p w:rsidR="00293ECD" w:rsidRDefault="00293ECD" w:rsidP="00293ECD">
      <w:pPr>
        <w:spacing w:after="0"/>
        <w:jc w:val="both"/>
        <w:rPr>
          <w:rFonts w:ascii="Arial" w:hAnsi="Arial" w:cs="Arial"/>
          <w:sz w:val="24"/>
          <w:szCs w:val="24"/>
          <w:lang w:val="sr-Latn-CS"/>
        </w:rPr>
      </w:pPr>
      <w:r>
        <w:rPr>
          <w:rFonts w:ascii="Arial" w:hAnsi="Arial" w:cs="Arial"/>
          <w:sz w:val="24"/>
          <w:szCs w:val="24"/>
          <w:lang w:val="sr-Latn-CS"/>
        </w:rPr>
        <w:t>Imajući u vidu ranije iznete činjenice, izvodi se zaključak da su površinske i podzemne vode u širim zonama rudarskih radova ugrožene rudarskim aktivnostima, i da je neophodno sprovoditi mjere za njihovu zaštitu.</w:t>
      </w:r>
    </w:p>
    <w:p w:rsidR="00293ECD" w:rsidRPr="00AE3CFA" w:rsidRDefault="00293ECD" w:rsidP="00293ECD">
      <w:pPr>
        <w:spacing w:after="0"/>
        <w:jc w:val="both"/>
        <w:rPr>
          <w:rFonts w:ascii="Arial" w:hAnsi="Arial" w:cs="Arial"/>
          <w:sz w:val="24"/>
          <w:szCs w:val="24"/>
          <w:lang w:val="sr-Latn-CS"/>
        </w:rPr>
      </w:pPr>
    </w:p>
    <w:p w:rsidR="00293ECD" w:rsidRDefault="00293ECD" w:rsidP="00293ECD">
      <w:pPr>
        <w:pStyle w:val="ColorfulList-Accent11"/>
        <w:spacing w:after="0"/>
        <w:ind w:left="0"/>
        <w:jc w:val="both"/>
        <w:rPr>
          <w:rFonts w:ascii="Arial" w:hAnsi="Arial" w:cs="Arial"/>
          <w:b/>
          <w:sz w:val="24"/>
          <w:szCs w:val="24"/>
        </w:rPr>
      </w:pPr>
      <w:r w:rsidRPr="00EA3F8D">
        <w:rPr>
          <w:rFonts w:ascii="Arial" w:hAnsi="Arial" w:cs="Arial"/>
          <w:b/>
          <w:sz w:val="24"/>
          <w:szCs w:val="24"/>
        </w:rPr>
        <w:t>Zemljište</w:t>
      </w:r>
    </w:p>
    <w:p w:rsidR="00674399" w:rsidRDefault="00674399" w:rsidP="00293ECD">
      <w:pPr>
        <w:pStyle w:val="ColorfulList-Accent11"/>
        <w:spacing w:after="0"/>
        <w:ind w:left="0"/>
        <w:jc w:val="both"/>
        <w:rPr>
          <w:rFonts w:ascii="Arial" w:hAnsi="Arial" w:cs="Arial"/>
          <w:b/>
          <w:sz w:val="24"/>
          <w:szCs w:val="24"/>
        </w:rPr>
      </w:pPr>
    </w:p>
    <w:p w:rsidR="00293ECD" w:rsidRDefault="00293ECD" w:rsidP="00293ECD">
      <w:pPr>
        <w:spacing w:after="0"/>
        <w:jc w:val="both"/>
        <w:rPr>
          <w:rFonts w:ascii="Arial" w:hAnsi="Arial" w:cs="Arial"/>
          <w:sz w:val="24"/>
          <w:szCs w:val="24"/>
        </w:rPr>
      </w:pPr>
      <w:r w:rsidRPr="00722DF4">
        <w:rPr>
          <w:rFonts w:ascii="Arial" w:hAnsi="Arial" w:cs="Arial"/>
          <w:sz w:val="24"/>
          <w:szCs w:val="24"/>
        </w:rPr>
        <w:t>S obzirom na to da spada u teško obnovlji</w:t>
      </w:r>
      <w:r>
        <w:rPr>
          <w:rFonts w:ascii="Arial" w:hAnsi="Arial" w:cs="Arial"/>
          <w:sz w:val="24"/>
          <w:szCs w:val="24"/>
        </w:rPr>
        <w:t>ve, ogranič</w:t>
      </w:r>
      <w:r w:rsidRPr="00722DF4">
        <w:rPr>
          <w:rFonts w:ascii="Arial" w:hAnsi="Arial" w:cs="Arial"/>
          <w:sz w:val="24"/>
          <w:szCs w:val="24"/>
        </w:rPr>
        <w:t>ene prirodne resurse, zauzimanje i narušavan</w:t>
      </w:r>
      <w:r>
        <w:rPr>
          <w:rFonts w:ascii="Arial" w:hAnsi="Arial" w:cs="Arial"/>
          <w:sz w:val="24"/>
          <w:szCs w:val="24"/>
        </w:rPr>
        <w:t>je zemljišta predstavlja najznač</w:t>
      </w:r>
      <w:r w:rsidRPr="00722DF4">
        <w:rPr>
          <w:rFonts w:ascii="Arial" w:hAnsi="Arial" w:cs="Arial"/>
          <w:sz w:val="24"/>
          <w:szCs w:val="24"/>
        </w:rPr>
        <w:t>ajn</w:t>
      </w:r>
      <w:r>
        <w:rPr>
          <w:rFonts w:ascii="Arial" w:hAnsi="Arial" w:cs="Arial"/>
          <w:sz w:val="24"/>
          <w:szCs w:val="24"/>
        </w:rPr>
        <w:t xml:space="preserve">iji konflikt industrije sa okruženjem. </w:t>
      </w:r>
    </w:p>
    <w:p w:rsidR="00293ECD" w:rsidRDefault="00293ECD" w:rsidP="00293ECD">
      <w:pPr>
        <w:spacing w:after="0"/>
        <w:jc w:val="both"/>
        <w:rPr>
          <w:rFonts w:ascii="Arial" w:hAnsi="Arial" w:cs="Arial"/>
          <w:sz w:val="24"/>
          <w:szCs w:val="24"/>
        </w:rPr>
      </w:pPr>
    </w:p>
    <w:p w:rsidR="00293ECD" w:rsidRDefault="00293ECD" w:rsidP="00293ECD">
      <w:pPr>
        <w:spacing w:after="0"/>
        <w:jc w:val="both"/>
        <w:rPr>
          <w:rFonts w:ascii="Arial" w:hAnsi="Arial" w:cs="Arial"/>
          <w:sz w:val="24"/>
          <w:szCs w:val="24"/>
        </w:rPr>
      </w:pPr>
      <w:r>
        <w:rPr>
          <w:rFonts w:ascii="Arial" w:hAnsi="Arial" w:cs="Arial"/>
          <w:sz w:val="24"/>
          <w:szCs w:val="24"/>
        </w:rPr>
        <w:t>Uticaj industrije rudarstva na zemljište je znatan i ogleda se kako u zauzetosti zemljišta koja bivaju degradirana površinskom eksploatacijom, tako i u eventualnom fizičko-hemijskom zagađenju uslijed same tehnologije proizvodnje i deponovanja jalovine.</w:t>
      </w:r>
    </w:p>
    <w:p w:rsidR="00293ECD" w:rsidRDefault="00293ECD" w:rsidP="00293ECD">
      <w:pPr>
        <w:spacing w:after="0"/>
        <w:jc w:val="both"/>
        <w:rPr>
          <w:rFonts w:ascii="Arial" w:hAnsi="Arial" w:cs="Arial"/>
          <w:sz w:val="24"/>
          <w:szCs w:val="24"/>
        </w:rPr>
      </w:pPr>
    </w:p>
    <w:p w:rsidR="00293ECD" w:rsidRDefault="00293ECD" w:rsidP="00293ECD">
      <w:pPr>
        <w:pStyle w:val="ColorfulList-Accent11"/>
        <w:spacing w:after="0"/>
        <w:ind w:left="0"/>
        <w:jc w:val="both"/>
        <w:rPr>
          <w:rFonts w:ascii="Arial" w:hAnsi="Arial" w:cs="Arial"/>
          <w:b/>
          <w:sz w:val="24"/>
          <w:szCs w:val="24"/>
        </w:rPr>
      </w:pPr>
      <w:r w:rsidRPr="00EA3F8D">
        <w:rPr>
          <w:rFonts w:ascii="Arial" w:hAnsi="Arial" w:cs="Arial"/>
          <w:b/>
          <w:sz w:val="24"/>
          <w:szCs w:val="24"/>
        </w:rPr>
        <w:t>Lokalno stanovništvo</w:t>
      </w:r>
    </w:p>
    <w:p w:rsidR="00674399" w:rsidRDefault="00674399" w:rsidP="00293ECD">
      <w:pPr>
        <w:pStyle w:val="ColorfulList-Accent11"/>
        <w:spacing w:after="0"/>
        <w:ind w:left="0"/>
        <w:jc w:val="both"/>
        <w:rPr>
          <w:rFonts w:ascii="Arial" w:hAnsi="Arial" w:cs="Arial"/>
          <w:b/>
          <w:sz w:val="24"/>
          <w:szCs w:val="24"/>
        </w:rPr>
      </w:pPr>
    </w:p>
    <w:p w:rsidR="00293ECD" w:rsidRDefault="00293ECD" w:rsidP="00293ECD">
      <w:pPr>
        <w:spacing w:after="0"/>
        <w:jc w:val="both"/>
        <w:rPr>
          <w:rFonts w:ascii="Arial" w:hAnsi="Arial" w:cs="Arial"/>
          <w:sz w:val="24"/>
          <w:szCs w:val="24"/>
        </w:rPr>
      </w:pPr>
      <w:r>
        <w:rPr>
          <w:rFonts w:ascii="Arial" w:hAnsi="Arial" w:cs="Arial"/>
          <w:sz w:val="24"/>
          <w:szCs w:val="24"/>
        </w:rPr>
        <w:t xml:space="preserve">Uticaj industrije rudarstva na stanovništvo jednog područja je višestruk. Uticaji mogu biti pozitivni i negativni. </w:t>
      </w:r>
    </w:p>
    <w:p w:rsidR="00293ECD" w:rsidRDefault="00293ECD" w:rsidP="00293ECD">
      <w:pPr>
        <w:spacing w:after="0"/>
        <w:jc w:val="both"/>
        <w:rPr>
          <w:rFonts w:ascii="Arial" w:hAnsi="Arial" w:cs="Arial"/>
          <w:sz w:val="24"/>
          <w:szCs w:val="24"/>
        </w:rPr>
      </w:pPr>
      <w:r>
        <w:rPr>
          <w:rFonts w:ascii="Arial" w:hAnsi="Arial" w:cs="Arial"/>
          <w:sz w:val="24"/>
          <w:szCs w:val="24"/>
        </w:rPr>
        <w:t>Negativni uticaji rudarske industrije na stanovništvo ogledaju se u:</w:t>
      </w:r>
    </w:p>
    <w:p w:rsidR="00293ECD" w:rsidRDefault="00293ECD" w:rsidP="00663F7F">
      <w:pPr>
        <w:numPr>
          <w:ilvl w:val="0"/>
          <w:numId w:val="26"/>
        </w:numPr>
        <w:spacing w:after="0"/>
        <w:jc w:val="both"/>
        <w:rPr>
          <w:rFonts w:ascii="Arial" w:hAnsi="Arial" w:cs="Arial"/>
          <w:sz w:val="24"/>
          <w:szCs w:val="24"/>
        </w:rPr>
      </w:pPr>
      <w:r>
        <w:rPr>
          <w:rFonts w:ascii="Arial" w:hAnsi="Arial" w:cs="Arial"/>
          <w:sz w:val="24"/>
          <w:szCs w:val="24"/>
        </w:rPr>
        <w:t xml:space="preserve">zagađenju vazduha, </w:t>
      </w:r>
    </w:p>
    <w:p w:rsidR="00293ECD" w:rsidRDefault="00293ECD" w:rsidP="00663F7F">
      <w:pPr>
        <w:numPr>
          <w:ilvl w:val="0"/>
          <w:numId w:val="26"/>
        </w:numPr>
        <w:spacing w:after="0"/>
        <w:jc w:val="both"/>
        <w:rPr>
          <w:rFonts w:ascii="Arial" w:hAnsi="Arial" w:cs="Arial"/>
          <w:sz w:val="24"/>
          <w:szCs w:val="24"/>
        </w:rPr>
      </w:pPr>
      <w:r>
        <w:rPr>
          <w:rFonts w:ascii="Arial" w:hAnsi="Arial" w:cs="Arial"/>
          <w:sz w:val="24"/>
          <w:szCs w:val="24"/>
        </w:rPr>
        <w:t xml:space="preserve">vode, </w:t>
      </w:r>
    </w:p>
    <w:p w:rsidR="00293ECD" w:rsidRDefault="00293ECD" w:rsidP="00663F7F">
      <w:pPr>
        <w:numPr>
          <w:ilvl w:val="0"/>
          <w:numId w:val="26"/>
        </w:numPr>
        <w:spacing w:after="0"/>
        <w:jc w:val="both"/>
        <w:rPr>
          <w:rFonts w:ascii="Arial" w:hAnsi="Arial" w:cs="Arial"/>
          <w:sz w:val="24"/>
          <w:szCs w:val="24"/>
        </w:rPr>
      </w:pPr>
      <w:r>
        <w:rPr>
          <w:rFonts w:ascii="Arial" w:hAnsi="Arial" w:cs="Arial"/>
          <w:sz w:val="24"/>
          <w:szCs w:val="24"/>
        </w:rPr>
        <w:t xml:space="preserve">zauzetosti zemljišta i </w:t>
      </w:r>
    </w:p>
    <w:p w:rsidR="00293ECD" w:rsidRDefault="00293ECD" w:rsidP="00663F7F">
      <w:pPr>
        <w:numPr>
          <w:ilvl w:val="0"/>
          <w:numId w:val="26"/>
        </w:numPr>
        <w:spacing w:after="0"/>
        <w:jc w:val="both"/>
        <w:rPr>
          <w:rFonts w:ascii="Arial" w:hAnsi="Arial" w:cs="Arial"/>
          <w:sz w:val="24"/>
          <w:szCs w:val="24"/>
        </w:rPr>
      </w:pPr>
      <w:r>
        <w:rPr>
          <w:rFonts w:ascii="Arial" w:hAnsi="Arial" w:cs="Arial"/>
          <w:sz w:val="24"/>
          <w:szCs w:val="24"/>
        </w:rPr>
        <w:t xml:space="preserve">povećanju buke. </w:t>
      </w:r>
    </w:p>
    <w:p w:rsidR="00293ECD" w:rsidRDefault="00293ECD" w:rsidP="00293ECD">
      <w:pPr>
        <w:pStyle w:val="ColorfulList-Accent11"/>
        <w:spacing w:after="0"/>
        <w:ind w:left="0"/>
        <w:jc w:val="both"/>
        <w:rPr>
          <w:rFonts w:ascii="Arial" w:hAnsi="Arial" w:cs="Arial"/>
          <w:b/>
          <w:sz w:val="24"/>
          <w:szCs w:val="24"/>
        </w:rPr>
      </w:pPr>
    </w:p>
    <w:p w:rsidR="00674399" w:rsidRDefault="00293ECD" w:rsidP="004D7972">
      <w:pPr>
        <w:pStyle w:val="Heading2"/>
        <w:numPr>
          <w:ilvl w:val="0"/>
          <w:numId w:val="0"/>
        </w:numPr>
      </w:pPr>
      <w:bookmarkStart w:id="63" w:name="_Toc6172852"/>
      <w:r w:rsidRPr="00722DF4">
        <w:t>Buka i vibracije</w:t>
      </w:r>
      <w:bookmarkEnd w:id="63"/>
      <w:r w:rsidRPr="00722DF4">
        <w:t xml:space="preserve"> </w:t>
      </w:r>
    </w:p>
    <w:p w:rsidR="004D7972" w:rsidRPr="004D7972" w:rsidRDefault="004D7972" w:rsidP="004D7972"/>
    <w:p w:rsidR="00293ECD" w:rsidRDefault="00293ECD" w:rsidP="00293ECD">
      <w:pPr>
        <w:spacing w:after="0"/>
        <w:jc w:val="both"/>
        <w:rPr>
          <w:rFonts w:ascii="Arial" w:hAnsi="Arial" w:cs="Arial"/>
          <w:sz w:val="24"/>
          <w:szCs w:val="24"/>
        </w:rPr>
      </w:pPr>
      <w:r w:rsidRPr="00722DF4">
        <w:rPr>
          <w:rFonts w:ascii="Arial" w:hAnsi="Arial" w:cs="Arial"/>
          <w:sz w:val="24"/>
          <w:szCs w:val="24"/>
        </w:rPr>
        <w:t>Mogućnost pojave nepovoljnog uticaja prekomjerne buke u radnim okolinama postoji u svim fazama eksploatacije</w:t>
      </w:r>
      <w:r>
        <w:rPr>
          <w:rFonts w:ascii="Arial" w:hAnsi="Arial" w:cs="Arial"/>
          <w:sz w:val="24"/>
          <w:szCs w:val="24"/>
        </w:rPr>
        <w:t>,</w:t>
      </w:r>
      <w:r w:rsidRPr="00722DF4">
        <w:rPr>
          <w:rFonts w:ascii="Arial" w:hAnsi="Arial" w:cs="Arial"/>
          <w:sz w:val="24"/>
          <w:szCs w:val="24"/>
        </w:rPr>
        <w:t xml:space="preserve"> kao i</w:t>
      </w:r>
      <w:r>
        <w:rPr>
          <w:rFonts w:ascii="Arial" w:hAnsi="Arial" w:cs="Arial"/>
          <w:sz w:val="24"/>
          <w:szCs w:val="24"/>
        </w:rPr>
        <w:t xml:space="preserve"> u</w:t>
      </w:r>
      <w:r w:rsidRPr="00722DF4">
        <w:rPr>
          <w:rFonts w:ascii="Arial" w:hAnsi="Arial" w:cs="Arial"/>
          <w:sz w:val="24"/>
          <w:szCs w:val="24"/>
        </w:rPr>
        <w:t xml:space="preserve"> objektima za pripremu mineralnih sirovina. Izvori buke su rudarske mašine za otkopavanje, transport i pomoćne radove: bu</w:t>
      </w:r>
      <w:r>
        <w:rPr>
          <w:rFonts w:ascii="Arial" w:hAnsi="Arial" w:cs="Arial"/>
          <w:sz w:val="24"/>
          <w:szCs w:val="24"/>
        </w:rPr>
        <w:t>šilice sa kompresorima, utovarač</w:t>
      </w:r>
      <w:r w:rsidRPr="00722DF4">
        <w:rPr>
          <w:rFonts w:ascii="Arial" w:hAnsi="Arial" w:cs="Arial"/>
          <w:sz w:val="24"/>
          <w:szCs w:val="24"/>
        </w:rPr>
        <w:t>i, buldozeri, kamioni, autocisterne, kao i drobilice, mlinovi, sita za klasiranje i dr.</w:t>
      </w:r>
      <w:r>
        <w:rPr>
          <w:rFonts w:ascii="Arial" w:hAnsi="Arial" w:cs="Arial"/>
          <w:sz w:val="24"/>
          <w:szCs w:val="24"/>
        </w:rPr>
        <w:t xml:space="preserve"> </w:t>
      </w:r>
    </w:p>
    <w:p w:rsidR="00293ECD" w:rsidRDefault="00293ECD" w:rsidP="00293ECD">
      <w:pPr>
        <w:pStyle w:val="ColorfulList-Accent11"/>
        <w:spacing w:after="0"/>
        <w:ind w:left="0"/>
        <w:jc w:val="both"/>
        <w:rPr>
          <w:rFonts w:ascii="Arial" w:hAnsi="Arial" w:cs="Arial"/>
          <w:b/>
          <w:sz w:val="24"/>
          <w:szCs w:val="24"/>
        </w:rPr>
      </w:pPr>
    </w:p>
    <w:p w:rsidR="00293ECD" w:rsidRDefault="00293ECD" w:rsidP="00293ECD">
      <w:pPr>
        <w:pStyle w:val="Heading2"/>
        <w:numPr>
          <w:ilvl w:val="0"/>
          <w:numId w:val="0"/>
        </w:numPr>
        <w:rPr>
          <w:lang w:val="sr-Latn-CS"/>
        </w:rPr>
      </w:pPr>
      <w:bookmarkStart w:id="64" w:name="_Toc6172853"/>
      <w:r w:rsidRPr="00D24A40">
        <w:t>U</w:t>
      </w:r>
      <w:r>
        <w:t xml:space="preserve">ticaj na </w:t>
      </w:r>
      <w:r>
        <w:rPr>
          <w:lang w:val="sr-Latn-CS"/>
        </w:rPr>
        <w:t>biodiverzitet i zaštićena prirodne dobra</w:t>
      </w:r>
      <w:bookmarkEnd w:id="64"/>
    </w:p>
    <w:p w:rsidR="00674399" w:rsidRPr="00674399" w:rsidRDefault="00674399" w:rsidP="00674399">
      <w:pPr>
        <w:rPr>
          <w:lang w:val="sr-Latn-CS"/>
        </w:rPr>
      </w:pPr>
    </w:p>
    <w:p w:rsidR="00293ECD" w:rsidRPr="00526BB0" w:rsidRDefault="00293ECD" w:rsidP="00293ECD">
      <w:pPr>
        <w:spacing w:after="0"/>
        <w:jc w:val="both"/>
        <w:rPr>
          <w:rFonts w:ascii="Arial" w:hAnsi="Arial" w:cs="Arial"/>
          <w:sz w:val="24"/>
          <w:szCs w:val="24"/>
        </w:rPr>
      </w:pPr>
      <w:r w:rsidRPr="00722DF4">
        <w:rPr>
          <w:rFonts w:ascii="Arial" w:hAnsi="Arial" w:cs="Arial"/>
          <w:sz w:val="24"/>
          <w:szCs w:val="24"/>
        </w:rPr>
        <w:t>Najveći utic</w:t>
      </w:r>
      <w:r>
        <w:rPr>
          <w:rFonts w:ascii="Arial" w:hAnsi="Arial" w:cs="Arial"/>
          <w:sz w:val="24"/>
          <w:szCs w:val="24"/>
        </w:rPr>
        <w:t xml:space="preserve">aj u okvirima </w:t>
      </w:r>
      <w:r w:rsidRPr="00722DF4">
        <w:rPr>
          <w:rFonts w:ascii="Arial" w:hAnsi="Arial" w:cs="Arial"/>
          <w:sz w:val="24"/>
          <w:szCs w:val="24"/>
        </w:rPr>
        <w:t xml:space="preserve">eksploatacionog polja izražen je kroz već analizirani efekat zauzimanja površina, odnosno fragmentacija staništa i trajni gubitak šumskih sastojina </w:t>
      </w:r>
      <w:r>
        <w:rPr>
          <w:rFonts w:ascii="Arial" w:hAnsi="Arial" w:cs="Arial"/>
          <w:sz w:val="24"/>
          <w:szCs w:val="24"/>
        </w:rPr>
        <w:t>ili međunarodno značajnih staništa (Habitat Direktiva)</w:t>
      </w:r>
      <w:r w:rsidRPr="00722DF4">
        <w:rPr>
          <w:rFonts w:ascii="Arial" w:hAnsi="Arial" w:cs="Arial"/>
          <w:sz w:val="24"/>
          <w:szCs w:val="24"/>
        </w:rPr>
        <w:t xml:space="preserve"> koje se </w:t>
      </w:r>
      <w:r>
        <w:rPr>
          <w:rFonts w:ascii="Arial" w:hAnsi="Arial" w:cs="Arial"/>
          <w:sz w:val="24"/>
          <w:szCs w:val="24"/>
        </w:rPr>
        <w:t xml:space="preserve">mogu nalaziti na </w:t>
      </w:r>
      <w:r w:rsidRPr="00722DF4">
        <w:rPr>
          <w:rFonts w:ascii="Arial" w:hAnsi="Arial" w:cs="Arial"/>
          <w:sz w:val="24"/>
          <w:szCs w:val="24"/>
        </w:rPr>
        <w:t>predmetnoj površini. Niz drugih uticaja prisutan je u manjoj mjeri</w:t>
      </w:r>
      <w:r>
        <w:rPr>
          <w:rFonts w:ascii="Arial" w:hAnsi="Arial" w:cs="Arial"/>
          <w:sz w:val="24"/>
          <w:szCs w:val="24"/>
        </w:rPr>
        <w:t>,</w:t>
      </w:r>
      <w:r w:rsidRPr="00722DF4">
        <w:rPr>
          <w:rFonts w:ascii="Arial" w:hAnsi="Arial" w:cs="Arial"/>
          <w:sz w:val="24"/>
          <w:szCs w:val="24"/>
        </w:rPr>
        <w:t xml:space="preserve"> s tim što treba naglasiti da je neophodno pažljivo </w:t>
      </w:r>
      <w:r>
        <w:rPr>
          <w:rFonts w:ascii="Arial" w:hAnsi="Arial" w:cs="Arial"/>
          <w:sz w:val="24"/>
          <w:szCs w:val="24"/>
        </w:rPr>
        <w:t xml:space="preserve">istražiti </w:t>
      </w:r>
      <w:r w:rsidRPr="00722DF4">
        <w:rPr>
          <w:rFonts w:ascii="Arial" w:hAnsi="Arial" w:cs="Arial"/>
          <w:sz w:val="24"/>
          <w:szCs w:val="24"/>
        </w:rPr>
        <w:t>mogućnost uticaja</w:t>
      </w:r>
      <w:r>
        <w:rPr>
          <w:rFonts w:ascii="Arial" w:hAnsi="Arial" w:cs="Arial"/>
          <w:sz w:val="24"/>
          <w:szCs w:val="24"/>
        </w:rPr>
        <w:t xml:space="preserve"> na</w:t>
      </w:r>
      <w:r w:rsidRPr="00722DF4">
        <w:rPr>
          <w:rFonts w:ascii="Arial" w:hAnsi="Arial" w:cs="Arial"/>
          <w:sz w:val="24"/>
          <w:szCs w:val="24"/>
        </w:rPr>
        <w:t xml:space="preserve">. </w:t>
      </w:r>
      <w:r w:rsidRPr="00526BB0">
        <w:rPr>
          <w:rFonts w:ascii="Arial" w:hAnsi="Arial" w:cs="Arial"/>
          <w:sz w:val="24"/>
          <w:szCs w:val="24"/>
        </w:rPr>
        <w:t xml:space="preserve">Endemične i/ili rijetke i/ili međunarodno značajne biljne i životinjske vrst, uz poseban naglasak na vrsta sa malobrojnim </w:t>
      </w:r>
      <w:r w:rsidRPr="00526BB0">
        <w:rPr>
          <w:rFonts w:ascii="Arial" w:hAnsi="Arial" w:cs="Arial"/>
          <w:sz w:val="24"/>
          <w:szCs w:val="24"/>
        </w:rPr>
        <w:lastRenderedPageBreak/>
        <w:t>populacijam. Devastacijom staništa usled otvaranja kopova ugrožene su posebno biljke, obzirom da životinje mogu da se kreću i promjene stanište.</w:t>
      </w:r>
    </w:p>
    <w:p w:rsidR="004D7972" w:rsidRPr="004D7972" w:rsidRDefault="004D7972" w:rsidP="004D7972"/>
    <w:p w:rsidR="00293ECD" w:rsidRDefault="00293ECD" w:rsidP="00293ECD">
      <w:pPr>
        <w:pStyle w:val="Heading2"/>
        <w:numPr>
          <w:ilvl w:val="0"/>
          <w:numId w:val="0"/>
        </w:numPr>
      </w:pPr>
      <w:bookmarkStart w:id="65" w:name="_Toc6172854"/>
      <w:r w:rsidRPr="00722DF4">
        <w:t>Uticaj na karakteristike pejzaža</w:t>
      </w:r>
      <w:bookmarkEnd w:id="65"/>
      <w:r w:rsidRPr="00722DF4">
        <w:t xml:space="preserve"> </w:t>
      </w:r>
    </w:p>
    <w:p w:rsidR="00674399" w:rsidRPr="00674399" w:rsidRDefault="00674399" w:rsidP="00674399"/>
    <w:p w:rsidR="00293ECD" w:rsidRDefault="00293ECD" w:rsidP="00293ECD">
      <w:pPr>
        <w:spacing w:after="0"/>
        <w:jc w:val="both"/>
        <w:rPr>
          <w:rFonts w:ascii="Arial" w:hAnsi="Arial" w:cs="Arial"/>
          <w:sz w:val="24"/>
          <w:szCs w:val="24"/>
        </w:rPr>
      </w:pPr>
      <w:r w:rsidRPr="00BB214A">
        <w:rPr>
          <w:rFonts w:ascii="Arial" w:hAnsi="Arial" w:cs="Arial"/>
          <w:sz w:val="24"/>
          <w:szCs w:val="24"/>
          <w:lang w:val="sr-Latn-CS"/>
        </w:rPr>
        <w:t>Pri</w:t>
      </w:r>
      <w:r w:rsidRPr="00BB214A">
        <w:rPr>
          <w:rFonts w:ascii="Arial" w:hAnsi="Arial" w:cs="Arial"/>
          <w:sz w:val="24"/>
          <w:szCs w:val="24"/>
          <w:lang w:val="sr-Cyrl-CS"/>
        </w:rPr>
        <w:t xml:space="preserve"> </w:t>
      </w:r>
      <w:r w:rsidRPr="00BB214A">
        <w:rPr>
          <w:rFonts w:ascii="Arial" w:hAnsi="Arial" w:cs="Arial"/>
          <w:sz w:val="24"/>
          <w:szCs w:val="24"/>
          <w:lang w:val="sr-Latn-CS"/>
        </w:rPr>
        <w:t>izvo</w:t>
      </w:r>
      <w:r w:rsidRPr="00BB214A">
        <w:rPr>
          <w:rFonts w:ascii="Arial" w:hAnsi="Arial" w:cs="Arial"/>
          <w:sz w:val="24"/>
          <w:szCs w:val="24"/>
          <w:lang w:val="sr-Cyrl-CS"/>
        </w:rPr>
        <w:t>đ</w:t>
      </w:r>
      <w:r w:rsidRPr="00BB214A">
        <w:rPr>
          <w:rFonts w:ascii="Arial" w:hAnsi="Arial" w:cs="Arial"/>
          <w:sz w:val="24"/>
          <w:szCs w:val="24"/>
          <w:lang w:val="sr-Latn-CS"/>
        </w:rPr>
        <w:t>enju</w:t>
      </w:r>
      <w:r w:rsidRPr="00BB214A">
        <w:rPr>
          <w:rFonts w:ascii="Arial" w:hAnsi="Arial" w:cs="Arial"/>
          <w:sz w:val="24"/>
          <w:szCs w:val="24"/>
          <w:lang w:val="sr-Cyrl-CS"/>
        </w:rPr>
        <w:t xml:space="preserve"> ru</w:t>
      </w:r>
      <w:r w:rsidRPr="00BB214A">
        <w:rPr>
          <w:rFonts w:ascii="Arial" w:hAnsi="Arial" w:cs="Arial"/>
          <w:sz w:val="24"/>
          <w:szCs w:val="24"/>
          <w:lang w:val="sr-Latn-CS"/>
        </w:rPr>
        <w:t>darskih</w:t>
      </w:r>
      <w:r w:rsidRPr="00BB214A">
        <w:rPr>
          <w:rFonts w:ascii="Arial" w:hAnsi="Arial" w:cs="Arial"/>
          <w:sz w:val="24"/>
          <w:szCs w:val="24"/>
          <w:lang w:val="sr-Cyrl-CS"/>
        </w:rPr>
        <w:t xml:space="preserve"> </w:t>
      </w:r>
      <w:r w:rsidRPr="00BB214A">
        <w:rPr>
          <w:rFonts w:ascii="Arial" w:hAnsi="Arial" w:cs="Arial"/>
          <w:sz w:val="24"/>
          <w:szCs w:val="24"/>
          <w:lang w:val="sr-Latn-CS"/>
        </w:rPr>
        <w:t>radova</w:t>
      </w:r>
      <w:r w:rsidRPr="00BB214A">
        <w:rPr>
          <w:rFonts w:ascii="Arial" w:hAnsi="Arial" w:cs="Arial"/>
          <w:sz w:val="24"/>
          <w:szCs w:val="24"/>
          <w:lang w:val="sr-Cyrl-CS"/>
        </w:rPr>
        <w:t xml:space="preserve"> </w:t>
      </w:r>
      <w:r w:rsidRPr="00BB214A">
        <w:rPr>
          <w:rFonts w:ascii="Arial" w:hAnsi="Arial" w:cs="Arial"/>
          <w:sz w:val="24"/>
          <w:szCs w:val="24"/>
          <w:lang w:val="sr-Latn-CS"/>
        </w:rPr>
        <w:t>povr</w:t>
      </w:r>
      <w:r w:rsidRPr="00BB214A">
        <w:rPr>
          <w:rFonts w:ascii="Arial" w:hAnsi="Arial" w:cs="Arial"/>
          <w:sz w:val="24"/>
          <w:szCs w:val="24"/>
          <w:lang w:val="sr-Cyrl-CS"/>
        </w:rPr>
        <w:t>š</w:t>
      </w:r>
      <w:r w:rsidRPr="00BB214A">
        <w:rPr>
          <w:rFonts w:ascii="Arial" w:hAnsi="Arial" w:cs="Arial"/>
          <w:sz w:val="24"/>
          <w:szCs w:val="24"/>
          <w:lang w:val="sr-Latn-CS"/>
        </w:rPr>
        <w:t>inske</w:t>
      </w:r>
      <w:r w:rsidRPr="00BB214A">
        <w:rPr>
          <w:rFonts w:ascii="Arial" w:hAnsi="Arial" w:cs="Arial"/>
          <w:sz w:val="24"/>
          <w:szCs w:val="24"/>
          <w:lang w:val="sr-Cyrl-CS"/>
        </w:rPr>
        <w:t xml:space="preserve"> </w:t>
      </w:r>
      <w:r w:rsidRPr="00BB214A">
        <w:rPr>
          <w:rFonts w:ascii="Arial" w:hAnsi="Arial" w:cs="Arial"/>
          <w:sz w:val="24"/>
          <w:szCs w:val="24"/>
          <w:lang w:val="sr-Latn-CS"/>
        </w:rPr>
        <w:t>eksploatacije</w:t>
      </w:r>
      <w:r w:rsidRPr="00BB214A">
        <w:rPr>
          <w:rFonts w:ascii="Arial" w:hAnsi="Arial" w:cs="Arial"/>
          <w:sz w:val="24"/>
          <w:szCs w:val="24"/>
          <w:lang w:val="sr-Cyrl-CS"/>
        </w:rPr>
        <w:t xml:space="preserve"> </w:t>
      </w:r>
      <w:r w:rsidRPr="00BB214A">
        <w:rPr>
          <w:rFonts w:ascii="Arial" w:hAnsi="Arial" w:cs="Arial"/>
          <w:sz w:val="24"/>
          <w:szCs w:val="24"/>
          <w:lang w:val="sr-Latn-CS"/>
        </w:rPr>
        <w:t xml:space="preserve">neminovno </w:t>
      </w:r>
      <w:r>
        <w:rPr>
          <w:rFonts w:ascii="Arial" w:hAnsi="Arial" w:cs="Arial"/>
          <w:sz w:val="24"/>
          <w:szCs w:val="24"/>
          <w:lang w:val="sr-Latn-CS"/>
        </w:rPr>
        <w:t>dolazi</w:t>
      </w:r>
      <w:r w:rsidRPr="00BB214A">
        <w:rPr>
          <w:rFonts w:ascii="Arial" w:hAnsi="Arial" w:cs="Arial"/>
          <w:sz w:val="24"/>
          <w:szCs w:val="24"/>
          <w:lang w:val="sr-Cyrl-CS"/>
        </w:rPr>
        <w:t xml:space="preserve"> </w:t>
      </w:r>
      <w:r w:rsidRPr="00BB214A">
        <w:rPr>
          <w:rFonts w:ascii="Arial" w:hAnsi="Arial" w:cs="Arial"/>
          <w:sz w:val="24"/>
          <w:szCs w:val="24"/>
          <w:lang w:val="sr-Latn-CS"/>
        </w:rPr>
        <w:t>do</w:t>
      </w:r>
      <w:r w:rsidRPr="00BB214A">
        <w:rPr>
          <w:rFonts w:ascii="Arial" w:hAnsi="Arial" w:cs="Arial"/>
          <w:sz w:val="24"/>
          <w:szCs w:val="24"/>
          <w:lang w:val="sr-Cyrl-CS"/>
        </w:rPr>
        <w:t xml:space="preserve"> </w:t>
      </w:r>
      <w:r w:rsidRPr="00BB214A">
        <w:rPr>
          <w:rFonts w:ascii="Arial" w:hAnsi="Arial" w:cs="Arial"/>
          <w:sz w:val="24"/>
          <w:szCs w:val="24"/>
          <w:lang w:val="sr-Latn-CS"/>
        </w:rPr>
        <w:t>degradacije</w:t>
      </w:r>
      <w:r w:rsidRPr="00BB214A">
        <w:rPr>
          <w:rFonts w:ascii="Arial" w:hAnsi="Arial" w:cs="Arial"/>
          <w:sz w:val="24"/>
          <w:szCs w:val="24"/>
          <w:lang w:val="sr-Cyrl-CS"/>
        </w:rPr>
        <w:t xml:space="preserve"> </w:t>
      </w:r>
      <w:r w:rsidRPr="00BB214A">
        <w:rPr>
          <w:rFonts w:ascii="Arial" w:hAnsi="Arial" w:cs="Arial"/>
          <w:sz w:val="24"/>
          <w:szCs w:val="24"/>
          <w:lang w:val="sr-Latn-CS"/>
        </w:rPr>
        <w:t>sada</w:t>
      </w:r>
      <w:r w:rsidRPr="00BB214A">
        <w:rPr>
          <w:rFonts w:ascii="Arial" w:hAnsi="Arial" w:cs="Arial"/>
          <w:sz w:val="24"/>
          <w:szCs w:val="24"/>
          <w:lang w:val="sr-Cyrl-CS"/>
        </w:rPr>
        <w:t>š</w:t>
      </w:r>
      <w:r w:rsidRPr="00BB214A">
        <w:rPr>
          <w:rFonts w:ascii="Arial" w:hAnsi="Arial" w:cs="Arial"/>
          <w:sz w:val="24"/>
          <w:szCs w:val="24"/>
          <w:lang w:val="sr-Latn-CS"/>
        </w:rPr>
        <w:t>njih</w:t>
      </w:r>
      <w:r w:rsidRPr="00BB214A">
        <w:rPr>
          <w:rFonts w:ascii="Arial" w:hAnsi="Arial" w:cs="Arial"/>
          <w:sz w:val="24"/>
          <w:szCs w:val="24"/>
          <w:lang w:val="sr-Cyrl-CS"/>
        </w:rPr>
        <w:t xml:space="preserve"> </w:t>
      </w:r>
      <w:r w:rsidRPr="00BB214A">
        <w:rPr>
          <w:rFonts w:ascii="Arial" w:hAnsi="Arial" w:cs="Arial"/>
          <w:sz w:val="24"/>
          <w:szCs w:val="24"/>
          <w:lang w:val="sr-Latn-CS"/>
        </w:rPr>
        <w:t>povr</w:t>
      </w:r>
      <w:r w:rsidRPr="00BB214A">
        <w:rPr>
          <w:rFonts w:ascii="Arial" w:hAnsi="Arial" w:cs="Arial"/>
          <w:sz w:val="24"/>
          <w:szCs w:val="24"/>
          <w:lang w:val="sr-Cyrl-CS"/>
        </w:rPr>
        <w:t>š</w:t>
      </w:r>
      <w:r w:rsidRPr="00BB214A">
        <w:rPr>
          <w:rFonts w:ascii="Arial" w:hAnsi="Arial" w:cs="Arial"/>
          <w:sz w:val="24"/>
          <w:szCs w:val="24"/>
          <w:lang w:val="sr-Latn-CS"/>
        </w:rPr>
        <w:t>ina</w:t>
      </w:r>
      <w:r w:rsidRPr="00BB214A">
        <w:rPr>
          <w:rFonts w:ascii="Arial" w:hAnsi="Arial" w:cs="Arial"/>
          <w:sz w:val="24"/>
          <w:szCs w:val="24"/>
          <w:lang w:val="sr-Cyrl-CS"/>
        </w:rPr>
        <w:t xml:space="preserve"> </w:t>
      </w:r>
      <w:r w:rsidRPr="00BB214A">
        <w:rPr>
          <w:rFonts w:ascii="Arial" w:hAnsi="Arial" w:cs="Arial"/>
          <w:sz w:val="24"/>
          <w:szCs w:val="24"/>
          <w:lang w:val="sr-Latn-CS"/>
        </w:rPr>
        <w:t>terena</w:t>
      </w:r>
      <w:r w:rsidRPr="00BB214A">
        <w:rPr>
          <w:rFonts w:ascii="Arial" w:hAnsi="Arial" w:cs="Arial"/>
          <w:sz w:val="24"/>
          <w:szCs w:val="24"/>
          <w:lang w:val="sr-Cyrl-CS"/>
        </w:rPr>
        <w:t xml:space="preserve">. </w:t>
      </w:r>
      <w:r w:rsidRPr="000254E0">
        <w:rPr>
          <w:rFonts w:ascii="Arial" w:hAnsi="Arial" w:cs="Arial"/>
          <w:sz w:val="24"/>
          <w:szCs w:val="24"/>
        </w:rPr>
        <w:t>Usled</w:t>
      </w:r>
      <w:r w:rsidRPr="000254E0">
        <w:rPr>
          <w:rFonts w:ascii="Arial" w:hAnsi="Arial" w:cs="Arial"/>
          <w:sz w:val="24"/>
          <w:szCs w:val="24"/>
          <w:lang w:val="sr-Cyrl-CS"/>
        </w:rPr>
        <w:t xml:space="preserve"> </w:t>
      </w:r>
      <w:r w:rsidRPr="000254E0">
        <w:rPr>
          <w:rFonts w:ascii="Arial" w:hAnsi="Arial" w:cs="Arial"/>
          <w:sz w:val="24"/>
          <w:szCs w:val="24"/>
        </w:rPr>
        <w:t>procesa</w:t>
      </w:r>
      <w:r w:rsidRPr="000254E0">
        <w:rPr>
          <w:rFonts w:ascii="Arial" w:hAnsi="Arial" w:cs="Arial"/>
          <w:sz w:val="24"/>
          <w:szCs w:val="24"/>
          <w:lang w:val="sr-Cyrl-CS"/>
        </w:rPr>
        <w:t xml:space="preserve"> </w:t>
      </w:r>
      <w:r w:rsidRPr="000254E0">
        <w:rPr>
          <w:rFonts w:ascii="Arial" w:hAnsi="Arial" w:cs="Arial"/>
          <w:sz w:val="24"/>
          <w:szCs w:val="24"/>
        </w:rPr>
        <w:t>otkopavanja</w:t>
      </w:r>
      <w:r w:rsidRPr="000254E0">
        <w:rPr>
          <w:rFonts w:ascii="Arial" w:hAnsi="Arial" w:cs="Arial"/>
          <w:sz w:val="24"/>
          <w:szCs w:val="24"/>
          <w:lang w:val="sr-Cyrl-CS"/>
        </w:rPr>
        <w:t xml:space="preserve"> </w:t>
      </w:r>
      <w:r w:rsidRPr="000254E0">
        <w:rPr>
          <w:rFonts w:ascii="Arial" w:hAnsi="Arial" w:cs="Arial"/>
          <w:sz w:val="24"/>
          <w:szCs w:val="24"/>
        </w:rPr>
        <w:t>nastaju depresije</w:t>
      </w:r>
      <w:r w:rsidRPr="000254E0">
        <w:rPr>
          <w:rFonts w:ascii="Arial" w:hAnsi="Arial" w:cs="Arial"/>
          <w:sz w:val="24"/>
          <w:szCs w:val="24"/>
          <w:lang w:val="sr-Cyrl-CS"/>
        </w:rPr>
        <w:t>, š</w:t>
      </w:r>
      <w:r w:rsidRPr="000254E0">
        <w:rPr>
          <w:rFonts w:ascii="Arial" w:hAnsi="Arial" w:cs="Arial"/>
          <w:sz w:val="24"/>
          <w:szCs w:val="24"/>
        </w:rPr>
        <w:t>to</w:t>
      </w:r>
      <w:r w:rsidRPr="000254E0">
        <w:rPr>
          <w:rFonts w:ascii="Arial" w:hAnsi="Arial" w:cs="Arial"/>
          <w:sz w:val="24"/>
          <w:szCs w:val="24"/>
          <w:lang w:val="sr-Cyrl-CS"/>
        </w:rPr>
        <w:t xml:space="preserve"> </w:t>
      </w:r>
      <w:r w:rsidRPr="000254E0">
        <w:rPr>
          <w:rFonts w:ascii="Arial" w:hAnsi="Arial" w:cs="Arial"/>
          <w:sz w:val="24"/>
          <w:szCs w:val="24"/>
        </w:rPr>
        <w:t>uslovljava</w:t>
      </w:r>
      <w:r w:rsidRPr="000254E0">
        <w:rPr>
          <w:rFonts w:ascii="Arial" w:hAnsi="Arial" w:cs="Arial"/>
          <w:sz w:val="24"/>
          <w:szCs w:val="24"/>
          <w:lang w:val="sr-Cyrl-CS"/>
        </w:rPr>
        <w:t xml:space="preserve"> </w:t>
      </w:r>
      <w:r w:rsidRPr="000254E0">
        <w:rPr>
          <w:rFonts w:ascii="Arial" w:hAnsi="Arial" w:cs="Arial"/>
          <w:sz w:val="24"/>
          <w:szCs w:val="24"/>
        </w:rPr>
        <w:t>promenu</w:t>
      </w:r>
      <w:r w:rsidRPr="000254E0">
        <w:rPr>
          <w:rFonts w:ascii="Arial" w:hAnsi="Arial" w:cs="Arial"/>
          <w:sz w:val="24"/>
          <w:szCs w:val="24"/>
          <w:lang w:val="sr-Cyrl-CS"/>
        </w:rPr>
        <w:t xml:space="preserve"> </w:t>
      </w:r>
      <w:r w:rsidRPr="000254E0">
        <w:rPr>
          <w:rFonts w:ascii="Arial" w:hAnsi="Arial" w:cs="Arial"/>
          <w:sz w:val="24"/>
          <w:szCs w:val="24"/>
        </w:rPr>
        <w:t>i</w:t>
      </w:r>
      <w:r w:rsidRPr="000254E0">
        <w:rPr>
          <w:rFonts w:ascii="Arial" w:hAnsi="Arial" w:cs="Arial"/>
          <w:sz w:val="24"/>
          <w:szCs w:val="24"/>
          <w:lang w:val="sr-Cyrl-CS"/>
        </w:rPr>
        <w:t xml:space="preserve"> </w:t>
      </w:r>
      <w:r w:rsidRPr="000254E0">
        <w:rPr>
          <w:rFonts w:ascii="Arial" w:hAnsi="Arial" w:cs="Arial"/>
          <w:sz w:val="24"/>
          <w:szCs w:val="24"/>
        </w:rPr>
        <w:t>naru</w:t>
      </w:r>
      <w:r w:rsidRPr="000254E0">
        <w:rPr>
          <w:rFonts w:ascii="Arial" w:hAnsi="Arial" w:cs="Arial"/>
          <w:sz w:val="24"/>
          <w:szCs w:val="24"/>
          <w:lang w:val="sr-Cyrl-CS"/>
        </w:rPr>
        <w:t>š</w:t>
      </w:r>
      <w:r w:rsidRPr="000254E0">
        <w:rPr>
          <w:rFonts w:ascii="Arial" w:hAnsi="Arial" w:cs="Arial"/>
          <w:sz w:val="24"/>
          <w:szCs w:val="24"/>
        </w:rPr>
        <w:t>avanje</w:t>
      </w:r>
      <w:r w:rsidRPr="000254E0">
        <w:rPr>
          <w:rFonts w:ascii="Arial" w:hAnsi="Arial" w:cs="Arial"/>
          <w:sz w:val="24"/>
          <w:szCs w:val="24"/>
          <w:lang w:val="sr-Cyrl-CS"/>
        </w:rPr>
        <w:t xml:space="preserve"> </w:t>
      </w:r>
      <w:r w:rsidRPr="000254E0">
        <w:rPr>
          <w:rFonts w:ascii="Arial" w:hAnsi="Arial" w:cs="Arial"/>
          <w:sz w:val="24"/>
          <w:szCs w:val="24"/>
        </w:rPr>
        <w:t>morfolo</w:t>
      </w:r>
      <w:r w:rsidRPr="000254E0">
        <w:rPr>
          <w:rFonts w:ascii="Arial" w:hAnsi="Arial" w:cs="Arial"/>
          <w:sz w:val="24"/>
          <w:szCs w:val="24"/>
          <w:lang w:val="sr-Cyrl-CS"/>
        </w:rPr>
        <w:t>š</w:t>
      </w:r>
      <w:r w:rsidRPr="000254E0">
        <w:rPr>
          <w:rFonts w:ascii="Arial" w:hAnsi="Arial" w:cs="Arial"/>
          <w:sz w:val="24"/>
          <w:szCs w:val="24"/>
        </w:rPr>
        <w:t>kih</w:t>
      </w:r>
      <w:r w:rsidRPr="000254E0">
        <w:rPr>
          <w:rFonts w:ascii="Arial" w:hAnsi="Arial" w:cs="Arial"/>
          <w:sz w:val="24"/>
          <w:szCs w:val="24"/>
          <w:lang w:val="sr-Cyrl-CS"/>
        </w:rPr>
        <w:t xml:space="preserve"> </w:t>
      </w:r>
      <w:r w:rsidRPr="000254E0">
        <w:rPr>
          <w:rFonts w:ascii="Arial" w:hAnsi="Arial" w:cs="Arial"/>
          <w:sz w:val="24"/>
          <w:szCs w:val="24"/>
        </w:rPr>
        <w:t>i</w:t>
      </w:r>
      <w:r w:rsidRPr="000254E0">
        <w:rPr>
          <w:rFonts w:ascii="Arial" w:hAnsi="Arial" w:cs="Arial"/>
          <w:sz w:val="24"/>
          <w:szCs w:val="24"/>
          <w:lang w:val="sr-Cyrl-CS"/>
        </w:rPr>
        <w:t xml:space="preserve"> </w:t>
      </w:r>
      <w:r w:rsidRPr="000254E0">
        <w:rPr>
          <w:rFonts w:ascii="Arial" w:hAnsi="Arial" w:cs="Arial"/>
          <w:sz w:val="24"/>
          <w:szCs w:val="24"/>
        </w:rPr>
        <w:t>estetskih</w:t>
      </w:r>
      <w:r w:rsidRPr="000254E0">
        <w:rPr>
          <w:rFonts w:ascii="Arial" w:hAnsi="Arial" w:cs="Arial"/>
          <w:sz w:val="24"/>
          <w:szCs w:val="24"/>
          <w:lang w:val="sr-Cyrl-CS"/>
        </w:rPr>
        <w:t xml:space="preserve"> </w:t>
      </w:r>
      <w:r w:rsidRPr="000254E0">
        <w:rPr>
          <w:rFonts w:ascii="Arial" w:hAnsi="Arial" w:cs="Arial"/>
          <w:sz w:val="24"/>
          <w:szCs w:val="24"/>
        </w:rPr>
        <w:t>karakteristika</w:t>
      </w:r>
      <w:r w:rsidRPr="000254E0">
        <w:rPr>
          <w:rFonts w:ascii="Arial" w:hAnsi="Arial" w:cs="Arial"/>
          <w:sz w:val="24"/>
          <w:szCs w:val="24"/>
          <w:lang w:val="sr-Cyrl-CS"/>
        </w:rPr>
        <w:t xml:space="preserve"> </w:t>
      </w:r>
      <w:r w:rsidRPr="000254E0">
        <w:rPr>
          <w:rFonts w:ascii="Arial" w:hAnsi="Arial" w:cs="Arial"/>
          <w:sz w:val="24"/>
          <w:szCs w:val="24"/>
        </w:rPr>
        <w:t>postoje</w:t>
      </w:r>
      <w:r w:rsidRPr="000254E0">
        <w:rPr>
          <w:rFonts w:ascii="Arial" w:hAnsi="Arial" w:cs="Arial"/>
          <w:sz w:val="24"/>
          <w:szCs w:val="24"/>
          <w:lang w:val="sr-Cyrl-CS"/>
        </w:rPr>
        <w:t>ć</w:t>
      </w:r>
      <w:r w:rsidRPr="000254E0">
        <w:rPr>
          <w:rFonts w:ascii="Arial" w:hAnsi="Arial" w:cs="Arial"/>
          <w:sz w:val="24"/>
          <w:szCs w:val="24"/>
        </w:rPr>
        <w:t>eg</w:t>
      </w:r>
      <w:r w:rsidRPr="000254E0">
        <w:rPr>
          <w:rFonts w:ascii="Arial" w:hAnsi="Arial" w:cs="Arial"/>
          <w:sz w:val="24"/>
          <w:szCs w:val="24"/>
          <w:lang w:val="sr-Cyrl-CS"/>
        </w:rPr>
        <w:t xml:space="preserve"> </w:t>
      </w:r>
      <w:r w:rsidRPr="000254E0">
        <w:rPr>
          <w:rFonts w:ascii="Arial" w:hAnsi="Arial" w:cs="Arial"/>
          <w:sz w:val="24"/>
          <w:szCs w:val="24"/>
        </w:rPr>
        <w:t>prirodnog</w:t>
      </w:r>
      <w:r w:rsidRPr="000254E0">
        <w:rPr>
          <w:rFonts w:ascii="Arial" w:hAnsi="Arial" w:cs="Arial"/>
          <w:sz w:val="24"/>
          <w:szCs w:val="24"/>
          <w:lang w:val="sr-Cyrl-CS"/>
        </w:rPr>
        <w:t xml:space="preserve"> </w:t>
      </w:r>
      <w:r w:rsidRPr="000254E0">
        <w:rPr>
          <w:rFonts w:ascii="Arial" w:hAnsi="Arial" w:cs="Arial"/>
          <w:sz w:val="24"/>
          <w:szCs w:val="24"/>
        </w:rPr>
        <w:t>ambijenta</w:t>
      </w:r>
      <w:r w:rsidRPr="000254E0">
        <w:rPr>
          <w:rFonts w:ascii="Arial" w:hAnsi="Arial" w:cs="Arial"/>
          <w:sz w:val="24"/>
          <w:szCs w:val="24"/>
          <w:lang w:val="sr-Cyrl-CS"/>
        </w:rPr>
        <w:t xml:space="preserve">. </w:t>
      </w:r>
      <w:r w:rsidRPr="000254E0">
        <w:rPr>
          <w:rFonts w:ascii="Arial" w:hAnsi="Arial" w:cs="Arial"/>
          <w:sz w:val="24"/>
          <w:szCs w:val="24"/>
          <w:lang w:val="sr-Latn-CS"/>
        </w:rPr>
        <w:t xml:space="preserve">Često su </w:t>
      </w:r>
      <w:r w:rsidRPr="000254E0">
        <w:rPr>
          <w:rFonts w:ascii="Arial" w:hAnsi="Arial" w:cs="Arial"/>
          <w:sz w:val="24"/>
          <w:szCs w:val="24"/>
        </w:rPr>
        <w:t>vrsta</w:t>
      </w:r>
      <w:r w:rsidRPr="000254E0">
        <w:rPr>
          <w:rFonts w:ascii="Arial" w:hAnsi="Arial" w:cs="Arial"/>
          <w:sz w:val="24"/>
          <w:szCs w:val="24"/>
          <w:lang w:val="sr-Cyrl-CS"/>
        </w:rPr>
        <w:t xml:space="preserve"> </w:t>
      </w:r>
      <w:r w:rsidRPr="000254E0">
        <w:rPr>
          <w:rFonts w:ascii="Arial" w:hAnsi="Arial" w:cs="Arial"/>
          <w:sz w:val="24"/>
          <w:szCs w:val="24"/>
        </w:rPr>
        <w:t>i</w:t>
      </w:r>
      <w:r w:rsidRPr="000254E0">
        <w:rPr>
          <w:rFonts w:ascii="Arial" w:hAnsi="Arial" w:cs="Arial"/>
          <w:sz w:val="24"/>
          <w:szCs w:val="24"/>
          <w:lang w:val="sr-Cyrl-CS"/>
        </w:rPr>
        <w:t xml:space="preserve"> </w:t>
      </w:r>
      <w:r w:rsidRPr="000254E0">
        <w:rPr>
          <w:rFonts w:ascii="Arial" w:hAnsi="Arial" w:cs="Arial"/>
          <w:sz w:val="24"/>
          <w:szCs w:val="24"/>
        </w:rPr>
        <w:t>obim</w:t>
      </w:r>
      <w:r w:rsidRPr="000254E0">
        <w:rPr>
          <w:rFonts w:ascii="Arial" w:hAnsi="Arial" w:cs="Arial"/>
          <w:sz w:val="24"/>
          <w:szCs w:val="24"/>
          <w:lang w:val="sr-Cyrl-CS"/>
        </w:rPr>
        <w:t xml:space="preserve"> </w:t>
      </w:r>
      <w:r w:rsidRPr="000254E0">
        <w:rPr>
          <w:rFonts w:ascii="Arial" w:hAnsi="Arial" w:cs="Arial"/>
          <w:sz w:val="24"/>
          <w:szCs w:val="24"/>
        </w:rPr>
        <w:t>rudarskih</w:t>
      </w:r>
      <w:r w:rsidRPr="000254E0">
        <w:rPr>
          <w:rFonts w:ascii="Arial" w:hAnsi="Arial" w:cs="Arial"/>
          <w:sz w:val="24"/>
          <w:szCs w:val="24"/>
          <w:lang w:val="sr-Cyrl-CS"/>
        </w:rPr>
        <w:t xml:space="preserve"> </w:t>
      </w:r>
      <w:r w:rsidRPr="000254E0">
        <w:rPr>
          <w:rFonts w:ascii="Arial" w:hAnsi="Arial" w:cs="Arial"/>
          <w:sz w:val="24"/>
          <w:szCs w:val="24"/>
        </w:rPr>
        <w:t>radova</w:t>
      </w:r>
      <w:r w:rsidRPr="000254E0">
        <w:rPr>
          <w:rFonts w:ascii="Arial" w:hAnsi="Arial" w:cs="Arial"/>
          <w:sz w:val="24"/>
          <w:szCs w:val="24"/>
          <w:lang w:val="sr-Cyrl-CS"/>
        </w:rPr>
        <w:t xml:space="preserve"> </w:t>
      </w:r>
      <w:r w:rsidRPr="000254E0">
        <w:rPr>
          <w:rFonts w:ascii="Arial" w:hAnsi="Arial" w:cs="Arial"/>
          <w:sz w:val="24"/>
          <w:szCs w:val="24"/>
        </w:rPr>
        <w:t>takvi</w:t>
      </w:r>
      <w:r w:rsidRPr="000254E0">
        <w:rPr>
          <w:rFonts w:ascii="Arial" w:hAnsi="Arial" w:cs="Arial"/>
          <w:sz w:val="24"/>
          <w:szCs w:val="24"/>
          <w:lang w:val="sr-Cyrl-CS"/>
        </w:rPr>
        <w:t xml:space="preserve"> </w:t>
      </w:r>
      <w:r w:rsidRPr="000254E0">
        <w:rPr>
          <w:rFonts w:ascii="Arial" w:hAnsi="Arial" w:cs="Arial"/>
          <w:sz w:val="24"/>
          <w:szCs w:val="24"/>
        </w:rPr>
        <w:t>da</w:t>
      </w:r>
      <w:r w:rsidRPr="000254E0">
        <w:rPr>
          <w:rFonts w:ascii="Arial" w:hAnsi="Arial" w:cs="Arial"/>
          <w:sz w:val="24"/>
          <w:szCs w:val="24"/>
          <w:lang w:val="sr-Cyrl-CS"/>
        </w:rPr>
        <w:t xml:space="preserve"> </w:t>
      </w:r>
      <w:r w:rsidRPr="000254E0">
        <w:rPr>
          <w:rFonts w:ascii="Arial" w:hAnsi="Arial" w:cs="Arial"/>
          <w:sz w:val="24"/>
          <w:szCs w:val="24"/>
        </w:rPr>
        <w:t>ovom</w:t>
      </w:r>
      <w:r w:rsidRPr="000254E0">
        <w:rPr>
          <w:rFonts w:ascii="Arial" w:hAnsi="Arial" w:cs="Arial"/>
          <w:sz w:val="24"/>
          <w:szCs w:val="24"/>
          <w:lang w:val="sr-Cyrl-CS"/>
        </w:rPr>
        <w:t xml:space="preserve"> </w:t>
      </w:r>
      <w:r w:rsidRPr="000254E0">
        <w:rPr>
          <w:rFonts w:ascii="Arial" w:hAnsi="Arial" w:cs="Arial"/>
          <w:sz w:val="24"/>
          <w:szCs w:val="24"/>
        </w:rPr>
        <w:t>podru</w:t>
      </w:r>
      <w:r w:rsidRPr="000254E0">
        <w:rPr>
          <w:rFonts w:ascii="Arial" w:hAnsi="Arial" w:cs="Arial"/>
          <w:sz w:val="24"/>
          <w:szCs w:val="24"/>
          <w:lang w:val="sr-Cyrl-CS"/>
        </w:rPr>
        <w:t>č</w:t>
      </w:r>
      <w:r w:rsidRPr="000254E0">
        <w:rPr>
          <w:rFonts w:ascii="Arial" w:hAnsi="Arial" w:cs="Arial"/>
          <w:sz w:val="24"/>
          <w:szCs w:val="24"/>
        </w:rPr>
        <w:t>ju nakon završine eksploatacije minrelnih sirovina</w:t>
      </w:r>
      <w:r w:rsidRPr="000254E0">
        <w:rPr>
          <w:rFonts w:ascii="Arial" w:hAnsi="Arial" w:cs="Arial"/>
          <w:sz w:val="24"/>
          <w:szCs w:val="24"/>
          <w:lang w:val="sr-Cyrl-CS"/>
        </w:rPr>
        <w:t xml:space="preserve"> </w:t>
      </w:r>
      <w:r w:rsidRPr="000254E0">
        <w:rPr>
          <w:rFonts w:ascii="Arial" w:hAnsi="Arial" w:cs="Arial"/>
          <w:sz w:val="24"/>
          <w:szCs w:val="24"/>
        </w:rPr>
        <w:t>nije</w:t>
      </w:r>
      <w:r w:rsidRPr="000254E0">
        <w:rPr>
          <w:rFonts w:ascii="Arial" w:hAnsi="Arial" w:cs="Arial"/>
          <w:sz w:val="24"/>
          <w:szCs w:val="24"/>
          <w:lang w:val="sr-Cyrl-CS"/>
        </w:rPr>
        <w:t xml:space="preserve"> </w:t>
      </w:r>
      <w:r w:rsidRPr="000254E0">
        <w:rPr>
          <w:rFonts w:ascii="Arial" w:hAnsi="Arial" w:cs="Arial"/>
          <w:sz w:val="24"/>
          <w:szCs w:val="24"/>
        </w:rPr>
        <w:t>mogu</w:t>
      </w:r>
      <w:r w:rsidRPr="000254E0">
        <w:rPr>
          <w:rFonts w:ascii="Arial" w:hAnsi="Arial" w:cs="Arial"/>
          <w:sz w:val="24"/>
          <w:szCs w:val="24"/>
          <w:lang w:val="sr-Cyrl-CS"/>
        </w:rPr>
        <w:t>ć</w:t>
      </w:r>
      <w:r w:rsidRPr="000254E0">
        <w:rPr>
          <w:rFonts w:ascii="Arial" w:hAnsi="Arial" w:cs="Arial"/>
          <w:sz w:val="24"/>
          <w:szCs w:val="24"/>
        </w:rPr>
        <w:t>e</w:t>
      </w:r>
      <w:r w:rsidRPr="000254E0">
        <w:rPr>
          <w:rFonts w:ascii="Arial" w:hAnsi="Arial" w:cs="Arial"/>
          <w:sz w:val="24"/>
          <w:szCs w:val="24"/>
          <w:lang w:val="sr-Cyrl-CS"/>
        </w:rPr>
        <w:t xml:space="preserve"> </w:t>
      </w:r>
      <w:r w:rsidRPr="000254E0">
        <w:rPr>
          <w:rFonts w:ascii="Arial" w:hAnsi="Arial" w:cs="Arial"/>
          <w:sz w:val="24"/>
          <w:szCs w:val="24"/>
        </w:rPr>
        <w:t>povratiti</w:t>
      </w:r>
      <w:r w:rsidRPr="000254E0">
        <w:rPr>
          <w:rFonts w:ascii="Arial" w:hAnsi="Arial" w:cs="Arial"/>
          <w:sz w:val="24"/>
          <w:szCs w:val="24"/>
          <w:lang w:val="sr-Cyrl-CS"/>
        </w:rPr>
        <w:t xml:space="preserve"> </w:t>
      </w:r>
      <w:r w:rsidRPr="000254E0">
        <w:rPr>
          <w:rFonts w:ascii="Arial" w:hAnsi="Arial" w:cs="Arial"/>
          <w:sz w:val="24"/>
          <w:szCs w:val="24"/>
        </w:rPr>
        <w:t>prvobitni</w:t>
      </w:r>
      <w:r w:rsidRPr="000254E0">
        <w:rPr>
          <w:rFonts w:ascii="Arial" w:hAnsi="Arial" w:cs="Arial"/>
          <w:sz w:val="24"/>
          <w:szCs w:val="24"/>
          <w:lang w:val="sr-Cyrl-CS"/>
        </w:rPr>
        <w:t xml:space="preserve"> </w:t>
      </w:r>
      <w:r w:rsidRPr="000254E0">
        <w:rPr>
          <w:rFonts w:ascii="Arial" w:hAnsi="Arial" w:cs="Arial"/>
          <w:sz w:val="24"/>
          <w:szCs w:val="24"/>
        </w:rPr>
        <w:t>morfolo</w:t>
      </w:r>
      <w:r w:rsidRPr="000254E0">
        <w:rPr>
          <w:rFonts w:ascii="Arial" w:hAnsi="Arial" w:cs="Arial"/>
          <w:sz w:val="24"/>
          <w:szCs w:val="24"/>
          <w:lang w:val="sr-Cyrl-CS"/>
        </w:rPr>
        <w:t>š</w:t>
      </w:r>
      <w:r w:rsidRPr="000254E0">
        <w:rPr>
          <w:rFonts w:ascii="Arial" w:hAnsi="Arial" w:cs="Arial"/>
          <w:sz w:val="24"/>
          <w:szCs w:val="24"/>
        </w:rPr>
        <w:t>ki</w:t>
      </w:r>
      <w:r w:rsidRPr="000254E0">
        <w:rPr>
          <w:rFonts w:ascii="Arial" w:hAnsi="Arial" w:cs="Arial"/>
          <w:sz w:val="24"/>
          <w:szCs w:val="24"/>
          <w:lang w:val="sr-Cyrl-CS"/>
        </w:rPr>
        <w:t xml:space="preserve"> </w:t>
      </w:r>
      <w:r w:rsidRPr="000254E0">
        <w:rPr>
          <w:rFonts w:ascii="Arial" w:hAnsi="Arial" w:cs="Arial"/>
          <w:sz w:val="24"/>
          <w:szCs w:val="24"/>
        </w:rPr>
        <w:t>izgled</w:t>
      </w:r>
      <w:r w:rsidRPr="000254E0">
        <w:rPr>
          <w:rFonts w:ascii="Arial" w:hAnsi="Arial" w:cs="Arial"/>
          <w:sz w:val="24"/>
          <w:szCs w:val="24"/>
          <w:lang w:val="sr-Latn-CS"/>
        </w:rPr>
        <w:t>.</w:t>
      </w:r>
      <w:r w:rsidRPr="000254E0">
        <w:rPr>
          <w:rFonts w:ascii="Arial" w:hAnsi="Arial" w:cs="Arial"/>
          <w:sz w:val="24"/>
          <w:szCs w:val="24"/>
          <w:lang w:val="sr-Cyrl-CS"/>
        </w:rPr>
        <w:t xml:space="preserve"> </w:t>
      </w:r>
      <w:r w:rsidRPr="000254E0">
        <w:rPr>
          <w:rFonts w:ascii="Arial" w:hAnsi="Arial" w:cs="Arial"/>
          <w:sz w:val="24"/>
          <w:szCs w:val="24"/>
        </w:rPr>
        <w:t>Obaveza</w:t>
      </w:r>
      <w:r w:rsidRPr="000254E0">
        <w:rPr>
          <w:rFonts w:ascii="Arial" w:hAnsi="Arial" w:cs="Arial"/>
          <w:sz w:val="24"/>
          <w:szCs w:val="24"/>
          <w:lang w:val="sr-Cyrl-CS"/>
        </w:rPr>
        <w:t xml:space="preserve"> </w:t>
      </w:r>
      <w:r w:rsidRPr="000254E0">
        <w:rPr>
          <w:rFonts w:ascii="Arial" w:hAnsi="Arial" w:cs="Arial"/>
          <w:sz w:val="24"/>
          <w:szCs w:val="24"/>
        </w:rPr>
        <w:t>je</w:t>
      </w:r>
      <w:r w:rsidRPr="000254E0">
        <w:rPr>
          <w:rFonts w:ascii="Arial" w:hAnsi="Arial" w:cs="Arial"/>
          <w:sz w:val="24"/>
          <w:szCs w:val="24"/>
          <w:lang w:val="sr-Cyrl-CS"/>
        </w:rPr>
        <w:t xml:space="preserve"> </w:t>
      </w:r>
      <w:r w:rsidRPr="000254E0">
        <w:rPr>
          <w:rFonts w:ascii="Arial" w:hAnsi="Arial" w:cs="Arial"/>
          <w:sz w:val="24"/>
          <w:szCs w:val="24"/>
        </w:rPr>
        <w:t>investitora</w:t>
      </w:r>
      <w:r w:rsidRPr="000254E0">
        <w:rPr>
          <w:rFonts w:ascii="Arial" w:hAnsi="Arial" w:cs="Arial"/>
          <w:sz w:val="24"/>
          <w:szCs w:val="24"/>
          <w:lang w:val="sr-Cyrl-CS"/>
        </w:rPr>
        <w:t xml:space="preserve"> </w:t>
      </w:r>
      <w:r w:rsidRPr="000254E0">
        <w:rPr>
          <w:rFonts w:ascii="Arial" w:hAnsi="Arial" w:cs="Arial"/>
          <w:sz w:val="24"/>
          <w:szCs w:val="24"/>
        </w:rPr>
        <w:t>da</w:t>
      </w:r>
      <w:r w:rsidRPr="000254E0">
        <w:rPr>
          <w:rFonts w:ascii="Arial" w:hAnsi="Arial" w:cs="Arial"/>
          <w:sz w:val="24"/>
          <w:szCs w:val="24"/>
          <w:lang w:val="sr-Cyrl-CS"/>
        </w:rPr>
        <w:t xml:space="preserve"> </w:t>
      </w:r>
      <w:r w:rsidRPr="000254E0">
        <w:rPr>
          <w:rFonts w:ascii="Arial" w:hAnsi="Arial" w:cs="Arial"/>
          <w:sz w:val="24"/>
          <w:szCs w:val="24"/>
        </w:rPr>
        <w:t>tehnolo</w:t>
      </w:r>
      <w:r w:rsidRPr="000254E0">
        <w:rPr>
          <w:rFonts w:ascii="Arial" w:hAnsi="Arial" w:cs="Arial"/>
          <w:sz w:val="24"/>
          <w:szCs w:val="24"/>
          <w:lang w:val="sr-Cyrl-CS"/>
        </w:rPr>
        <w:t>š</w:t>
      </w:r>
      <w:r w:rsidRPr="000254E0">
        <w:rPr>
          <w:rFonts w:ascii="Arial" w:hAnsi="Arial" w:cs="Arial"/>
          <w:sz w:val="24"/>
          <w:szCs w:val="24"/>
        </w:rPr>
        <w:t>kim</w:t>
      </w:r>
      <w:r w:rsidRPr="000254E0">
        <w:rPr>
          <w:rFonts w:ascii="Arial" w:hAnsi="Arial" w:cs="Arial"/>
          <w:sz w:val="24"/>
          <w:szCs w:val="24"/>
          <w:lang w:val="sr-Cyrl-CS"/>
        </w:rPr>
        <w:t xml:space="preserve"> </w:t>
      </w:r>
      <w:r w:rsidRPr="000254E0">
        <w:rPr>
          <w:rFonts w:ascii="Arial" w:hAnsi="Arial" w:cs="Arial"/>
          <w:sz w:val="24"/>
          <w:szCs w:val="24"/>
        </w:rPr>
        <w:t>procesom</w:t>
      </w:r>
      <w:r w:rsidRPr="000254E0">
        <w:rPr>
          <w:rFonts w:ascii="Arial" w:hAnsi="Arial" w:cs="Arial"/>
          <w:sz w:val="24"/>
          <w:szCs w:val="24"/>
          <w:lang w:val="sr-Cyrl-CS"/>
        </w:rPr>
        <w:t xml:space="preserve"> </w:t>
      </w:r>
      <w:r w:rsidRPr="000254E0">
        <w:rPr>
          <w:rFonts w:ascii="Arial" w:hAnsi="Arial" w:cs="Arial"/>
          <w:sz w:val="24"/>
          <w:szCs w:val="24"/>
        </w:rPr>
        <w:t>eksploatacije</w:t>
      </w:r>
      <w:r w:rsidRPr="000254E0">
        <w:rPr>
          <w:rFonts w:ascii="Arial" w:hAnsi="Arial" w:cs="Arial"/>
          <w:sz w:val="24"/>
          <w:szCs w:val="24"/>
          <w:lang w:val="sr-Cyrl-CS"/>
        </w:rPr>
        <w:t xml:space="preserve">, </w:t>
      </w:r>
      <w:r w:rsidRPr="000254E0">
        <w:rPr>
          <w:rFonts w:ascii="Arial" w:hAnsi="Arial" w:cs="Arial"/>
          <w:sz w:val="24"/>
          <w:szCs w:val="24"/>
        </w:rPr>
        <w:t>odnosno</w:t>
      </w:r>
      <w:r w:rsidRPr="000254E0">
        <w:rPr>
          <w:rFonts w:ascii="Arial" w:hAnsi="Arial" w:cs="Arial"/>
          <w:sz w:val="24"/>
          <w:szCs w:val="24"/>
          <w:lang w:val="sr-Cyrl-CS"/>
        </w:rPr>
        <w:t xml:space="preserve"> </w:t>
      </w:r>
      <w:r w:rsidRPr="000254E0">
        <w:rPr>
          <w:rFonts w:ascii="Arial" w:hAnsi="Arial" w:cs="Arial"/>
          <w:sz w:val="24"/>
          <w:szCs w:val="24"/>
        </w:rPr>
        <w:t>aktivnostima</w:t>
      </w:r>
      <w:r w:rsidRPr="000254E0">
        <w:rPr>
          <w:rFonts w:ascii="Arial" w:hAnsi="Arial" w:cs="Arial"/>
          <w:sz w:val="24"/>
          <w:szCs w:val="24"/>
          <w:lang w:val="sr-Cyrl-CS"/>
        </w:rPr>
        <w:t xml:space="preserve"> </w:t>
      </w:r>
      <w:r w:rsidRPr="000254E0">
        <w:rPr>
          <w:rFonts w:ascii="Arial" w:hAnsi="Arial" w:cs="Arial"/>
          <w:sz w:val="24"/>
          <w:szCs w:val="24"/>
        </w:rPr>
        <w:t>odlaganja</w:t>
      </w:r>
      <w:r w:rsidRPr="000254E0">
        <w:rPr>
          <w:rFonts w:ascii="Arial" w:hAnsi="Arial" w:cs="Arial"/>
          <w:sz w:val="24"/>
          <w:szCs w:val="24"/>
          <w:lang w:val="sr-Cyrl-CS"/>
        </w:rPr>
        <w:t xml:space="preserve"> </w:t>
      </w:r>
      <w:r w:rsidRPr="000254E0">
        <w:rPr>
          <w:rFonts w:ascii="Arial" w:hAnsi="Arial" w:cs="Arial"/>
          <w:sz w:val="24"/>
          <w:szCs w:val="24"/>
        </w:rPr>
        <w:t>jalovine</w:t>
      </w:r>
      <w:r w:rsidRPr="000254E0">
        <w:rPr>
          <w:rFonts w:ascii="Arial" w:hAnsi="Arial" w:cs="Arial"/>
          <w:sz w:val="24"/>
          <w:szCs w:val="24"/>
          <w:lang w:val="sr-Cyrl-CS"/>
        </w:rPr>
        <w:t xml:space="preserve"> </w:t>
      </w:r>
      <w:r w:rsidRPr="000254E0">
        <w:rPr>
          <w:rFonts w:ascii="Arial" w:hAnsi="Arial" w:cs="Arial"/>
          <w:sz w:val="24"/>
          <w:szCs w:val="24"/>
        </w:rPr>
        <w:t>i</w:t>
      </w:r>
      <w:r w:rsidRPr="000254E0">
        <w:rPr>
          <w:rFonts w:ascii="Arial" w:hAnsi="Arial" w:cs="Arial"/>
          <w:sz w:val="24"/>
          <w:szCs w:val="24"/>
          <w:lang w:val="sr-Cyrl-CS"/>
        </w:rPr>
        <w:t xml:space="preserve"> </w:t>
      </w:r>
      <w:r w:rsidRPr="000254E0">
        <w:rPr>
          <w:rFonts w:ascii="Arial" w:hAnsi="Arial" w:cs="Arial"/>
          <w:sz w:val="24"/>
          <w:szCs w:val="24"/>
        </w:rPr>
        <w:t>tehni</w:t>
      </w:r>
      <w:r w:rsidRPr="000254E0">
        <w:rPr>
          <w:rFonts w:ascii="Arial" w:hAnsi="Arial" w:cs="Arial"/>
          <w:sz w:val="24"/>
          <w:szCs w:val="24"/>
          <w:lang w:val="sr-Cyrl-CS"/>
        </w:rPr>
        <w:t>č</w:t>
      </w:r>
      <w:r w:rsidRPr="000254E0">
        <w:rPr>
          <w:rFonts w:ascii="Arial" w:hAnsi="Arial" w:cs="Arial"/>
          <w:sz w:val="24"/>
          <w:szCs w:val="24"/>
        </w:rPr>
        <w:t>kom</w:t>
      </w:r>
      <w:r w:rsidRPr="000254E0">
        <w:rPr>
          <w:rFonts w:ascii="Arial" w:hAnsi="Arial" w:cs="Arial"/>
          <w:sz w:val="24"/>
          <w:szCs w:val="24"/>
          <w:lang w:val="sr-Cyrl-CS"/>
        </w:rPr>
        <w:t xml:space="preserve"> </w:t>
      </w:r>
      <w:r w:rsidRPr="000254E0">
        <w:rPr>
          <w:rFonts w:ascii="Arial" w:hAnsi="Arial" w:cs="Arial"/>
          <w:sz w:val="24"/>
          <w:szCs w:val="24"/>
        </w:rPr>
        <w:t>rekultivacijom</w:t>
      </w:r>
      <w:r w:rsidRPr="000254E0">
        <w:rPr>
          <w:rFonts w:ascii="Arial" w:hAnsi="Arial" w:cs="Arial"/>
          <w:sz w:val="24"/>
          <w:szCs w:val="24"/>
          <w:lang w:val="sr-Cyrl-CS"/>
        </w:rPr>
        <w:t xml:space="preserve"> </w:t>
      </w:r>
      <w:r w:rsidRPr="000254E0">
        <w:rPr>
          <w:rFonts w:ascii="Arial" w:hAnsi="Arial" w:cs="Arial"/>
          <w:sz w:val="24"/>
          <w:szCs w:val="24"/>
        </w:rPr>
        <w:t>obrade</w:t>
      </w:r>
      <w:r w:rsidRPr="000254E0">
        <w:rPr>
          <w:rFonts w:ascii="Arial" w:hAnsi="Arial" w:cs="Arial"/>
          <w:sz w:val="24"/>
          <w:szCs w:val="24"/>
          <w:lang w:val="sr-Cyrl-CS"/>
        </w:rPr>
        <w:t xml:space="preserve"> </w:t>
      </w:r>
      <w:r w:rsidRPr="000254E0">
        <w:rPr>
          <w:rFonts w:ascii="Arial" w:hAnsi="Arial" w:cs="Arial"/>
          <w:sz w:val="24"/>
          <w:szCs w:val="24"/>
        </w:rPr>
        <w:t>zavr</w:t>
      </w:r>
      <w:r w:rsidRPr="000254E0">
        <w:rPr>
          <w:rFonts w:ascii="Arial" w:hAnsi="Arial" w:cs="Arial"/>
          <w:sz w:val="24"/>
          <w:szCs w:val="24"/>
          <w:lang w:val="sr-Cyrl-CS"/>
        </w:rPr>
        <w:t>š</w:t>
      </w:r>
      <w:r w:rsidRPr="000254E0">
        <w:rPr>
          <w:rFonts w:ascii="Arial" w:hAnsi="Arial" w:cs="Arial"/>
          <w:sz w:val="24"/>
          <w:szCs w:val="24"/>
        </w:rPr>
        <w:t>nu</w:t>
      </w:r>
      <w:r w:rsidRPr="000254E0">
        <w:rPr>
          <w:rFonts w:ascii="Arial" w:hAnsi="Arial" w:cs="Arial"/>
          <w:sz w:val="24"/>
          <w:szCs w:val="24"/>
          <w:lang w:val="sr-Cyrl-CS"/>
        </w:rPr>
        <w:t xml:space="preserve"> </w:t>
      </w:r>
      <w:r w:rsidRPr="000254E0">
        <w:rPr>
          <w:rFonts w:ascii="Arial" w:hAnsi="Arial" w:cs="Arial"/>
          <w:sz w:val="24"/>
          <w:szCs w:val="24"/>
        </w:rPr>
        <w:t>geometrijsku</w:t>
      </w:r>
      <w:r w:rsidRPr="000254E0">
        <w:rPr>
          <w:rFonts w:ascii="Arial" w:hAnsi="Arial" w:cs="Arial"/>
          <w:sz w:val="24"/>
          <w:szCs w:val="24"/>
          <w:lang w:val="sr-Cyrl-CS"/>
        </w:rPr>
        <w:t xml:space="preserve"> </w:t>
      </w:r>
      <w:r w:rsidRPr="000254E0">
        <w:rPr>
          <w:rFonts w:ascii="Arial" w:hAnsi="Arial" w:cs="Arial"/>
          <w:sz w:val="24"/>
          <w:szCs w:val="24"/>
        </w:rPr>
        <w:t>konturu</w:t>
      </w:r>
      <w:r w:rsidRPr="000254E0">
        <w:rPr>
          <w:rFonts w:ascii="Arial" w:hAnsi="Arial" w:cs="Arial"/>
          <w:sz w:val="24"/>
          <w:szCs w:val="24"/>
          <w:lang w:val="sr-Cyrl-CS"/>
        </w:rPr>
        <w:t xml:space="preserve"> </w:t>
      </w:r>
      <w:r w:rsidRPr="000254E0">
        <w:rPr>
          <w:rFonts w:ascii="Arial" w:hAnsi="Arial" w:cs="Arial"/>
          <w:sz w:val="24"/>
          <w:szCs w:val="24"/>
        </w:rPr>
        <w:t>kopa</w:t>
      </w:r>
      <w:r w:rsidRPr="000254E0">
        <w:rPr>
          <w:rFonts w:ascii="Arial" w:hAnsi="Arial" w:cs="Arial"/>
          <w:sz w:val="24"/>
          <w:szCs w:val="24"/>
          <w:lang w:val="sr-Cyrl-CS"/>
        </w:rPr>
        <w:t xml:space="preserve"> </w:t>
      </w:r>
      <w:r w:rsidRPr="000254E0">
        <w:rPr>
          <w:rFonts w:ascii="Arial" w:hAnsi="Arial" w:cs="Arial"/>
          <w:sz w:val="24"/>
          <w:szCs w:val="24"/>
        </w:rPr>
        <w:t>tako</w:t>
      </w:r>
      <w:r w:rsidRPr="000254E0">
        <w:rPr>
          <w:rFonts w:ascii="Arial" w:hAnsi="Arial" w:cs="Arial"/>
          <w:sz w:val="24"/>
          <w:szCs w:val="24"/>
          <w:lang w:val="sr-Cyrl-CS"/>
        </w:rPr>
        <w:t xml:space="preserve"> </w:t>
      </w:r>
      <w:r w:rsidRPr="000254E0">
        <w:rPr>
          <w:rFonts w:ascii="Arial" w:hAnsi="Arial" w:cs="Arial"/>
          <w:sz w:val="24"/>
          <w:szCs w:val="24"/>
        </w:rPr>
        <w:t>da</w:t>
      </w:r>
      <w:r w:rsidRPr="000254E0">
        <w:rPr>
          <w:rFonts w:ascii="Arial" w:hAnsi="Arial" w:cs="Arial"/>
          <w:sz w:val="24"/>
          <w:szCs w:val="24"/>
          <w:lang w:val="sr-Cyrl-CS"/>
        </w:rPr>
        <w:t xml:space="preserve"> </w:t>
      </w:r>
      <w:r w:rsidRPr="000254E0">
        <w:rPr>
          <w:rFonts w:ascii="Arial" w:hAnsi="Arial" w:cs="Arial"/>
          <w:sz w:val="24"/>
          <w:szCs w:val="24"/>
        </w:rPr>
        <w:t>se</w:t>
      </w:r>
      <w:r w:rsidRPr="000254E0">
        <w:rPr>
          <w:rFonts w:ascii="Arial" w:hAnsi="Arial" w:cs="Arial"/>
          <w:sz w:val="24"/>
          <w:szCs w:val="24"/>
          <w:lang w:val="sr-Cyrl-CS"/>
        </w:rPr>
        <w:t xml:space="preserve"> </w:t>
      </w:r>
      <w:r w:rsidRPr="000254E0">
        <w:rPr>
          <w:rFonts w:ascii="Arial" w:hAnsi="Arial" w:cs="Arial"/>
          <w:sz w:val="24"/>
          <w:szCs w:val="24"/>
        </w:rPr>
        <w:t>novoformirani</w:t>
      </w:r>
      <w:r w:rsidRPr="000254E0">
        <w:rPr>
          <w:rFonts w:ascii="Arial" w:hAnsi="Arial" w:cs="Arial"/>
          <w:sz w:val="24"/>
          <w:szCs w:val="24"/>
          <w:lang w:val="sr-Cyrl-CS"/>
        </w:rPr>
        <w:t xml:space="preserve"> </w:t>
      </w:r>
      <w:r w:rsidRPr="000254E0">
        <w:rPr>
          <w:rFonts w:ascii="Arial" w:hAnsi="Arial" w:cs="Arial"/>
          <w:sz w:val="24"/>
          <w:szCs w:val="24"/>
        </w:rPr>
        <w:t>prostor</w:t>
      </w:r>
      <w:r w:rsidRPr="000254E0">
        <w:rPr>
          <w:rFonts w:ascii="Arial" w:hAnsi="Arial" w:cs="Arial"/>
          <w:sz w:val="24"/>
          <w:szCs w:val="24"/>
          <w:lang w:val="sr-Cyrl-CS"/>
        </w:rPr>
        <w:t xml:space="preserve"> </w:t>
      </w:r>
      <w:r w:rsidRPr="000254E0">
        <w:rPr>
          <w:rFonts w:ascii="Arial" w:hAnsi="Arial" w:cs="Arial"/>
          <w:sz w:val="24"/>
          <w:szCs w:val="24"/>
        </w:rPr>
        <w:t>u</w:t>
      </w:r>
      <w:r w:rsidRPr="000254E0">
        <w:rPr>
          <w:rFonts w:ascii="Arial" w:hAnsi="Arial" w:cs="Arial"/>
          <w:sz w:val="24"/>
          <w:szCs w:val="24"/>
          <w:lang w:val="sr-Cyrl-CS"/>
        </w:rPr>
        <w:t xml:space="preserve"> </w:t>
      </w:r>
      <w:r w:rsidRPr="000254E0">
        <w:rPr>
          <w:rFonts w:ascii="Arial" w:hAnsi="Arial" w:cs="Arial"/>
          <w:sz w:val="24"/>
          <w:szCs w:val="24"/>
        </w:rPr>
        <w:t>funkcionalnom</w:t>
      </w:r>
      <w:r w:rsidRPr="000254E0">
        <w:rPr>
          <w:rFonts w:ascii="Arial" w:hAnsi="Arial" w:cs="Arial"/>
          <w:sz w:val="24"/>
          <w:szCs w:val="24"/>
          <w:lang w:val="sr-Cyrl-CS"/>
        </w:rPr>
        <w:t xml:space="preserve"> </w:t>
      </w:r>
      <w:r w:rsidRPr="000254E0">
        <w:rPr>
          <w:rFonts w:ascii="Arial" w:hAnsi="Arial" w:cs="Arial"/>
          <w:sz w:val="24"/>
          <w:szCs w:val="24"/>
        </w:rPr>
        <w:t>i</w:t>
      </w:r>
      <w:r w:rsidRPr="000254E0">
        <w:rPr>
          <w:rFonts w:ascii="Arial" w:hAnsi="Arial" w:cs="Arial"/>
          <w:sz w:val="24"/>
          <w:szCs w:val="24"/>
          <w:lang w:val="sr-Cyrl-CS"/>
        </w:rPr>
        <w:t xml:space="preserve"> </w:t>
      </w:r>
      <w:r w:rsidRPr="000254E0">
        <w:rPr>
          <w:rFonts w:ascii="Arial" w:hAnsi="Arial" w:cs="Arial"/>
          <w:sz w:val="24"/>
          <w:szCs w:val="24"/>
        </w:rPr>
        <w:t>estetskom</w:t>
      </w:r>
      <w:r w:rsidRPr="000254E0">
        <w:rPr>
          <w:rFonts w:ascii="Arial" w:hAnsi="Arial" w:cs="Arial"/>
          <w:sz w:val="24"/>
          <w:szCs w:val="24"/>
          <w:lang w:val="sr-Cyrl-CS"/>
        </w:rPr>
        <w:t xml:space="preserve"> </w:t>
      </w:r>
      <w:r w:rsidRPr="000254E0">
        <w:rPr>
          <w:rFonts w:ascii="Arial" w:hAnsi="Arial" w:cs="Arial"/>
          <w:sz w:val="24"/>
          <w:szCs w:val="24"/>
        </w:rPr>
        <w:t>smislu</w:t>
      </w:r>
      <w:r w:rsidRPr="000254E0">
        <w:rPr>
          <w:rFonts w:ascii="Arial" w:hAnsi="Arial" w:cs="Arial"/>
          <w:sz w:val="24"/>
          <w:szCs w:val="24"/>
          <w:lang w:val="sr-Cyrl-CS"/>
        </w:rPr>
        <w:t xml:space="preserve"> š</w:t>
      </w:r>
      <w:r w:rsidRPr="000254E0">
        <w:rPr>
          <w:rFonts w:ascii="Arial" w:hAnsi="Arial" w:cs="Arial"/>
          <w:sz w:val="24"/>
          <w:szCs w:val="24"/>
        </w:rPr>
        <w:t>to</w:t>
      </w:r>
      <w:r w:rsidRPr="000254E0">
        <w:rPr>
          <w:rFonts w:ascii="Arial" w:hAnsi="Arial" w:cs="Arial"/>
          <w:sz w:val="24"/>
          <w:szCs w:val="24"/>
          <w:lang w:val="sr-Cyrl-CS"/>
        </w:rPr>
        <w:t xml:space="preserve"> </w:t>
      </w:r>
      <w:r w:rsidRPr="000254E0">
        <w:rPr>
          <w:rFonts w:ascii="Arial" w:hAnsi="Arial" w:cs="Arial"/>
          <w:sz w:val="24"/>
          <w:szCs w:val="24"/>
        </w:rPr>
        <w:t>bolje</w:t>
      </w:r>
      <w:r w:rsidRPr="000254E0">
        <w:rPr>
          <w:rFonts w:ascii="Arial" w:hAnsi="Arial" w:cs="Arial"/>
          <w:sz w:val="24"/>
          <w:szCs w:val="24"/>
          <w:lang w:val="sr-Cyrl-CS"/>
        </w:rPr>
        <w:t xml:space="preserve"> </w:t>
      </w:r>
      <w:r w:rsidRPr="000254E0">
        <w:rPr>
          <w:rFonts w:ascii="Arial" w:hAnsi="Arial" w:cs="Arial"/>
          <w:sz w:val="24"/>
          <w:szCs w:val="24"/>
        </w:rPr>
        <w:t>prilagodi</w:t>
      </w:r>
      <w:r w:rsidRPr="000254E0">
        <w:rPr>
          <w:rFonts w:ascii="Arial" w:hAnsi="Arial" w:cs="Arial"/>
          <w:sz w:val="24"/>
          <w:szCs w:val="24"/>
          <w:lang w:val="sr-Cyrl-CS"/>
        </w:rPr>
        <w:t xml:space="preserve"> </w:t>
      </w:r>
      <w:r w:rsidRPr="000254E0">
        <w:rPr>
          <w:rFonts w:ascii="Arial" w:hAnsi="Arial" w:cs="Arial"/>
          <w:sz w:val="24"/>
          <w:szCs w:val="24"/>
        </w:rPr>
        <w:t>postoje</w:t>
      </w:r>
      <w:r w:rsidRPr="000254E0">
        <w:rPr>
          <w:rFonts w:ascii="Arial" w:hAnsi="Arial" w:cs="Arial"/>
          <w:sz w:val="24"/>
          <w:szCs w:val="24"/>
          <w:lang w:val="sr-Cyrl-CS"/>
        </w:rPr>
        <w:t>ć</w:t>
      </w:r>
      <w:r w:rsidRPr="000254E0">
        <w:rPr>
          <w:rFonts w:ascii="Arial" w:hAnsi="Arial" w:cs="Arial"/>
          <w:sz w:val="24"/>
          <w:szCs w:val="24"/>
        </w:rPr>
        <w:t>em</w:t>
      </w:r>
      <w:r w:rsidRPr="000254E0">
        <w:rPr>
          <w:rFonts w:ascii="Arial" w:hAnsi="Arial" w:cs="Arial"/>
          <w:sz w:val="24"/>
          <w:szCs w:val="24"/>
          <w:lang w:val="sr-Cyrl-CS"/>
        </w:rPr>
        <w:t xml:space="preserve"> </w:t>
      </w:r>
      <w:r w:rsidRPr="000254E0">
        <w:rPr>
          <w:rFonts w:ascii="Arial" w:hAnsi="Arial" w:cs="Arial"/>
          <w:sz w:val="24"/>
          <w:szCs w:val="24"/>
        </w:rPr>
        <w:t>prirodnom</w:t>
      </w:r>
      <w:r w:rsidRPr="000254E0">
        <w:rPr>
          <w:rFonts w:ascii="Arial" w:hAnsi="Arial" w:cs="Arial"/>
          <w:sz w:val="24"/>
          <w:szCs w:val="24"/>
          <w:lang w:val="sr-Cyrl-CS"/>
        </w:rPr>
        <w:t xml:space="preserve"> </w:t>
      </w:r>
      <w:r w:rsidRPr="000254E0">
        <w:rPr>
          <w:rFonts w:ascii="Arial" w:hAnsi="Arial" w:cs="Arial"/>
          <w:sz w:val="24"/>
          <w:szCs w:val="24"/>
        </w:rPr>
        <w:t>ambijentu</w:t>
      </w:r>
      <w:r w:rsidRPr="000254E0">
        <w:rPr>
          <w:rFonts w:ascii="Arial" w:hAnsi="Arial" w:cs="Arial"/>
          <w:sz w:val="24"/>
          <w:szCs w:val="24"/>
          <w:lang w:val="sr-Cyrl-CS"/>
        </w:rPr>
        <w:t xml:space="preserve">. </w:t>
      </w:r>
    </w:p>
    <w:p w:rsidR="00293ECD" w:rsidRDefault="00293ECD" w:rsidP="00293ECD">
      <w:pPr>
        <w:spacing w:after="0"/>
        <w:jc w:val="both"/>
        <w:rPr>
          <w:rFonts w:ascii="Arial" w:hAnsi="Arial" w:cs="Arial"/>
          <w:sz w:val="24"/>
          <w:szCs w:val="24"/>
        </w:rPr>
      </w:pPr>
    </w:p>
    <w:p w:rsidR="00293ECD" w:rsidRDefault="00293ECD" w:rsidP="00293ECD">
      <w:pPr>
        <w:spacing w:after="0"/>
        <w:jc w:val="both"/>
        <w:rPr>
          <w:rFonts w:ascii="Arial" w:hAnsi="Arial" w:cs="Arial"/>
          <w:b/>
          <w:sz w:val="24"/>
          <w:szCs w:val="24"/>
        </w:rPr>
      </w:pPr>
      <w:r w:rsidRPr="004952E0">
        <w:rPr>
          <w:rFonts w:ascii="Arial" w:hAnsi="Arial" w:cs="Arial"/>
          <w:b/>
          <w:sz w:val="24"/>
          <w:szCs w:val="24"/>
        </w:rPr>
        <w:t>Pr</w:t>
      </w:r>
      <w:r w:rsidR="00674399">
        <w:rPr>
          <w:rFonts w:ascii="Arial" w:hAnsi="Arial" w:cs="Arial"/>
          <w:b/>
          <w:sz w:val="24"/>
          <w:szCs w:val="24"/>
        </w:rPr>
        <w:t>e</w:t>
      </w:r>
      <w:r w:rsidRPr="004952E0">
        <w:rPr>
          <w:rFonts w:ascii="Arial" w:hAnsi="Arial" w:cs="Arial"/>
          <w:b/>
          <w:sz w:val="24"/>
          <w:szCs w:val="24"/>
        </w:rPr>
        <w:t>kogranični uticaj</w:t>
      </w:r>
    </w:p>
    <w:p w:rsidR="00674399" w:rsidRPr="004952E0" w:rsidRDefault="00674399" w:rsidP="00293ECD">
      <w:pPr>
        <w:spacing w:after="0"/>
        <w:jc w:val="both"/>
        <w:rPr>
          <w:rFonts w:ascii="Arial" w:hAnsi="Arial" w:cs="Arial"/>
          <w:b/>
          <w:sz w:val="24"/>
          <w:szCs w:val="24"/>
        </w:rPr>
      </w:pPr>
    </w:p>
    <w:p w:rsidR="00293ECD" w:rsidRPr="00722DF4" w:rsidRDefault="00293ECD" w:rsidP="00293ECD">
      <w:pPr>
        <w:spacing w:after="0"/>
        <w:jc w:val="both"/>
        <w:rPr>
          <w:rFonts w:ascii="Arial" w:hAnsi="Arial" w:cs="Arial"/>
          <w:sz w:val="24"/>
          <w:szCs w:val="24"/>
        </w:rPr>
      </w:pPr>
      <w:r w:rsidRPr="00722DF4">
        <w:rPr>
          <w:rFonts w:ascii="Arial" w:hAnsi="Arial" w:cs="Arial"/>
          <w:sz w:val="24"/>
          <w:szCs w:val="24"/>
        </w:rPr>
        <w:t xml:space="preserve">U </w:t>
      </w:r>
      <w:r w:rsidRPr="00700739">
        <w:rPr>
          <w:rFonts w:ascii="Arial" w:hAnsi="Arial" w:cs="Arial"/>
          <w:sz w:val="24"/>
          <w:szCs w:val="24"/>
        </w:rPr>
        <w:t>preliminarnom</w:t>
      </w:r>
      <w:r w:rsidRPr="00722DF4">
        <w:rPr>
          <w:rFonts w:ascii="Arial" w:hAnsi="Arial" w:cs="Arial"/>
          <w:sz w:val="24"/>
          <w:szCs w:val="24"/>
        </w:rPr>
        <w:t xml:space="preserve"> procesu identifikovanja uticaja planiranih aktivnosti, proc</w:t>
      </w:r>
      <w:r>
        <w:rPr>
          <w:rFonts w:ascii="Arial" w:hAnsi="Arial" w:cs="Arial"/>
          <w:sz w:val="24"/>
          <w:szCs w:val="24"/>
        </w:rPr>
        <w:t>ijenjen</w:t>
      </w:r>
      <w:r w:rsidRPr="00722DF4">
        <w:rPr>
          <w:rFonts w:ascii="Arial" w:hAnsi="Arial" w:cs="Arial"/>
          <w:sz w:val="24"/>
          <w:szCs w:val="24"/>
        </w:rPr>
        <w:t xml:space="preserve">o je da se prekogranični uticaj ne može očekivani na teritorije susjednih država </w:t>
      </w:r>
    </w:p>
    <w:p w:rsidR="00293ECD" w:rsidRPr="000254E0" w:rsidRDefault="00293ECD" w:rsidP="00293ECD">
      <w:pPr>
        <w:spacing w:after="0"/>
        <w:jc w:val="both"/>
        <w:rPr>
          <w:rFonts w:ascii="Arial" w:hAnsi="Arial" w:cs="Arial"/>
          <w:sz w:val="24"/>
          <w:szCs w:val="24"/>
        </w:rPr>
      </w:pPr>
    </w:p>
    <w:p w:rsidR="00293ECD" w:rsidRDefault="00293ECD" w:rsidP="00293ECD">
      <w:pPr>
        <w:spacing w:after="0"/>
        <w:jc w:val="both"/>
        <w:rPr>
          <w:rFonts w:ascii="Arial" w:hAnsi="Arial" w:cs="Arial"/>
          <w:b/>
          <w:sz w:val="24"/>
          <w:szCs w:val="24"/>
        </w:rPr>
      </w:pPr>
      <w:r w:rsidRPr="000254E0">
        <w:rPr>
          <w:rFonts w:ascii="Arial" w:hAnsi="Arial" w:cs="Arial"/>
          <w:b/>
          <w:sz w:val="24"/>
          <w:szCs w:val="24"/>
        </w:rPr>
        <w:t>Mjere predviđene propisima i standardima</w:t>
      </w:r>
    </w:p>
    <w:p w:rsidR="00674399" w:rsidRPr="000254E0" w:rsidRDefault="00674399" w:rsidP="00293ECD">
      <w:pPr>
        <w:spacing w:after="0"/>
        <w:jc w:val="both"/>
        <w:rPr>
          <w:rFonts w:ascii="Arial" w:hAnsi="Arial" w:cs="Arial"/>
          <w:b/>
          <w:sz w:val="24"/>
          <w:szCs w:val="24"/>
        </w:rPr>
      </w:pPr>
    </w:p>
    <w:p w:rsidR="00293ECD" w:rsidRPr="00700739" w:rsidRDefault="00293ECD" w:rsidP="00293ECD">
      <w:pPr>
        <w:autoSpaceDE w:val="0"/>
        <w:autoSpaceDN w:val="0"/>
        <w:adjustRightInd w:val="0"/>
        <w:spacing w:after="0"/>
        <w:jc w:val="both"/>
        <w:rPr>
          <w:rFonts w:ascii="Arial" w:hAnsi="Arial" w:cs="Arial"/>
          <w:sz w:val="24"/>
          <w:szCs w:val="24"/>
        </w:rPr>
      </w:pPr>
      <w:r w:rsidRPr="00700739">
        <w:rPr>
          <w:rFonts w:ascii="Arial" w:hAnsi="Arial" w:cs="Arial"/>
          <w:sz w:val="24"/>
          <w:szCs w:val="24"/>
        </w:rPr>
        <w:t>Bez obzira da li se radi o privremenim uticajima na životnu sredinu, neophodno je preduzeti sve zakonske mjere kako bi se svi privremeni uticaji na životnu sredinu minimizirali. U ovu kategoriju spadaju sve one mjere zaštite koje treba preduzeti u sklopu planskog</w:t>
      </w:r>
      <w:r>
        <w:rPr>
          <w:rFonts w:ascii="Arial" w:hAnsi="Arial" w:cs="Arial"/>
          <w:sz w:val="24"/>
          <w:szCs w:val="24"/>
        </w:rPr>
        <w:t>,</w:t>
      </w:r>
      <w:r w:rsidRPr="00700739">
        <w:rPr>
          <w:rFonts w:ascii="Arial" w:hAnsi="Arial" w:cs="Arial"/>
          <w:sz w:val="24"/>
          <w:szCs w:val="24"/>
        </w:rPr>
        <w:t xml:space="preserve"> i nadalje projektnog koncepta, a čija primjena je preduslov za minimiziranje mogućih uticaja na životnu sredinu:</w:t>
      </w:r>
    </w:p>
    <w:p w:rsidR="00293ECD" w:rsidRPr="00700739" w:rsidRDefault="00293ECD" w:rsidP="00293ECD">
      <w:pPr>
        <w:autoSpaceDE w:val="0"/>
        <w:autoSpaceDN w:val="0"/>
        <w:adjustRightInd w:val="0"/>
        <w:spacing w:after="0"/>
        <w:jc w:val="both"/>
        <w:rPr>
          <w:rFonts w:ascii="Arial" w:hAnsi="Arial" w:cs="Arial"/>
          <w:sz w:val="24"/>
          <w:szCs w:val="24"/>
        </w:rPr>
      </w:pPr>
    </w:p>
    <w:p w:rsidR="00293ECD" w:rsidRPr="00700739" w:rsidRDefault="00293ECD"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Implementirati sve uslove i zahtjeve koje utvrđuju nadležni organi države Crne Gore pri izdavanju odobrenja i saglasnosti za izvođenje radova</w:t>
      </w:r>
      <w:r>
        <w:rPr>
          <w:rFonts w:ascii="Arial" w:hAnsi="Arial" w:cs="Arial"/>
          <w:sz w:val="24"/>
          <w:szCs w:val="24"/>
        </w:rPr>
        <w:t>,</w:t>
      </w:r>
      <w:r w:rsidRPr="00700739">
        <w:rPr>
          <w:rFonts w:ascii="Arial" w:hAnsi="Arial" w:cs="Arial"/>
          <w:sz w:val="24"/>
          <w:szCs w:val="24"/>
        </w:rPr>
        <w:t xml:space="preserve"> </w:t>
      </w:r>
    </w:p>
    <w:p w:rsidR="00293ECD" w:rsidRPr="00700739" w:rsidRDefault="00293ECD"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Sprovesti sve zakonske procedure za aktivnosti za koje se traže dozvole, odobrenja i saglasnosti, sa posebnim akcentom na upotrebu i korišćenje podzemnih i površinskih voda,</w:t>
      </w:r>
    </w:p>
    <w:p w:rsidR="00293ECD" w:rsidRPr="00700739" w:rsidRDefault="00293ECD"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Izraditi Planove upravljanja komunalnim otpadom (odvoženje komunalnog otpada mora biti povjereno nadležnoj komunalnoj organizaciji),</w:t>
      </w:r>
    </w:p>
    <w:p w:rsidR="00293ECD" w:rsidRPr="00700739" w:rsidRDefault="00293ECD"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Pribaviti odobrenje za skladištenje neopasnog građevinskog otpada, i svu neophodnu dokumentaciju koja joj prethodi.</w:t>
      </w:r>
    </w:p>
    <w:p w:rsidR="00293ECD" w:rsidRDefault="00293ECD" w:rsidP="00663F7F">
      <w:pPr>
        <w:numPr>
          <w:ilvl w:val="0"/>
          <w:numId w:val="30"/>
        </w:numPr>
        <w:autoSpaceDE w:val="0"/>
        <w:autoSpaceDN w:val="0"/>
        <w:adjustRightInd w:val="0"/>
        <w:spacing w:after="0"/>
        <w:jc w:val="both"/>
        <w:rPr>
          <w:rFonts w:ascii="Arial" w:hAnsi="Arial" w:cs="Arial"/>
          <w:sz w:val="24"/>
          <w:szCs w:val="24"/>
        </w:rPr>
      </w:pPr>
      <w:r w:rsidRPr="00700739">
        <w:rPr>
          <w:rFonts w:ascii="Arial" w:hAnsi="Arial" w:cs="Arial"/>
          <w:sz w:val="24"/>
          <w:szCs w:val="24"/>
        </w:rPr>
        <w:t>U skladu sa zakonskom regulativnom uraditi projekat rekultivacije područja</w:t>
      </w:r>
      <w:r>
        <w:rPr>
          <w:rFonts w:ascii="Arial" w:hAnsi="Arial" w:cs="Arial"/>
          <w:sz w:val="24"/>
          <w:szCs w:val="24"/>
        </w:rPr>
        <w:t>.</w:t>
      </w:r>
    </w:p>
    <w:p w:rsidR="00293ECD" w:rsidRPr="00700739" w:rsidRDefault="00293ECD" w:rsidP="00293ECD">
      <w:pPr>
        <w:autoSpaceDE w:val="0"/>
        <w:autoSpaceDN w:val="0"/>
        <w:adjustRightInd w:val="0"/>
        <w:spacing w:after="0"/>
        <w:ind w:left="423"/>
        <w:jc w:val="both"/>
        <w:rPr>
          <w:rFonts w:ascii="Arial" w:hAnsi="Arial" w:cs="Arial"/>
          <w:sz w:val="24"/>
          <w:szCs w:val="24"/>
        </w:rPr>
      </w:pPr>
      <w:r w:rsidRPr="00700739">
        <w:rPr>
          <w:rFonts w:ascii="Arial" w:hAnsi="Arial" w:cs="Arial"/>
          <w:sz w:val="24"/>
          <w:szCs w:val="24"/>
        </w:rPr>
        <w:lastRenderedPageBreak/>
        <w:t xml:space="preserve">Pored navedenog, </w:t>
      </w:r>
      <w:r>
        <w:rPr>
          <w:rFonts w:ascii="Arial" w:hAnsi="Arial" w:cs="Arial"/>
          <w:sz w:val="24"/>
          <w:szCs w:val="24"/>
        </w:rPr>
        <w:t>u poglavlju 7.1.</w:t>
      </w:r>
      <w:r w:rsidRPr="00700739">
        <w:rPr>
          <w:rFonts w:ascii="Arial" w:hAnsi="Arial" w:cs="Arial"/>
          <w:sz w:val="24"/>
          <w:szCs w:val="24"/>
        </w:rPr>
        <w:t xml:space="preserve"> dat je pregled mjera za sve segmente životne sredine, a na koje realizacija Plana može uticati.</w:t>
      </w:r>
    </w:p>
    <w:p w:rsidR="00293ECD" w:rsidRPr="00700739" w:rsidRDefault="00293ECD" w:rsidP="00293ECD">
      <w:pPr>
        <w:autoSpaceDE w:val="0"/>
        <w:autoSpaceDN w:val="0"/>
        <w:adjustRightInd w:val="0"/>
        <w:spacing w:after="0"/>
        <w:ind w:left="783"/>
        <w:jc w:val="both"/>
        <w:rPr>
          <w:rFonts w:ascii="Arial" w:hAnsi="Arial" w:cs="Arial"/>
          <w:sz w:val="24"/>
          <w:szCs w:val="24"/>
        </w:rPr>
      </w:pPr>
    </w:p>
    <w:p w:rsidR="00293ECD" w:rsidRPr="00722DF4" w:rsidRDefault="00293ECD" w:rsidP="00293ECD">
      <w:pPr>
        <w:autoSpaceDE w:val="0"/>
        <w:autoSpaceDN w:val="0"/>
        <w:adjustRightInd w:val="0"/>
        <w:spacing w:after="0"/>
        <w:jc w:val="both"/>
        <w:rPr>
          <w:rFonts w:ascii="Arial" w:hAnsi="Arial" w:cs="Arial"/>
          <w:sz w:val="24"/>
          <w:szCs w:val="24"/>
        </w:rPr>
      </w:pPr>
      <w:r w:rsidRPr="00722DF4">
        <w:rPr>
          <w:rFonts w:ascii="Arial" w:hAnsi="Arial" w:cs="Arial"/>
          <w:sz w:val="24"/>
          <w:szCs w:val="24"/>
        </w:rPr>
        <w:t xml:space="preserve">S obzirom da će realizacija </w:t>
      </w:r>
      <w:r>
        <w:rPr>
          <w:rFonts w:ascii="Arial" w:hAnsi="Arial" w:cs="Arial"/>
          <w:sz w:val="24"/>
          <w:szCs w:val="24"/>
        </w:rPr>
        <w:t xml:space="preserve">Plana eksploatacije mineralnih sirovina </w:t>
      </w:r>
      <w:r w:rsidRPr="00722DF4">
        <w:rPr>
          <w:rFonts w:ascii="Arial" w:hAnsi="Arial" w:cs="Arial"/>
          <w:sz w:val="24"/>
          <w:szCs w:val="24"/>
        </w:rPr>
        <w:t>imati određene uticaje na životnu sredinu, bitno je vr</w:t>
      </w:r>
      <w:r>
        <w:rPr>
          <w:rFonts w:ascii="Arial" w:hAnsi="Arial" w:cs="Arial"/>
          <w:sz w:val="24"/>
          <w:szCs w:val="24"/>
        </w:rPr>
        <w:t>šiti monitoring realizacije aktivnosti</w:t>
      </w:r>
      <w:r w:rsidRPr="00722DF4">
        <w:rPr>
          <w:rFonts w:ascii="Arial" w:hAnsi="Arial" w:cs="Arial"/>
          <w:sz w:val="24"/>
          <w:szCs w:val="24"/>
        </w:rPr>
        <w:t>, početno (nulto stanje), tokom izgradnje i tokom eksploatacije, kako bi bili utvrđeni eventualni nepredviđeni negativni</w:t>
      </w:r>
      <w:r>
        <w:rPr>
          <w:rFonts w:ascii="Arial" w:hAnsi="Arial" w:cs="Arial"/>
          <w:sz w:val="24"/>
          <w:szCs w:val="24"/>
        </w:rPr>
        <w:t xml:space="preserve"> </w:t>
      </w:r>
      <w:r w:rsidRPr="00722DF4">
        <w:rPr>
          <w:rFonts w:ascii="Arial" w:hAnsi="Arial" w:cs="Arial"/>
          <w:sz w:val="24"/>
          <w:szCs w:val="24"/>
        </w:rPr>
        <w:t>uticaji i kako bi se omogućilo preduzimanje adekvatnih korektivnih mjera.</w:t>
      </w:r>
    </w:p>
    <w:p w:rsidR="006907EA" w:rsidRPr="00722DF4" w:rsidRDefault="006907EA"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6907EA" w:rsidRPr="00722DF4" w:rsidRDefault="006907EA"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6907EA" w:rsidRPr="00722DF4" w:rsidRDefault="006907EA"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6907EA" w:rsidRPr="00722DF4" w:rsidRDefault="006907EA"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6907EA" w:rsidRPr="00722DF4" w:rsidRDefault="006907EA"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4C419C" w:rsidRPr="00722DF4" w:rsidRDefault="004C419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4C419C" w:rsidRPr="00722DF4" w:rsidRDefault="004C419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4C419C" w:rsidRPr="00722DF4" w:rsidRDefault="004C419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15111B" w:rsidRPr="00722DF4" w:rsidRDefault="0015111B"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15111B" w:rsidRPr="00722DF4" w:rsidRDefault="0015111B"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15111B" w:rsidRPr="00722DF4" w:rsidRDefault="0015111B"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15111B" w:rsidRDefault="0015111B"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5D512C" w:rsidRPr="00722DF4" w:rsidRDefault="005D512C"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6907EA" w:rsidRPr="00722DF4" w:rsidRDefault="004D7972" w:rsidP="00722DF4">
      <w:pPr>
        <w:pStyle w:val="Heading1"/>
        <w:numPr>
          <w:ilvl w:val="0"/>
          <w:numId w:val="0"/>
        </w:numPr>
        <w:spacing w:before="0"/>
        <w:jc w:val="both"/>
        <w:rPr>
          <w:rFonts w:cs="Arial"/>
          <w:szCs w:val="24"/>
        </w:rPr>
      </w:pPr>
      <w:r>
        <w:rPr>
          <w:rFonts w:cs="Arial"/>
          <w:szCs w:val="24"/>
        </w:rPr>
        <w:br w:type="page"/>
      </w:r>
      <w:bookmarkStart w:id="66" w:name="_Toc6172855"/>
      <w:r w:rsidR="009C0E0E">
        <w:rPr>
          <w:rFonts w:cs="Arial"/>
          <w:szCs w:val="24"/>
        </w:rPr>
        <w:lastRenderedPageBreak/>
        <w:t>PRILOG</w:t>
      </w:r>
      <w:bookmarkEnd w:id="66"/>
    </w:p>
    <w:p w:rsidR="006907EA" w:rsidRPr="00722DF4" w:rsidRDefault="006907EA" w:rsidP="00722DF4">
      <w:pPr>
        <w:spacing w:after="0"/>
        <w:jc w:val="both"/>
        <w:rPr>
          <w:rFonts w:ascii="Arial" w:hAnsi="Arial" w:cs="Arial"/>
          <w:sz w:val="24"/>
          <w:szCs w:val="24"/>
          <w:lang w:val="it-IT"/>
        </w:rPr>
      </w:pPr>
    </w:p>
    <w:p w:rsidR="006907EA" w:rsidRPr="00722DF4" w:rsidRDefault="006907EA" w:rsidP="00722DF4">
      <w:pPr>
        <w:spacing w:after="0"/>
        <w:jc w:val="both"/>
        <w:rPr>
          <w:rFonts w:ascii="Arial" w:hAnsi="Arial" w:cs="Arial"/>
          <w:b/>
          <w:bCs/>
          <w:sz w:val="24"/>
          <w:szCs w:val="24"/>
          <w:lang w:val="it-IT"/>
        </w:rPr>
      </w:pPr>
      <w:r w:rsidRPr="00722DF4">
        <w:rPr>
          <w:rFonts w:ascii="Arial" w:hAnsi="Arial" w:cs="Arial"/>
          <w:b/>
          <w:bCs/>
          <w:sz w:val="24"/>
          <w:szCs w:val="24"/>
          <w:lang w:val="it-IT"/>
        </w:rPr>
        <w:t>PROPISI CRNE</w:t>
      </w:r>
      <w:r w:rsidR="00EF6256" w:rsidRPr="00722DF4">
        <w:rPr>
          <w:rFonts w:ascii="Arial" w:hAnsi="Arial" w:cs="Arial"/>
          <w:b/>
          <w:bCs/>
          <w:sz w:val="24"/>
          <w:szCs w:val="24"/>
          <w:lang w:val="it-IT"/>
        </w:rPr>
        <w:t xml:space="preserve"> GORE O ZAŠTITI ŽIVOTNE SREDINE</w:t>
      </w:r>
    </w:p>
    <w:p w:rsidR="006907EA" w:rsidRPr="00722DF4" w:rsidRDefault="006907EA" w:rsidP="00722DF4">
      <w:pPr>
        <w:spacing w:after="0"/>
        <w:ind w:right="-903"/>
        <w:jc w:val="both"/>
        <w:rPr>
          <w:rFonts w:ascii="Arial" w:hAnsi="Arial" w:cs="Arial"/>
          <w:noProof/>
          <w:color w:val="000000"/>
          <w:sz w:val="24"/>
          <w:szCs w:val="24"/>
          <w:lang w:val="hr-HR"/>
        </w:rPr>
      </w:pPr>
      <w:r w:rsidRPr="00722DF4">
        <w:rPr>
          <w:rFonts w:ascii="Arial" w:hAnsi="Arial" w:cs="Arial"/>
          <w:noProof/>
          <w:color w:val="000000"/>
          <w:sz w:val="24"/>
          <w:szCs w:val="24"/>
          <w:lang w:val="hr-HR"/>
        </w:rPr>
        <w:t>Ovaj aneks sadrži listu propisa Crne Gore (zakona i podzakonskih akata) o zaštiti životne sredine.</w:t>
      </w:r>
    </w:p>
    <w:tbl>
      <w:tblPr>
        <w:tblW w:w="981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37"/>
        <w:gridCol w:w="437"/>
        <w:gridCol w:w="8"/>
        <w:gridCol w:w="427"/>
        <w:gridCol w:w="423"/>
        <w:gridCol w:w="12"/>
        <w:gridCol w:w="3958"/>
        <w:gridCol w:w="2771"/>
        <w:gridCol w:w="1339"/>
      </w:tblGrid>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lang w:val="hr-HR"/>
              </w:rPr>
            </w:pPr>
          </w:p>
        </w:tc>
        <w:tc>
          <w:tcPr>
            <w:tcW w:w="5265" w:type="dxa"/>
            <w:gridSpan w:val="6"/>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color w:val="000000"/>
                <w:sz w:val="24"/>
                <w:szCs w:val="24"/>
                <w:u w:color="000000"/>
                <w:lang w:val="pt-PT"/>
              </w:rPr>
            </w:pP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lang w:val="sr-Latn-CS"/>
              </w:rPr>
            </w:pP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lang w:val="hr-HR"/>
              </w:rPr>
            </w:pPr>
          </w:p>
        </w:tc>
      </w:tr>
      <w:tr w:rsidR="006907EA" w:rsidRPr="00722DF4" w:rsidTr="006907EA">
        <w:trPr>
          <w:cantSplit/>
          <w:trHeight w:val="250"/>
        </w:trPr>
        <w:tc>
          <w:tcPr>
            <w:tcW w:w="9812" w:type="dxa"/>
            <w:gridSpan w:val="9"/>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B04E1D" w:rsidP="00722DF4">
            <w:pPr>
              <w:spacing w:after="0"/>
              <w:jc w:val="both"/>
              <w:rPr>
                <w:rFonts w:ascii="Arial" w:eastAsia="Arial Unicode MS" w:hAnsi="Arial" w:cs="Arial"/>
                <w:b/>
                <w:color w:val="365F91"/>
                <w:sz w:val="24"/>
                <w:szCs w:val="24"/>
              </w:rPr>
            </w:pPr>
            <w:r w:rsidRPr="00722DF4">
              <w:rPr>
                <w:rFonts w:ascii="Arial" w:eastAsia="Arial Unicode MS" w:hAnsi="Arial" w:cs="Arial"/>
                <w:b/>
                <w:color w:val="000000"/>
                <w:sz w:val="24"/>
                <w:szCs w:val="24"/>
              </w:rPr>
              <w:t xml:space="preserve">I </w:t>
            </w:r>
            <w:r w:rsidR="006907EA" w:rsidRPr="00722DF4">
              <w:rPr>
                <w:rFonts w:ascii="Arial" w:eastAsia="Arial Unicode MS" w:hAnsi="Arial" w:cs="Arial"/>
                <w:b/>
                <w:color w:val="000000"/>
                <w:sz w:val="24"/>
                <w:szCs w:val="24"/>
              </w:rPr>
              <w:t>HORIZONTALNI PROPISI</w:t>
            </w: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1</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b/>
                <w:noProof/>
                <w:sz w:val="24"/>
                <w:szCs w:val="24"/>
                <w:lang w:val="hr-HR"/>
              </w:rPr>
            </w:pPr>
            <w:r w:rsidRPr="00722DF4">
              <w:rPr>
                <w:rFonts w:ascii="Arial" w:hAnsi="Arial" w:cs="Arial"/>
                <w:b/>
                <w:noProof/>
                <w:sz w:val="24"/>
                <w:szCs w:val="24"/>
                <w:lang w:val="hr-HR"/>
              </w:rPr>
              <w:t>ZAKON O ŽIVOTNOJ SREDINI</w:t>
            </w:r>
          </w:p>
        </w:tc>
        <w:tc>
          <w:tcPr>
            <w:tcW w:w="27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”Sl. list CG”, br. 48/08, 40/10, 40/11,27/14</w:t>
            </w:r>
            <w:r w:rsidR="00303FC0" w:rsidRPr="00722DF4">
              <w:rPr>
                <w:rFonts w:ascii="Arial" w:hAnsi="Arial" w:cs="Arial"/>
                <w:noProof/>
                <w:sz w:val="24"/>
                <w:szCs w:val="24"/>
                <w:lang w:val="hr-HR"/>
              </w:rPr>
              <w:t xml:space="preserve">, </w:t>
            </w:r>
            <w:r w:rsidR="007F1D63" w:rsidRPr="00722DF4">
              <w:rPr>
                <w:rFonts w:ascii="Arial" w:hAnsi="Arial" w:cs="Arial"/>
                <w:noProof/>
                <w:sz w:val="24"/>
                <w:szCs w:val="24"/>
                <w:lang w:val="hr-HR"/>
              </w:rPr>
              <w:t>52/16</w:t>
            </w:r>
          </w:p>
        </w:tc>
        <w:tc>
          <w:tcPr>
            <w:tcW w:w="13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spacing w:after="0"/>
              <w:jc w:val="both"/>
              <w:rPr>
                <w:rFonts w:ascii="Arial"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2</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Uredba o nacionalnoj listi indikatora životne sredine</w:t>
            </w:r>
          </w:p>
        </w:tc>
        <w:tc>
          <w:tcPr>
            <w:tcW w:w="277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”Sl. list CG”, br. 19/13</w:t>
            </w:r>
          </w:p>
        </w:tc>
        <w:tc>
          <w:tcPr>
            <w:tcW w:w="133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6907EA" w:rsidRPr="00722DF4" w:rsidTr="006907EA">
        <w:trPr>
          <w:cantSplit/>
          <w:trHeight w:val="73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3</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b/>
                <w:noProof/>
                <w:sz w:val="24"/>
                <w:szCs w:val="24"/>
                <w:lang w:val="hr-HR"/>
              </w:rPr>
            </w:pPr>
            <w:r w:rsidRPr="00722DF4">
              <w:rPr>
                <w:rFonts w:ascii="Arial" w:hAnsi="Arial" w:cs="Arial"/>
                <w:b/>
                <w:noProof/>
                <w:sz w:val="24"/>
                <w:szCs w:val="24"/>
                <w:lang w:val="hr-HR"/>
              </w:rPr>
              <w:t>ZAKON O STRATEŠKOJ  PROCJENI UTICAJA  NA ŽIVOTNU SREDINU</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color w:val="auto"/>
                <w:sz w:val="24"/>
                <w:szCs w:val="24"/>
                <w:lang w:val="hr-HR"/>
              </w:rPr>
            </w:pPr>
            <w:r w:rsidRPr="00722DF4">
              <w:rPr>
                <w:rFonts w:ascii="Arial" w:hAnsi="Arial" w:cs="Arial"/>
                <w:noProof/>
                <w:color w:val="auto"/>
                <w:sz w:val="24"/>
                <w:szCs w:val="24"/>
                <w:lang w:val="hr-HR"/>
              </w:rPr>
              <w:t xml:space="preserve"> "Sl. list RCG", br. 80/05, "Sl. list CG", br. 40/11, 59/11</w:t>
            </w:r>
            <w:r w:rsidR="007F1D63" w:rsidRPr="00722DF4">
              <w:rPr>
                <w:rFonts w:ascii="Arial" w:hAnsi="Arial" w:cs="Arial"/>
                <w:noProof/>
                <w:color w:val="auto"/>
                <w:sz w:val="24"/>
                <w:szCs w:val="24"/>
                <w:lang w:val="hr-HR"/>
              </w:rPr>
              <w:t>, 52/16</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noProof/>
                <w:sz w:val="24"/>
                <w:szCs w:val="24"/>
                <w:lang w:val="hr-HR"/>
              </w:rPr>
            </w:pPr>
          </w:p>
        </w:tc>
      </w:tr>
      <w:tr w:rsidR="006907EA" w:rsidRPr="00722DF4" w:rsidTr="006907EA">
        <w:trPr>
          <w:cantSplit/>
          <w:trHeight w:val="878"/>
        </w:trPr>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4</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b/>
                <w:noProof/>
                <w:sz w:val="24"/>
                <w:szCs w:val="24"/>
                <w:lang w:val="hr-HR"/>
              </w:rPr>
            </w:pPr>
            <w:r w:rsidRPr="00722DF4">
              <w:rPr>
                <w:rFonts w:ascii="Arial" w:hAnsi="Arial" w:cs="Arial"/>
                <w:b/>
                <w:noProof/>
                <w:sz w:val="24"/>
                <w:szCs w:val="24"/>
                <w:lang w:val="hr-HR"/>
              </w:rPr>
              <w:t>ZAKON O PROCJENI UTICAJA NA ŽIVOTNU SREDINU</w:t>
            </w:r>
          </w:p>
        </w:tc>
        <w:tc>
          <w:tcPr>
            <w:tcW w:w="277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color w:val="auto"/>
                <w:sz w:val="24"/>
                <w:szCs w:val="24"/>
                <w:lang w:val="hr-HR"/>
              </w:rPr>
            </w:pPr>
            <w:r w:rsidRPr="00722DF4">
              <w:rPr>
                <w:rFonts w:ascii="Arial" w:hAnsi="Arial" w:cs="Arial"/>
                <w:noProof/>
                <w:color w:val="auto"/>
                <w:sz w:val="24"/>
                <w:szCs w:val="24"/>
                <w:lang w:val="hr-HR"/>
              </w:rPr>
              <w:t>"Sl. list RCG", br. 80/05, "Sl. list CG", br. 40/10, 73/10, 40/11, 27/13</w:t>
            </w:r>
            <w:r w:rsidR="007F1D63" w:rsidRPr="00722DF4">
              <w:rPr>
                <w:rFonts w:ascii="Arial" w:hAnsi="Arial" w:cs="Arial"/>
                <w:noProof/>
                <w:color w:val="auto"/>
                <w:sz w:val="24"/>
                <w:szCs w:val="24"/>
                <w:lang w:val="hr-HR"/>
              </w:rPr>
              <w:t>, 52/16</w:t>
            </w:r>
            <w:r w:rsidRPr="00722DF4">
              <w:rPr>
                <w:rFonts w:ascii="Arial" w:hAnsi="Arial" w:cs="Arial"/>
                <w:noProof/>
                <w:color w:val="auto"/>
                <w:sz w:val="24"/>
                <w:szCs w:val="24"/>
                <w:lang w:val="hr-HR"/>
              </w:rPr>
              <w:t>)</w:t>
            </w:r>
          </w:p>
        </w:tc>
        <w:tc>
          <w:tcPr>
            <w:tcW w:w="133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6907EA" w:rsidRPr="00722DF4" w:rsidTr="006907EA">
        <w:trPr>
          <w:cantSplit/>
          <w:trHeight w:val="588"/>
        </w:trPr>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5</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Uredba o projektima za koje se vrši procjena uticaja na životnu sredinu</w:t>
            </w:r>
          </w:p>
        </w:tc>
        <w:tc>
          <w:tcPr>
            <w:tcW w:w="27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color w:val="auto"/>
                <w:sz w:val="24"/>
                <w:szCs w:val="24"/>
                <w:lang w:val="hr-HR"/>
              </w:rPr>
            </w:pPr>
            <w:r w:rsidRPr="00722DF4">
              <w:rPr>
                <w:rFonts w:ascii="Arial" w:hAnsi="Arial" w:cs="Arial"/>
                <w:noProof/>
                <w:color w:val="auto"/>
                <w:sz w:val="24"/>
                <w:szCs w:val="24"/>
                <w:lang w:val="hr-HR"/>
              </w:rPr>
              <w:t>"Sl. list RCG", br. 20/07, "Sl. list CG", br. 47/13, 53/14</w:t>
            </w:r>
          </w:p>
        </w:tc>
        <w:tc>
          <w:tcPr>
            <w:tcW w:w="13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6</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Pravilnik o sadržaju dokumentacije koja se podnosi uz zahtjev za odlučivanje o potrebi procjene uticaja na životnu sredinu</w:t>
            </w:r>
          </w:p>
        </w:tc>
        <w:tc>
          <w:tcPr>
            <w:tcW w:w="277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”Sl. list CG”, br. 14/07</w:t>
            </w:r>
          </w:p>
        </w:tc>
        <w:tc>
          <w:tcPr>
            <w:tcW w:w="133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6907EA" w:rsidRPr="00722DF4" w:rsidTr="006907EA">
        <w:trPr>
          <w:cantSplit/>
          <w:trHeight w:val="730"/>
        </w:trPr>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7</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Pravilnik o sadržaju dokumentacije koja se podnosi uz zahtjev za određivanje obima i sadržaja elaborata o projeni uticaja na životnu sredinu</w:t>
            </w:r>
          </w:p>
        </w:tc>
        <w:tc>
          <w:tcPr>
            <w:tcW w:w="27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”Sl. list CG”, br. 14/07</w:t>
            </w:r>
          </w:p>
        </w:tc>
        <w:tc>
          <w:tcPr>
            <w:tcW w:w="13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6907EA" w:rsidRPr="00722DF4" w:rsidTr="006907EA">
        <w:trPr>
          <w:cantSplit/>
          <w:trHeight w:val="730"/>
        </w:trPr>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8</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Pravilnik o sadržini elaborata o procjeni uticaja na životnu sredinu</w:t>
            </w:r>
          </w:p>
          <w:p w:rsidR="006907EA" w:rsidRPr="00722DF4" w:rsidRDefault="006907EA" w:rsidP="00722DF4">
            <w:pPr>
              <w:spacing w:after="0"/>
              <w:jc w:val="both"/>
              <w:rPr>
                <w:rFonts w:ascii="Arial" w:hAnsi="Arial" w:cs="Arial"/>
                <w:noProof/>
                <w:sz w:val="24"/>
                <w:szCs w:val="24"/>
                <w:lang w:val="hr-HR"/>
              </w:rPr>
            </w:pPr>
          </w:p>
        </w:tc>
        <w:tc>
          <w:tcPr>
            <w:tcW w:w="277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”Sl. list CG”, br. 14/07</w:t>
            </w:r>
          </w:p>
        </w:tc>
        <w:tc>
          <w:tcPr>
            <w:tcW w:w="133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noProof/>
                <w:sz w:val="24"/>
                <w:szCs w:val="24"/>
                <w:lang w:val="hr-HR"/>
              </w:rPr>
            </w:pP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Body"/>
              <w:spacing w:line="276" w:lineRule="auto"/>
              <w:jc w:val="both"/>
              <w:rPr>
                <w:rFonts w:ascii="Arial" w:hAnsi="Arial" w:cs="Arial"/>
                <w:noProof/>
                <w:lang w:val="hr-HR"/>
              </w:rPr>
            </w:pPr>
            <w:r w:rsidRPr="00722DF4">
              <w:rPr>
                <w:rFonts w:ascii="Arial" w:hAnsi="Arial" w:cs="Arial"/>
                <w:noProof/>
                <w:lang w:val="hr-HR"/>
              </w:rPr>
              <w:t>9</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Pravilnik o sadržaju, obliku i načinu vođenja javne knjige o postupcima i odlukama o procjeni uticaja na životnu sredinu</w:t>
            </w:r>
          </w:p>
        </w:tc>
        <w:tc>
          <w:tcPr>
            <w:tcW w:w="27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”Sl. list CG”, br. 14/07</w:t>
            </w:r>
          </w:p>
        </w:tc>
        <w:tc>
          <w:tcPr>
            <w:tcW w:w="13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noProof/>
                <w:sz w:val="24"/>
                <w:szCs w:val="24"/>
                <w:lang w:val="hr-HR"/>
              </w:rPr>
            </w:pPr>
            <w:r w:rsidRPr="00722DF4">
              <w:rPr>
                <w:rFonts w:ascii="Arial" w:hAnsi="Arial" w:cs="Arial"/>
                <w:noProof/>
                <w:sz w:val="24"/>
                <w:szCs w:val="24"/>
                <w:lang w:val="hr-HR"/>
              </w:rPr>
              <w:t>1</w:t>
            </w:r>
            <w:r w:rsidR="00EF6256" w:rsidRPr="00722DF4">
              <w:rPr>
                <w:rFonts w:ascii="Arial" w:hAnsi="Arial" w:cs="Arial"/>
                <w:noProof/>
                <w:sz w:val="24"/>
                <w:szCs w:val="24"/>
                <w:lang w:val="hr-HR"/>
              </w:rPr>
              <w:t>0</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b/>
                <w:noProof/>
                <w:sz w:val="24"/>
                <w:szCs w:val="24"/>
                <w:lang w:val="hr-HR"/>
              </w:rPr>
            </w:pPr>
            <w:r w:rsidRPr="00722DF4">
              <w:rPr>
                <w:rFonts w:ascii="Arial" w:hAnsi="Arial" w:cs="Arial"/>
                <w:b/>
                <w:noProof/>
                <w:sz w:val="24"/>
                <w:szCs w:val="24"/>
                <w:lang w:val="hr-HR"/>
              </w:rPr>
              <w:t>ZAKON O ODGOVORNOSTI ZA ŠTETU U ŽIVOTNOJ SREDINI</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”Sl. list CG”, br. 27/14</w:t>
            </w:r>
            <w:r w:rsidR="008E5430" w:rsidRPr="00722DF4">
              <w:rPr>
                <w:rFonts w:ascii="Arial" w:hAnsi="Arial" w:cs="Arial"/>
                <w:noProof/>
                <w:sz w:val="24"/>
                <w:szCs w:val="24"/>
                <w:lang w:val="hr-HR"/>
              </w:rPr>
              <w:t>, 55/16</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723040"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723040" w:rsidRPr="00722DF4" w:rsidRDefault="00723040" w:rsidP="00722DF4">
            <w:pPr>
              <w:spacing w:after="0"/>
              <w:jc w:val="both"/>
              <w:rPr>
                <w:rFonts w:ascii="Arial" w:hAnsi="Arial" w:cs="Arial"/>
                <w:noProof/>
                <w:sz w:val="24"/>
                <w:szCs w:val="24"/>
                <w:lang w:val="hr-HR"/>
              </w:rPr>
            </w:pPr>
            <w:r w:rsidRPr="00722DF4">
              <w:rPr>
                <w:rFonts w:ascii="Arial" w:hAnsi="Arial" w:cs="Arial"/>
                <w:noProof/>
                <w:sz w:val="24"/>
                <w:szCs w:val="24"/>
                <w:lang w:val="hr-HR"/>
              </w:rPr>
              <w:t>11</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723040" w:rsidRPr="00722DF4" w:rsidRDefault="00723040" w:rsidP="00722DF4">
            <w:pPr>
              <w:pStyle w:val="TableStyle2"/>
              <w:spacing w:line="276" w:lineRule="auto"/>
              <w:jc w:val="both"/>
              <w:rPr>
                <w:rFonts w:ascii="Arial" w:hAnsi="Arial" w:cs="Arial"/>
                <w:b/>
                <w:noProof/>
                <w:sz w:val="24"/>
                <w:szCs w:val="24"/>
                <w:lang w:val="hr-HR"/>
              </w:rPr>
            </w:pPr>
            <w:r w:rsidRPr="00722DF4">
              <w:rPr>
                <w:rFonts w:ascii="Arial" w:hAnsi="Arial" w:cs="Arial"/>
                <w:b/>
                <w:noProof/>
                <w:sz w:val="24"/>
                <w:szCs w:val="24"/>
                <w:lang w:val="hr-HR"/>
              </w:rPr>
              <w:t>ZAKON O SLOBODNOM PRISTUPU INFORMACIJAMA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723040" w:rsidRPr="00722DF4" w:rsidRDefault="00723040" w:rsidP="00722DF4">
            <w:pPr>
              <w:pStyle w:val="TableStyle2"/>
              <w:spacing w:line="276" w:lineRule="auto"/>
              <w:jc w:val="both"/>
              <w:rPr>
                <w:rFonts w:ascii="Arial" w:hAnsi="Arial" w:cs="Arial"/>
                <w:noProof/>
                <w:sz w:val="24"/>
                <w:szCs w:val="24"/>
                <w:lang w:val="hr-HR"/>
              </w:rPr>
            </w:pPr>
            <w:r w:rsidRPr="00722DF4">
              <w:rPr>
                <w:rFonts w:ascii="Arial" w:hAnsi="Arial" w:cs="Arial"/>
                <w:noProof/>
                <w:sz w:val="24"/>
                <w:szCs w:val="24"/>
                <w:lang w:val="hr-HR"/>
              </w:rPr>
              <w:t>”Sl. list CG”, br. 44/12</w:t>
            </w:r>
            <w:r w:rsidR="007F1D63" w:rsidRPr="00722DF4">
              <w:rPr>
                <w:rFonts w:ascii="Arial" w:hAnsi="Arial" w:cs="Arial"/>
                <w:noProof/>
                <w:sz w:val="24"/>
                <w:szCs w:val="24"/>
                <w:lang w:val="hr-HR"/>
              </w:rPr>
              <w:t>, 30/17</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723040" w:rsidRPr="00722DF4" w:rsidRDefault="00723040" w:rsidP="00722DF4">
            <w:pPr>
              <w:spacing w:after="0"/>
              <w:jc w:val="both"/>
              <w:rPr>
                <w:rFonts w:ascii="Arial"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spacing w:after="0"/>
              <w:jc w:val="both"/>
              <w:rPr>
                <w:rFonts w:ascii="Arial" w:hAnsi="Arial" w:cs="Arial"/>
                <w:noProof/>
                <w:sz w:val="24"/>
                <w:szCs w:val="24"/>
                <w:lang w:val="hr-HR"/>
              </w:rPr>
            </w:pPr>
            <w:r w:rsidRPr="00722DF4">
              <w:rPr>
                <w:rFonts w:ascii="Arial" w:hAnsi="Arial" w:cs="Arial"/>
                <w:noProof/>
                <w:sz w:val="24"/>
                <w:szCs w:val="24"/>
                <w:lang w:val="hr-HR"/>
              </w:rPr>
              <w:t>1</w:t>
            </w:r>
            <w:r w:rsidR="00723040" w:rsidRPr="00722DF4">
              <w:rPr>
                <w:rFonts w:ascii="Arial" w:hAnsi="Arial" w:cs="Arial"/>
                <w:noProof/>
                <w:sz w:val="24"/>
                <w:szCs w:val="24"/>
                <w:lang w:val="hr-HR"/>
              </w:rPr>
              <w:t>2</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b/>
                <w:noProof/>
                <w:sz w:val="24"/>
                <w:szCs w:val="24"/>
                <w:lang w:val="hr-HR"/>
              </w:rPr>
            </w:pPr>
            <w:r w:rsidRPr="00722DF4">
              <w:rPr>
                <w:rFonts w:ascii="Arial" w:hAnsi="Arial" w:cs="Arial"/>
                <w:b/>
                <w:noProof/>
                <w:sz w:val="24"/>
                <w:szCs w:val="24"/>
                <w:lang w:val="hr-HR"/>
              </w:rPr>
              <w:t xml:space="preserve">KRIVIČNI ZAKONIK CRNE GORE </w:t>
            </w:r>
          </w:p>
        </w:tc>
        <w:tc>
          <w:tcPr>
            <w:tcW w:w="277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noProof/>
                <w:color w:val="auto"/>
                <w:sz w:val="24"/>
                <w:szCs w:val="24"/>
                <w:lang w:val="hr-HR"/>
              </w:rPr>
            </w:pPr>
            <w:r w:rsidRPr="00722DF4">
              <w:rPr>
                <w:rFonts w:ascii="Arial" w:hAnsi="Arial" w:cs="Arial"/>
                <w:noProof/>
                <w:color w:val="auto"/>
                <w:sz w:val="24"/>
                <w:szCs w:val="24"/>
                <w:lang w:val="hr-HR"/>
              </w:rPr>
              <w:t xml:space="preserve"> "Sl. list RCG", br. 70/03, 13/04, 47/06, "Sl. list CG", br. 40/08, 25/10, 32/11, 64/11, 40/13, 56/13, 42/15, 58/15</w:t>
            </w:r>
          </w:p>
        </w:tc>
        <w:tc>
          <w:tcPr>
            <w:tcW w:w="133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noProof/>
                <w:sz w:val="24"/>
                <w:szCs w:val="24"/>
                <w:lang w:val="hr-HR"/>
              </w:rPr>
            </w:pPr>
          </w:p>
        </w:tc>
      </w:tr>
      <w:tr w:rsidR="006907EA" w:rsidRPr="00722DF4" w:rsidTr="006907EA">
        <w:trPr>
          <w:cantSplit/>
          <w:trHeight w:val="250"/>
        </w:trPr>
        <w:tc>
          <w:tcPr>
            <w:tcW w:w="9812" w:type="dxa"/>
            <w:gridSpan w:val="9"/>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B04E1D" w:rsidP="00722DF4">
            <w:pPr>
              <w:spacing w:after="0"/>
              <w:jc w:val="both"/>
              <w:rPr>
                <w:rFonts w:ascii="Arial" w:eastAsia="Arial Unicode MS" w:hAnsi="Arial" w:cs="Arial"/>
                <w:b/>
                <w:color w:val="365F91"/>
                <w:sz w:val="24"/>
                <w:szCs w:val="24"/>
              </w:rPr>
            </w:pPr>
            <w:r w:rsidRPr="00722DF4">
              <w:rPr>
                <w:rFonts w:ascii="Arial" w:eastAsia="Arial Unicode MS" w:hAnsi="Arial" w:cs="Arial"/>
                <w:b/>
                <w:color w:val="000000"/>
                <w:sz w:val="24"/>
                <w:szCs w:val="24"/>
                <w:u w:color="000000"/>
                <w:lang w:val="pt-PT"/>
              </w:rPr>
              <w:t xml:space="preserve">II </w:t>
            </w:r>
            <w:r w:rsidR="006907EA" w:rsidRPr="00722DF4">
              <w:rPr>
                <w:rFonts w:ascii="Arial" w:eastAsia="Arial Unicode MS" w:hAnsi="Arial" w:cs="Arial"/>
                <w:b/>
                <w:color w:val="000000"/>
                <w:sz w:val="24"/>
                <w:szCs w:val="24"/>
                <w:u w:color="000000"/>
                <w:lang w:val="pt-PT"/>
              </w:rPr>
              <w:t>KVALITET AMBIJENTALNOG VAZDUHA</w:t>
            </w: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1</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b/>
                <w:color w:val="000000"/>
                <w:sz w:val="24"/>
                <w:szCs w:val="24"/>
                <w:u w:color="000000"/>
              </w:rPr>
            </w:pPr>
            <w:r w:rsidRPr="00722DF4">
              <w:rPr>
                <w:rFonts w:ascii="Arial" w:eastAsia="Arial Unicode MS" w:hAnsi="Arial" w:cs="Arial"/>
                <w:b/>
                <w:color w:val="000000"/>
                <w:sz w:val="24"/>
                <w:szCs w:val="24"/>
                <w:u w:color="000000"/>
                <w:lang w:val="pt-PT"/>
              </w:rPr>
              <w:t>ZAKON O ZA</w:t>
            </w:r>
            <w:r w:rsidRPr="00722DF4">
              <w:rPr>
                <w:rFonts w:ascii="Arial" w:eastAsia="Arial Unicode MS" w:hAnsi="Arial" w:cs="Arial"/>
                <w:b/>
                <w:color w:val="000000"/>
                <w:sz w:val="24"/>
                <w:szCs w:val="24"/>
                <w:u w:color="000000"/>
              </w:rPr>
              <w:t>ŠTITI VAZDUHA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”Sl. list CG”, br. 25/10, 43/15</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2</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Uredba o utvrđivanju vrsta zagađujućih materija, graničnih vrijednosti i drugih standarda kvaliteta vazduha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”Sl. list CG”, br. 25/12</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3</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Uredba o maksimalnim nacionalnim emisijama odredjenih zagadjujućih materija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”Sl. list CG”, br. 3/12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31"/>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4</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Uredba  o uspostavljanju mreže mjernih mjesta za praćenje kvaliteta vazduha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hAnsi="Arial" w:cs="Arial"/>
                <w:sz w:val="24"/>
                <w:szCs w:val="24"/>
                <w:lang w:val="sr-Latn-CS"/>
              </w:rPr>
            </w:pPr>
            <w:r w:rsidRPr="00722DF4">
              <w:rPr>
                <w:rFonts w:ascii="Arial" w:hAnsi="Arial" w:cs="Arial"/>
                <w:sz w:val="24"/>
                <w:szCs w:val="24"/>
                <w:lang w:val="sr-Latn-CS"/>
              </w:rPr>
              <w:t>”Sl. list CG”, br. 44/10 i  13/11</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5</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hideMark/>
          </w:tcPr>
          <w:p w:rsidR="006907EA" w:rsidRPr="00722DF4" w:rsidRDefault="006907EA" w:rsidP="00722DF4">
            <w:pPr>
              <w:spacing w:after="0"/>
              <w:jc w:val="both"/>
              <w:rPr>
                <w:rFonts w:ascii="Arial" w:hAnsi="Arial" w:cs="Arial"/>
                <w:sz w:val="24"/>
                <w:szCs w:val="24"/>
                <w:lang w:val="sr-Latn-CS"/>
              </w:rPr>
            </w:pPr>
            <w:r w:rsidRPr="00722DF4">
              <w:rPr>
                <w:rFonts w:ascii="Arial" w:hAnsi="Arial" w:cs="Arial"/>
                <w:sz w:val="24"/>
                <w:szCs w:val="24"/>
                <w:lang w:val="sr-Latn-CS"/>
              </w:rPr>
              <w:t>Uredbu o graničnim vrijednostima sadržaja zagađujućih materija u tečnim gorivima naftnog porijekla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”Sl. list CG”, br. 39/10</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6</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rsidR="006907EA" w:rsidRPr="00722DF4" w:rsidRDefault="006907EA" w:rsidP="00722DF4">
            <w:pPr>
              <w:spacing w:after="0"/>
              <w:ind w:right="4"/>
              <w:jc w:val="both"/>
              <w:rPr>
                <w:rFonts w:ascii="Arial" w:eastAsia="Arial Unicode MS" w:hAnsi="Arial" w:cs="Arial"/>
                <w:color w:val="000000"/>
                <w:sz w:val="24"/>
                <w:szCs w:val="24"/>
                <w:u w:color="000000"/>
              </w:rPr>
            </w:pPr>
            <w:r w:rsidRPr="00722DF4">
              <w:rPr>
                <w:rFonts w:ascii="Arial" w:hAnsi="Arial" w:cs="Arial"/>
                <w:sz w:val="24"/>
                <w:szCs w:val="24"/>
                <w:lang w:val="sr-Latn-CS"/>
              </w:rPr>
              <w:t xml:space="preserve">Uredba o graničnim vrijednostima emisija zagađujućih materija u vazduh iz stacionarnih izvora </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”Sl. list CG” br. 10/11</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7</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hideMark/>
          </w:tcPr>
          <w:p w:rsidR="006907EA" w:rsidRPr="00722DF4" w:rsidRDefault="006907EA" w:rsidP="00722DF4">
            <w:pPr>
              <w:spacing w:after="0"/>
              <w:jc w:val="both"/>
              <w:rPr>
                <w:rFonts w:ascii="Arial" w:hAnsi="Arial" w:cs="Arial"/>
                <w:sz w:val="24"/>
                <w:szCs w:val="24"/>
                <w:lang w:val="sr-Latn-BA"/>
              </w:rPr>
            </w:pPr>
            <w:r w:rsidRPr="00722DF4">
              <w:rPr>
                <w:rFonts w:ascii="Arial" w:hAnsi="Arial" w:cs="Arial"/>
                <w:color w:val="000000"/>
                <w:sz w:val="24"/>
                <w:szCs w:val="24"/>
                <w:lang w:val="sr-Latn-CS"/>
              </w:rPr>
              <w:t>Uredba o djelatnostima koje utiču ili mogu uticati na kvalitet vazduha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bCs/>
                <w:color w:val="000000"/>
                <w:sz w:val="24"/>
                <w:szCs w:val="24"/>
                <w:lang w:val="sr-Latn-CS"/>
              </w:rPr>
              <w:t>”Sl. list CG”, br. 61/12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306"/>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8</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rsidR="006907EA" w:rsidRPr="00722DF4" w:rsidRDefault="006907EA" w:rsidP="00722DF4">
            <w:pPr>
              <w:spacing w:after="0"/>
              <w:ind w:right="4"/>
              <w:jc w:val="both"/>
              <w:rPr>
                <w:rFonts w:ascii="Arial" w:hAnsi="Arial" w:cs="Arial"/>
                <w:sz w:val="24"/>
                <w:szCs w:val="24"/>
                <w:lang w:val="sr-Latn-CS"/>
              </w:rPr>
            </w:pPr>
            <w:r w:rsidRPr="00722DF4">
              <w:rPr>
                <w:rFonts w:ascii="Arial" w:hAnsi="Arial" w:cs="Arial"/>
                <w:sz w:val="24"/>
                <w:szCs w:val="24"/>
                <w:lang w:val="sr-Latn-CS"/>
              </w:rPr>
              <w:t>Pravilnik o na</w:t>
            </w:r>
            <w:r w:rsidRPr="00722DF4">
              <w:rPr>
                <w:rFonts w:ascii="Arial" w:hAnsi="Arial" w:cs="Arial"/>
                <w:sz w:val="24"/>
                <w:szCs w:val="24"/>
                <w:lang w:val="uz-Cyrl-UZ"/>
              </w:rPr>
              <w:t xml:space="preserve">činu i uslovima praćenja kvaliteta vazduha </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”Sl. list CG”, br. 21/11</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362"/>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9</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widowControl w:val="0"/>
              <w:autoSpaceDE w:val="0"/>
              <w:autoSpaceDN w:val="0"/>
              <w:adjustRightInd w:val="0"/>
              <w:spacing w:after="0"/>
              <w:jc w:val="both"/>
              <w:rPr>
                <w:rFonts w:ascii="Arial" w:hAnsi="Arial" w:cs="Arial"/>
                <w:sz w:val="24"/>
                <w:szCs w:val="24"/>
                <w:lang w:val="sl-SI"/>
              </w:rPr>
            </w:pPr>
            <w:r w:rsidRPr="00722DF4">
              <w:rPr>
                <w:rFonts w:ascii="Arial" w:hAnsi="Arial" w:cs="Arial"/>
                <w:bCs/>
                <w:color w:val="000000"/>
                <w:sz w:val="24"/>
                <w:szCs w:val="24"/>
                <w:lang w:val="sr-Latn-CS"/>
              </w:rPr>
              <w:t>Pravilniko sadržaju i načinu izrade godišnje informacije o kvalitetu vazduha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bCs/>
                <w:color w:val="000000"/>
                <w:sz w:val="24"/>
                <w:szCs w:val="24"/>
                <w:lang w:val="sr-Latn-CS"/>
              </w:rPr>
              <w:t>”Sl. list CG”, br. 27/12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487"/>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10</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widowControl w:val="0"/>
              <w:autoSpaceDE w:val="0"/>
              <w:autoSpaceDN w:val="0"/>
              <w:adjustRightInd w:val="0"/>
              <w:spacing w:after="0"/>
              <w:jc w:val="both"/>
              <w:rPr>
                <w:rFonts w:ascii="Arial" w:hAnsi="Arial" w:cs="Arial"/>
                <w:sz w:val="24"/>
                <w:szCs w:val="24"/>
                <w:lang w:val="sl-SI"/>
              </w:rPr>
            </w:pPr>
            <w:r w:rsidRPr="00722DF4">
              <w:rPr>
                <w:rFonts w:ascii="Arial" w:hAnsi="Arial" w:cs="Arial"/>
                <w:sz w:val="24"/>
                <w:szCs w:val="24"/>
                <w:lang w:val="sl-SI"/>
              </w:rPr>
              <w:t xml:space="preserve">Pravilnik o bližem načinu i potrebnoj dokumentaciji za izdavanje dozvole o dozvoljenim emisijama zagađujućih materija u vazduh </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bCs/>
                <w:color w:val="000000"/>
                <w:sz w:val="24"/>
                <w:szCs w:val="24"/>
                <w:lang w:val="sr-Latn-CS"/>
              </w:rPr>
              <w:t>”Sl. list CG”, br. 25/13, 61/13</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31"/>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11</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autoSpaceDE w:val="0"/>
              <w:autoSpaceDN w:val="0"/>
              <w:adjustRightInd w:val="0"/>
              <w:spacing w:after="0"/>
              <w:jc w:val="both"/>
              <w:rPr>
                <w:rFonts w:ascii="Arial" w:hAnsi="Arial" w:cs="Arial"/>
                <w:sz w:val="24"/>
                <w:szCs w:val="24"/>
                <w:lang w:val="sl-SI"/>
              </w:rPr>
            </w:pPr>
            <w:r w:rsidRPr="00722DF4">
              <w:rPr>
                <w:rFonts w:ascii="Arial" w:hAnsi="Arial" w:cs="Arial"/>
                <w:sz w:val="24"/>
                <w:szCs w:val="24"/>
                <w:lang w:val="sl-SI"/>
              </w:rPr>
              <w:t xml:space="preserve">Pravilnik o načinu i postupku mjerenja emisija iz stacionarnih izvora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bCs/>
                <w:color w:val="000000"/>
                <w:sz w:val="24"/>
                <w:szCs w:val="24"/>
                <w:lang w:val="sr-Latn-CS"/>
              </w:rPr>
              <w:t>”Sl. list CG", br. 39/13</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12</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lang w:val="sl-SI"/>
              </w:rPr>
            </w:pPr>
            <w:r w:rsidRPr="00722DF4">
              <w:rPr>
                <w:rFonts w:ascii="Arial" w:hAnsi="Arial" w:cs="Arial"/>
                <w:sz w:val="24"/>
                <w:szCs w:val="24"/>
                <w:lang w:val="sl-SI"/>
              </w:rPr>
              <w:t xml:space="preserve">Pravilnik o tehničkim standardima zaštite vazduha od emisija isparljivih organskih jedinjenja koje nastaju skladištenjem, pretakanjem i distribucijom motornih benzina </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l-SI"/>
              </w:rPr>
              <w:t>”Sl. list CG”, br. 7/14</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49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13</w:t>
            </w:r>
          </w:p>
        </w:tc>
        <w:tc>
          <w:tcPr>
            <w:tcW w:w="4820"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lang w:val="sl-SI"/>
              </w:rPr>
            </w:pPr>
            <w:r w:rsidRPr="00722DF4">
              <w:rPr>
                <w:rFonts w:ascii="Arial" w:hAnsi="Arial" w:cs="Arial"/>
                <w:sz w:val="24"/>
                <w:szCs w:val="24"/>
                <w:lang w:val="sl-SI"/>
              </w:rPr>
              <w:t xml:space="preserve">Pravilnik o popisu gasova i načinu izrade inventara emisije gasova sa efektom staklene bašte i razmjeni informacija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l-SI"/>
              </w:rPr>
              <w:t>”Sl. list CG”, br. 39/14</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250"/>
        </w:trPr>
        <w:tc>
          <w:tcPr>
            <w:tcW w:w="9812" w:type="dxa"/>
            <w:gridSpan w:val="9"/>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B04E1D" w:rsidP="00722DF4">
            <w:pPr>
              <w:spacing w:after="0"/>
              <w:jc w:val="both"/>
              <w:rPr>
                <w:rFonts w:ascii="Arial" w:eastAsia="Arial Unicode MS" w:hAnsi="Arial" w:cs="Arial"/>
                <w:b/>
                <w:color w:val="365F91"/>
                <w:sz w:val="24"/>
                <w:szCs w:val="24"/>
              </w:rPr>
            </w:pPr>
            <w:r w:rsidRPr="00722DF4">
              <w:rPr>
                <w:rFonts w:ascii="Arial" w:eastAsia="Arial Unicode MS" w:hAnsi="Arial" w:cs="Arial"/>
                <w:b/>
                <w:color w:val="000000"/>
                <w:sz w:val="24"/>
                <w:szCs w:val="24"/>
              </w:rPr>
              <w:t xml:space="preserve">III </w:t>
            </w:r>
            <w:r w:rsidR="002E0DE3" w:rsidRPr="00722DF4">
              <w:rPr>
                <w:rFonts w:ascii="Arial" w:eastAsia="Arial Unicode MS" w:hAnsi="Arial" w:cs="Arial"/>
                <w:b/>
                <w:color w:val="000000"/>
                <w:sz w:val="24"/>
                <w:szCs w:val="24"/>
              </w:rPr>
              <w:t>KLIMATSKE PROMJENE</w:t>
            </w: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1</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b/>
                <w:color w:val="000000"/>
                <w:sz w:val="24"/>
                <w:szCs w:val="24"/>
                <w:u w:color="000000"/>
              </w:rPr>
            </w:pPr>
            <w:r w:rsidRPr="00722DF4">
              <w:rPr>
                <w:rFonts w:ascii="Arial" w:eastAsia="Arial Unicode MS" w:hAnsi="Arial" w:cs="Arial"/>
                <w:b/>
                <w:color w:val="000000"/>
                <w:sz w:val="24"/>
                <w:szCs w:val="24"/>
                <w:u w:color="000000"/>
                <w:lang w:val="pt-PT"/>
              </w:rPr>
              <w:t>ZAKON O ZA</w:t>
            </w:r>
            <w:r w:rsidRPr="00722DF4">
              <w:rPr>
                <w:rFonts w:ascii="Arial" w:eastAsia="Arial Unicode MS" w:hAnsi="Arial" w:cs="Arial"/>
                <w:b/>
                <w:color w:val="000000"/>
                <w:sz w:val="24"/>
                <w:szCs w:val="24"/>
                <w:u w:color="000000"/>
              </w:rPr>
              <w:t>ŠTITI VAZDUHA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3069F7"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"Sl. list C G", br 25/10, 43/15</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2</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rsidR="006907EA" w:rsidRPr="00722DF4" w:rsidRDefault="006907EA" w:rsidP="00722DF4">
            <w:pPr>
              <w:spacing w:after="0"/>
              <w:jc w:val="both"/>
              <w:rPr>
                <w:rFonts w:ascii="Arial" w:eastAsia="Arial Unicode MS" w:hAnsi="Arial" w:cs="Arial"/>
                <w:color w:val="000000"/>
                <w:sz w:val="24"/>
                <w:szCs w:val="24"/>
                <w:u w:color="000000"/>
                <w:lang w:val="it-IT"/>
              </w:rPr>
            </w:pPr>
            <w:r w:rsidRPr="00722DF4">
              <w:rPr>
                <w:rFonts w:ascii="Arial" w:hAnsi="Arial" w:cs="Arial"/>
                <w:sz w:val="24"/>
                <w:szCs w:val="24"/>
                <w:lang w:val="sr-Latn-BA"/>
              </w:rPr>
              <w:t xml:space="preserve">Uredba o supstancama koje oštećuju ozonski omotač i alternativnim supstancama </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"Sl. list CG", br. 05/11</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3</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lang w:val="sr-Latn-BA"/>
              </w:rPr>
            </w:pPr>
            <w:r w:rsidRPr="00722DF4">
              <w:rPr>
                <w:rFonts w:ascii="Arial" w:hAnsi="Arial" w:cs="Arial"/>
                <w:sz w:val="24"/>
                <w:szCs w:val="24"/>
                <w:lang w:val="sr-Latn-BA"/>
              </w:rPr>
              <w:t xml:space="preserve">Uredba o graničnim vrijednostima sadržaja zagađujućih materija u tečnim gorivima naftnog porijekla </w:t>
            </w:r>
          </w:p>
        </w:tc>
        <w:tc>
          <w:tcPr>
            <w:tcW w:w="277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lang w:val="sr-Latn-CS"/>
              </w:rPr>
            </w:pPr>
            <w:r w:rsidRPr="00722DF4">
              <w:rPr>
                <w:rFonts w:ascii="Arial" w:hAnsi="Arial" w:cs="Arial"/>
                <w:sz w:val="24"/>
                <w:szCs w:val="24"/>
                <w:lang w:val="sr-Latn-BA"/>
              </w:rPr>
              <w:t>"Sl. list CG", br. 39/10</w:t>
            </w:r>
          </w:p>
        </w:tc>
        <w:tc>
          <w:tcPr>
            <w:tcW w:w="133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4</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lang w:val="sr-Latn-BA"/>
              </w:rPr>
            </w:pPr>
            <w:r w:rsidRPr="00722DF4">
              <w:rPr>
                <w:rFonts w:ascii="Arial" w:hAnsi="Arial" w:cs="Arial"/>
                <w:sz w:val="24"/>
                <w:szCs w:val="24"/>
                <w:lang w:val="sr-Latn-BA"/>
              </w:rPr>
              <w:t xml:space="preserve">Pravilnik o popisu gasova i načinu izrade inventara emisije gasova sa efektom staklene bašte i razmjeni informacija </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lang w:val="sr-Latn-CS"/>
              </w:rPr>
            </w:pPr>
            <w:r w:rsidRPr="00722DF4">
              <w:rPr>
                <w:rFonts w:ascii="Arial" w:hAnsi="Arial" w:cs="Arial"/>
                <w:sz w:val="24"/>
                <w:szCs w:val="24"/>
                <w:lang w:val="sr-Latn-BA"/>
              </w:rPr>
              <w:t>"Sl. list CG", br. 39/14</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5</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b/>
                <w:color w:val="000000"/>
                <w:sz w:val="24"/>
                <w:szCs w:val="24"/>
                <w:u w:color="000000"/>
                <w:lang w:val="pt-PT"/>
              </w:rPr>
            </w:pPr>
            <w:r w:rsidRPr="00722DF4">
              <w:rPr>
                <w:rFonts w:ascii="Arial" w:eastAsia="Arial Unicode MS" w:hAnsi="Arial" w:cs="Arial"/>
                <w:b/>
                <w:color w:val="000000"/>
                <w:sz w:val="24"/>
                <w:szCs w:val="24"/>
                <w:u w:color="000000"/>
                <w:lang w:val="pt-PT"/>
              </w:rPr>
              <w:t>ZAKON O BEZBJEDNOSTI SAOBRAĆAJA NA PUTEVIMA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CS"/>
              </w:rPr>
              <w:t>"Sl. list CG", br 33/12</w:t>
            </w:r>
            <w:r w:rsidR="003069F7" w:rsidRPr="00722DF4">
              <w:rPr>
                <w:rFonts w:ascii="Arial" w:hAnsi="Arial" w:cs="Arial"/>
                <w:sz w:val="24"/>
                <w:szCs w:val="24"/>
                <w:lang w:val="sr-Latn-CS"/>
              </w:rPr>
              <w:t>, 14/17</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6</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BA"/>
              </w:rPr>
              <w:t>Pravilnik o tehničkim zahtjevima i uslovima za vozila koja se uvoze ili prvi put stavljaju na tržište u Crnoj Gori</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"Sl. list CG", br. 05/15</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F3744F" w:rsidRPr="00722DF4" w:rsidTr="00F3744F">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F3744F" w:rsidRPr="00722DF4" w:rsidRDefault="00F3744F" w:rsidP="00722DF4">
            <w:pPr>
              <w:spacing w:after="0"/>
              <w:jc w:val="both"/>
              <w:rPr>
                <w:rFonts w:ascii="Arial" w:eastAsia="Arial Unicode MS" w:hAnsi="Arial" w:cs="Arial"/>
                <w:sz w:val="24"/>
                <w:szCs w:val="24"/>
              </w:rPr>
            </w:pPr>
            <w:r w:rsidRPr="00722DF4">
              <w:rPr>
                <w:rFonts w:ascii="Arial" w:eastAsia="Arial Unicode MS" w:hAnsi="Arial" w:cs="Arial"/>
                <w:color w:val="000000"/>
                <w:sz w:val="24"/>
                <w:szCs w:val="24"/>
                <w:u w:color="000000"/>
              </w:rPr>
              <w:t>7</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F3744F" w:rsidRPr="00722DF4" w:rsidRDefault="00F3744F" w:rsidP="00722DF4">
            <w:pPr>
              <w:spacing w:after="0"/>
              <w:jc w:val="both"/>
              <w:rPr>
                <w:rFonts w:ascii="Arial" w:hAnsi="Arial" w:cs="Arial"/>
                <w:sz w:val="24"/>
                <w:szCs w:val="24"/>
                <w:lang w:val="sr-Latn-BA"/>
              </w:rPr>
            </w:pPr>
            <w:r w:rsidRPr="00722DF4">
              <w:rPr>
                <w:rFonts w:ascii="Arial" w:eastAsia="Arial Unicode MS" w:hAnsi="Arial" w:cs="Arial"/>
                <w:b/>
                <w:color w:val="000000"/>
                <w:sz w:val="24"/>
                <w:szCs w:val="24"/>
                <w:u w:color="000000"/>
              </w:rPr>
              <w:t>ZAKON O EFIKASNOM KORIŠĆENJU ENERGIJE</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F3744F" w:rsidRPr="00722DF4" w:rsidRDefault="00F3744F"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 xml:space="preserve">"Sl. list CG", br. </w:t>
            </w:r>
            <w:r w:rsidRPr="00722DF4">
              <w:rPr>
                <w:rFonts w:ascii="Arial" w:hAnsi="Arial" w:cs="Arial"/>
                <w:sz w:val="24"/>
                <w:szCs w:val="24"/>
              </w:rPr>
              <w:t>57/14</w:t>
            </w:r>
            <w:r w:rsidR="008E5430" w:rsidRPr="00722DF4">
              <w:rPr>
                <w:rFonts w:ascii="Arial" w:hAnsi="Arial" w:cs="Arial"/>
                <w:sz w:val="24"/>
                <w:szCs w:val="24"/>
              </w:rPr>
              <w:t xml:space="preserve">, </w:t>
            </w:r>
            <w:r w:rsidR="008E5430" w:rsidRPr="00722DF4">
              <w:rPr>
                <w:rFonts w:ascii="Arial" w:eastAsia="Arial Unicode MS" w:hAnsi="Arial" w:cs="Arial"/>
                <w:color w:val="000000"/>
                <w:sz w:val="24"/>
                <w:szCs w:val="24"/>
                <w:u w:color="000000"/>
              </w:rPr>
              <w:t>03/15</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F3744F" w:rsidRPr="00722DF4" w:rsidRDefault="00F3744F" w:rsidP="00722DF4">
            <w:pPr>
              <w:spacing w:after="0"/>
              <w:jc w:val="both"/>
              <w:rPr>
                <w:rFonts w:ascii="Arial" w:eastAsia="Arial Unicode MS" w:hAnsi="Arial" w:cs="Arial"/>
                <w:sz w:val="24"/>
                <w:szCs w:val="24"/>
              </w:rPr>
            </w:pPr>
          </w:p>
        </w:tc>
      </w:tr>
      <w:tr w:rsidR="00F3744F" w:rsidRPr="00722DF4" w:rsidTr="00F3744F">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F3744F" w:rsidRPr="00722DF4" w:rsidRDefault="00F3744F"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8</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F3744F" w:rsidRPr="00722DF4" w:rsidRDefault="00F3744F" w:rsidP="00722DF4">
            <w:pPr>
              <w:spacing w:after="0"/>
              <w:jc w:val="both"/>
              <w:rPr>
                <w:rFonts w:ascii="Arial" w:eastAsia="Arial Unicode MS" w:hAnsi="Arial" w:cs="Arial"/>
                <w:b/>
                <w:color w:val="000000"/>
                <w:sz w:val="24"/>
                <w:szCs w:val="24"/>
                <w:u w:color="000000"/>
              </w:rPr>
            </w:pPr>
            <w:r w:rsidRPr="00722DF4">
              <w:rPr>
                <w:rFonts w:ascii="Arial" w:eastAsia="Arial Unicode MS" w:hAnsi="Arial" w:cs="Arial"/>
                <w:b/>
                <w:color w:val="000000"/>
                <w:sz w:val="24"/>
                <w:szCs w:val="24"/>
                <w:u w:color="000000"/>
              </w:rPr>
              <w:t>ZAKON O PROCJENI UTICAJA NA ŽIVOTNU SREDINU</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F3744F" w:rsidRPr="00722DF4" w:rsidRDefault="00F3744F"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 xml:space="preserve">"Sl. list CG", br. </w:t>
            </w:r>
            <w:r w:rsidRPr="00722DF4">
              <w:rPr>
                <w:rFonts w:ascii="Arial" w:hAnsi="Arial" w:cs="Arial"/>
                <w:sz w:val="24"/>
                <w:szCs w:val="24"/>
              </w:rPr>
              <w:t>27/13</w:t>
            </w:r>
            <w:r w:rsidR="008E5430" w:rsidRPr="00722DF4">
              <w:rPr>
                <w:rFonts w:ascii="Arial" w:hAnsi="Arial" w:cs="Arial"/>
                <w:sz w:val="24"/>
                <w:szCs w:val="24"/>
              </w:rPr>
              <w:t>, 52/16</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F3744F" w:rsidRPr="00722DF4" w:rsidRDefault="00F3744F" w:rsidP="00722DF4">
            <w:pPr>
              <w:spacing w:after="0"/>
              <w:jc w:val="both"/>
              <w:rPr>
                <w:rFonts w:ascii="Arial" w:eastAsia="Arial Unicode MS" w:hAnsi="Arial" w:cs="Arial"/>
                <w:sz w:val="24"/>
                <w:szCs w:val="24"/>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hideMark/>
          </w:tcPr>
          <w:p w:rsidR="006907EA" w:rsidRPr="00722DF4" w:rsidRDefault="00F3744F"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9</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hAnsi="Arial" w:cs="Arial"/>
                <w:sz w:val="24"/>
                <w:szCs w:val="24"/>
                <w:lang w:val="sr-Latn-BA"/>
              </w:rPr>
              <w:t>Uredba o izmjenama i dopunama Uredbe o projektima za koje se vrši procjena uticaja na životnu sredinu</w:t>
            </w:r>
          </w:p>
        </w:tc>
        <w:tc>
          <w:tcPr>
            <w:tcW w:w="277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hideMark/>
          </w:tcPr>
          <w:p w:rsidR="006907EA" w:rsidRPr="00722DF4" w:rsidRDefault="006907EA" w:rsidP="00722DF4">
            <w:pPr>
              <w:spacing w:after="0"/>
              <w:jc w:val="both"/>
              <w:rPr>
                <w:rFonts w:ascii="Arial" w:eastAsia="Arial Unicode MS" w:hAnsi="Arial" w:cs="Arial"/>
                <w:color w:val="000000"/>
                <w:sz w:val="24"/>
                <w:szCs w:val="24"/>
                <w:u w:color="000000"/>
              </w:rPr>
            </w:pPr>
            <w:r w:rsidRPr="00722DF4">
              <w:rPr>
                <w:rFonts w:ascii="Arial" w:eastAsia="Arial Unicode MS" w:hAnsi="Arial" w:cs="Arial"/>
                <w:color w:val="000000"/>
                <w:sz w:val="24"/>
                <w:szCs w:val="24"/>
                <w:u w:color="000000"/>
              </w:rPr>
              <w:t>"Sl. list CG", br. 47/13</w:t>
            </w:r>
          </w:p>
        </w:tc>
        <w:tc>
          <w:tcPr>
            <w:tcW w:w="133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sz w:val="24"/>
                <w:szCs w:val="24"/>
              </w:rPr>
            </w:pPr>
          </w:p>
        </w:tc>
      </w:tr>
      <w:tr w:rsidR="006907EA" w:rsidRPr="00722DF4" w:rsidTr="006907EA">
        <w:trPr>
          <w:cantSplit/>
          <w:trHeight w:val="250"/>
        </w:trPr>
        <w:tc>
          <w:tcPr>
            <w:tcW w:w="9812" w:type="dxa"/>
            <w:gridSpan w:val="9"/>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B04E1D" w:rsidP="00722DF4">
            <w:pPr>
              <w:spacing w:after="0"/>
              <w:jc w:val="both"/>
              <w:rPr>
                <w:rFonts w:ascii="Arial" w:eastAsia="Arial Unicode MS" w:hAnsi="Arial" w:cs="Arial"/>
                <w:b/>
                <w:color w:val="365F91"/>
                <w:sz w:val="24"/>
                <w:szCs w:val="24"/>
                <w:lang w:val="hr-HR"/>
              </w:rPr>
            </w:pPr>
            <w:r w:rsidRPr="00722DF4">
              <w:rPr>
                <w:rFonts w:ascii="Arial" w:eastAsia="Arial Unicode MS" w:hAnsi="Arial" w:cs="Arial"/>
                <w:b/>
                <w:color w:val="000000"/>
                <w:sz w:val="24"/>
                <w:szCs w:val="24"/>
              </w:rPr>
              <w:t>IV</w:t>
            </w:r>
            <w:r w:rsidR="006907EA" w:rsidRPr="00722DF4">
              <w:rPr>
                <w:rFonts w:ascii="Arial" w:eastAsia="Arial Unicode MS" w:hAnsi="Arial" w:cs="Arial"/>
                <w:b/>
                <w:color w:val="000000"/>
                <w:sz w:val="24"/>
                <w:szCs w:val="24"/>
              </w:rPr>
              <w:t xml:space="preserve"> UPRAVLJANJE VODAMA</w:t>
            </w: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r w:rsidRPr="00722DF4">
              <w:rPr>
                <w:rFonts w:ascii="Arial" w:eastAsia="Arial Unicode MS" w:hAnsi="Arial" w:cs="Arial"/>
                <w:noProof/>
                <w:color w:val="000000"/>
                <w:sz w:val="24"/>
                <w:szCs w:val="24"/>
                <w:lang w:val="hr-HR"/>
              </w:rPr>
              <w:t>1</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b/>
                <w:noProof/>
                <w:color w:val="000000"/>
                <w:sz w:val="24"/>
                <w:szCs w:val="24"/>
                <w:lang w:val="hr-HR"/>
              </w:rPr>
            </w:pPr>
            <w:r w:rsidRPr="00722DF4">
              <w:rPr>
                <w:rFonts w:ascii="Arial" w:eastAsia="Arial Unicode MS" w:hAnsi="Arial" w:cs="Arial"/>
                <w:b/>
                <w:noProof/>
                <w:color w:val="000000"/>
                <w:sz w:val="24"/>
                <w:szCs w:val="24"/>
                <w:lang w:val="hr-HR"/>
              </w:rPr>
              <w:t>ZAKON O VODAMA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r w:rsidRPr="00722DF4">
              <w:rPr>
                <w:rFonts w:ascii="Arial" w:eastAsia="Times New Roman" w:hAnsi="Arial" w:cs="Arial"/>
                <w:noProof/>
                <w:color w:val="000000"/>
                <w:sz w:val="24"/>
                <w:szCs w:val="24"/>
                <w:lang w:val="hr-HR"/>
              </w:rPr>
              <w:t>“Sl. list CG”, br. 27/07, 73/10, 32/11, 47/11, 48/15</w:t>
            </w:r>
            <w:r w:rsidR="003069F7" w:rsidRPr="00722DF4">
              <w:rPr>
                <w:rFonts w:ascii="Arial" w:eastAsia="Times New Roman" w:hAnsi="Arial" w:cs="Arial"/>
                <w:noProof/>
                <w:color w:val="000000"/>
                <w:sz w:val="24"/>
                <w:szCs w:val="24"/>
                <w:lang w:val="hr-HR"/>
              </w:rPr>
              <w:t>, 52/16, 55/16, 2/17</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r>
      <w:tr w:rsidR="006907EA" w:rsidRPr="00722DF4" w:rsidTr="006907EA">
        <w:trPr>
          <w:cantSplit/>
          <w:trHeight w:val="31"/>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w:t>
            </w:r>
          </w:p>
        </w:tc>
        <w:tc>
          <w:tcPr>
            <w:tcW w:w="4828" w:type="dxa"/>
            <w:gridSpan w:val="5"/>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Uredba o klasifikaciji i kategorizaciji površinskih i podzemnih voda</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2/07</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571"/>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3</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Uredba o načinu kategorizacije i kategorijama vodnih objekata i njihovom davanju na upravljanje i održavanje</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15/08</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4</w:t>
            </w:r>
          </w:p>
        </w:tc>
        <w:tc>
          <w:tcPr>
            <w:tcW w:w="4828" w:type="dxa"/>
            <w:gridSpan w:val="5"/>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Uredba o sadržaju i načinu vođenja vodnog informacionog sistema</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33/08</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5</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Uredba o sadržaju i načinu pripreme plana upravljanja vodama na vodnom području rječnog sliva ili na njegovom dijelu</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39/09</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6</w:t>
            </w:r>
          </w:p>
        </w:tc>
        <w:tc>
          <w:tcPr>
            <w:tcW w:w="4828" w:type="dxa"/>
            <w:gridSpan w:val="5"/>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Uredba o načinu određivanja granica vodnog zemljišta</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25/12</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7</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sadržaju zahtjeva, dokumentaciji za izdavanje vodnih akata, načinu i uslovima za obavezno oglašavanje u postupku utvrđivanja vodnih uslova i sadržaju vodnih akata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7/08</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8</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b/>
                <w:noProof/>
                <w:sz w:val="24"/>
                <w:szCs w:val="24"/>
                <w:lang w:val="hr-HR"/>
              </w:rPr>
            </w:pPr>
            <w:r w:rsidRPr="00722DF4">
              <w:rPr>
                <w:rFonts w:ascii="Arial" w:eastAsia="Times New Roman" w:hAnsi="Arial" w:cs="Arial"/>
                <w:noProof/>
                <w:sz w:val="24"/>
                <w:szCs w:val="24"/>
                <w:lang w:val="hr-HR"/>
              </w:rPr>
              <w:t>Pravilnik o kvalitetu i sanitarno-tehničkim uslovima za ispuštanje otpadnih voda u recipijent i javnu kanalizaciju, načinu i postupku ispitivanja kvaliteta otpadnih voda, minimalnom broju ispitivanja i sadržaju izvještaja o utvrđenom kvalitetu otpadnih voda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45/08, 9/10, 26/12, 52/12 i 59/13</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9</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obrascu, bližem sadržaju i načinu vođenja vodne knjige</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“Službeni list CG”, br. 81/08</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10</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bližem sadržaju i načinu vođenja vodnih katastara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 xml:space="preserve">“Sl. list CG”, br. </w:t>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r>
            <w:r w:rsidRPr="00722DF4">
              <w:rPr>
                <w:rFonts w:ascii="Arial" w:eastAsia="Times New Roman" w:hAnsi="Arial" w:cs="Arial"/>
                <w:noProof/>
                <w:sz w:val="24"/>
                <w:szCs w:val="24"/>
                <w:lang w:val="hr-HR"/>
              </w:rPr>
              <w:softHyphen/>
              <w:t>81/08</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11</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određivanju i održavanju zona i pojaseva sanitarne zaštite izvorišta i ograničenjima u tim zonama</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“Službeni list CG”, br. 66/09</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376"/>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12</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načinu i uslovima mjerenja količina otpadnih voda koje se ispuštaju u prijemnik</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“Službeni list CG”, br. 24/10</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13</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načinu i postupku mjerenja količina vode na vodozahvatu</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24/10</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14</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sastavu i sadržaju vodne infrastrukture</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“Sl. list CG, br. 11/11</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15</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bližim uslovima koje treba da ispunjava privredno društvo za eksploataciju riječnih nanosa</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51/12</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16</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Pravilnik o bližim uslovima koje treba da ispunjavaju pravna lica koja vrše ispitivanja kvaliteta voda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“Sl. list CG”, br. 66/12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r w:rsidRPr="00722DF4">
              <w:rPr>
                <w:rFonts w:ascii="Arial" w:eastAsia="Arial Unicode MS" w:hAnsi="Arial" w:cs="Arial"/>
                <w:noProof/>
                <w:color w:val="000000"/>
                <w:sz w:val="24"/>
                <w:szCs w:val="24"/>
                <w:lang w:val="hr-HR"/>
              </w:rPr>
              <w:t>17</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Pravilnik o bližem sadržaju preliminarne procjene rizika od poplava i plana upravljanja rizicima od poplava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“Sl. List CG“ br. 69/15</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r w:rsidRPr="00722DF4">
              <w:rPr>
                <w:rFonts w:ascii="Arial" w:eastAsia="Arial Unicode MS" w:hAnsi="Arial" w:cs="Arial"/>
                <w:noProof/>
                <w:color w:val="000000"/>
                <w:sz w:val="24"/>
                <w:szCs w:val="24"/>
                <w:lang w:val="hr-HR"/>
              </w:rPr>
              <w:t>18</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Pravilnik o metodologiji za proglašavanje erozivnih područja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“Sl. List CG“ br. 72/15</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r>
      <w:tr w:rsidR="006907EA" w:rsidRPr="00722DF4" w:rsidTr="006907EA">
        <w:trPr>
          <w:cantSplit/>
          <w:trHeight w:val="250"/>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r w:rsidRPr="00722DF4">
              <w:rPr>
                <w:rFonts w:ascii="Arial" w:eastAsia="Arial Unicode MS" w:hAnsi="Arial" w:cs="Arial"/>
                <w:noProof/>
                <w:color w:val="000000"/>
                <w:sz w:val="24"/>
                <w:szCs w:val="24"/>
                <w:lang w:val="hr-HR"/>
              </w:rPr>
              <w:t>19</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Pravilnik o načinu određivanja ekološki prihvatljivog protoka površinskih voda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“Sl. List CG“ br. 2/16</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r w:rsidRPr="00722DF4">
              <w:rPr>
                <w:rFonts w:ascii="Arial" w:eastAsia="Arial Unicode MS" w:hAnsi="Arial" w:cs="Arial"/>
                <w:noProof/>
                <w:color w:val="000000"/>
                <w:sz w:val="24"/>
                <w:szCs w:val="24"/>
                <w:lang w:val="hr-HR"/>
              </w:rPr>
              <w:t>20</w:t>
            </w:r>
          </w:p>
        </w:tc>
        <w:tc>
          <w:tcPr>
            <w:tcW w:w="3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Odluka o određivanju voda od značaja za Crnu Goru</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“Sl. list CG”, br. 9/08, 28/09 i 31/09 i 31/15</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color w:val="000000"/>
                <w:sz w:val="24"/>
                <w:szCs w:val="24"/>
                <w:lang w:val="hr-HR"/>
              </w:rPr>
            </w:pPr>
            <w:r w:rsidRPr="00722DF4">
              <w:rPr>
                <w:rFonts w:ascii="Arial" w:eastAsia="Arial Unicode MS" w:hAnsi="Arial" w:cs="Arial"/>
                <w:noProof/>
                <w:color w:val="000000"/>
                <w:sz w:val="24"/>
                <w:szCs w:val="24"/>
                <w:lang w:val="hr-HR"/>
              </w:rPr>
              <w:t>21</w:t>
            </w:r>
          </w:p>
        </w:tc>
        <w:tc>
          <w:tcPr>
            <w:tcW w:w="3958"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Odluka o određivanju izvorišta namjenjenih za regionalno i javno vodosnabdijevanje i utvrđivanju njihovih granica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color w:val="000000"/>
                <w:sz w:val="24"/>
                <w:szCs w:val="24"/>
                <w:lang w:val="hr-HR"/>
              </w:rPr>
            </w:pPr>
            <w:r w:rsidRPr="00722DF4">
              <w:rPr>
                <w:rFonts w:ascii="Arial" w:eastAsia="Times New Roman" w:hAnsi="Arial" w:cs="Arial"/>
                <w:noProof/>
                <w:color w:val="000000"/>
                <w:sz w:val="24"/>
                <w:szCs w:val="24"/>
                <w:lang w:val="hr-HR"/>
              </w:rPr>
              <w:t>“Sl. list CG”, br. 36/08</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color w:val="000000"/>
                <w:sz w:val="24"/>
                <w:szCs w:val="24"/>
                <w:lang w:val="hr-HR"/>
              </w:rPr>
            </w:pPr>
          </w:p>
        </w:tc>
      </w:tr>
      <w:tr w:rsidR="006907EA" w:rsidRPr="00722DF4" w:rsidTr="006907EA">
        <w:trPr>
          <w:cantSplit/>
          <w:trHeight w:val="264"/>
        </w:trPr>
        <w:tc>
          <w:tcPr>
            <w:tcW w:w="9812" w:type="dxa"/>
            <w:gridSpan w:val="9"/>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B04E1D" w:rsidP="00722DF4">
            <w:pPr>
              <w:spacing w:after="0"/>
              <w:jc w:val="both"/>
              <w:rPr>
                <w:rFonts w:ascii="Arial" w:eastAsia="Arial Unicode MS" w:hAnsi="Arial" w:cs="Arial"/>
                <w:b/>
                <w:noProof/>
                <w:color w:val="365F91"/>
                <w:sz w:val="24"/>
                <w:szCs w:val="24"/>
                <w:lang w:val="hr-HR"/>
              </w:rPr>
            </w:pPr>
            <w:r w:rsidRPr="00722DF4">
              <w:rPr>
                <w:rFonts w:ascii="Arial" w:eastAsia="Arial Unicode MS" w:hAnsi="Arial" w:cs="Arial"/>
                <w:b/>
                <w:noProof/>
                <w:color w:val="000000"/>
                <w:sz w:val="24"/>
                <w:szCs w:val="24"/>
                <w:lang w:val="hr-HR"/>
              </w:rPr>
              <w:t>V</w:t>
            </w:r>
            <w:r w:rsidR="006907EA" w:rsidRPr="00722DF4">
              <w:rPr>
                <w:rFonts w:ascii="Arial" w:eastAsia="Arial Unicode MS" w:hAnsi="Arial" w:cs="Arial"/>
                <w:b/>
                <w:noProof/>
                <w:color w:val="000000"/>
                <w:sz w:val="24"/>
                <w:szCs w:val="24"/>
                <w:lang w:val="hr-HR"/>
              </w:rPr>
              <w:t xml:space="preserve"> UPRAVLJANJE OTPADOM</w:t>
            </w: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sz w:val="24"/>
                <w:szCs w:val="24"/>
              </w:rPr>
              <w:t>1</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b/>
                <w:noProof/>
                <w:sz w:val="24"/>
                <w:szCs w:val="24"/>
                <w:lang w:val="hr-HR"/>
              </w:rPr>
            </w:pPr>
            <w:r w:rsidRPr="00722DF4">
              <w:rPr>
                <w:rFonts w:ascii="Arial" w:eastAsia="Arial Unicode MS" w:hAnsi="Arial" w:cs="Arial"/>
                <w:b/>
                <w:sz w:val="24"/>
                <w:szCs w:val="24"/>
              </w:rPr>
              <w:t>ZAKON O UPRAVLJANJU OTPADOM</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color w:val="000000"/>
                <w:sz w:val="24"/>
                <w:szCs w:val="24"/>
              </w:rPr>
              <w:t>„Sl. list CG", br. 64/11</w:t>
            </w:r>
            <w:r w:rsidR="003069F7" w:rsidRPr="00722DF4">
              <w:rPr>
                <w:rFonts w:ascii="Arial" w:eastAsia="Arial Unicode MS" w:hAnsi="Arial" w:cs="Arial"/>
                <w:color w:val="000000"/>
                <w:sz w:val="24"/>
                <w:szCs w:val="24"/>
              </w:rPr>
              <w:t>, 39/16</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72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Uredba o načinu i postupku osnivanja sistema preuzimanja, sakupljanja i obrade otpada od električnih i elektronskih proizvoda i rada tog sistema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24/12</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24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3</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Uredba o načinu i postupku osnivanja sistema preuzimanja, sakupljanja i obrade otpadnih vozila i rada tog sistema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28/12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4</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Uredba o načinu i postupku osnivanja sistema preuzimanja, sakupljanja i obrade otpadnih guma i rada tog sistema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39/12</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287"/>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5</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Uredba o bližim kriterijumima, visini i načinu plaćanja posebne naknade za upravljanje otpadom</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39/12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72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6</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Uredba o načinu i postupku osnivanja sistema preuzimanja, sakupljanja i obrade otpadnih baterija i akumulatora i rada tog sistema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39/12</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7</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Uredba o načinu i postupku osnivanja sistema preuzimanja, sakupljanja i obrade otpadne ambalaže i rada tog sistema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42/12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3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8</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Uredba o načinu i uslovima skladištenja otpada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33/13</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9</w:t>
            </w:r>
          </w:p>
        </w:tc>
        <w:tc>
          <w:tcPr>
            <w:tcW w:w="4828"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Uredba o bližim uslovima koje treba da ispunjavaju materije ili predmeti koji nastaju iz proizvodnog procesa za sporedne proizvode</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30/15</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10</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bližim uslovima koje treba da ispunjava komunalni kanalizacioni mulj, količine, obim, učestalost i metode analize komunalnog kanalizacionog mulja za dozvoljene namjene i uslovima koje treba da ispunjava zemljište planirano za njegovu primenu</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89/09</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72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11</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sadržaju, obliku i načinu vođenja registra izdatih dozvola za prekogranično kretanje 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71/10</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72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12</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bližem sadržaju dokumentacije koja se podnosi uz zahtev za izdavanje dozvole za uvoz, izvoz i tranzit otpada, kao i listi klasifikacije otpada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3069F7"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71/10</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31"/>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13</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postupanju sa otpadnim uljima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48/12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162"/>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14</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postupanju sa opremom i otpadom koji sadrži PCB</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48/12</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15</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uslovima, načinu i postupku obrade medicinskog 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49/12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809"/>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16</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postupanju sa građevinskim otpadom, načinu i postupku prerade građevinskog otpada, uslovima i načinu odlaganja cement azbestnog građevinskog otpada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50/12</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31"/>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17</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načinu evidencije otpada i sadržaju formulara o transportu 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50/12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18</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bližem sadržaju i načinu podnošenja godišnjih izveštaja o sprovođenju planova upravljanja otpadom</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53/12</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19</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uslovima koje treba da ispunjava privredno društvo odnosno preduzetnik za preradu i/ili odstranjivanje 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53/12</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20</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bližem sadržaju i načinu sačinjavanja plana upravljanja otpadom proizvođača otpada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05/13</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21</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načinu pakovanja i odstranjivanja otpada koji sadrži azbest</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11/13</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24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22</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uslovima koje treba da ispunjava privredno društvo, odnosno preduzetnik za sakupljanje, odnosno transport otpada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16/13</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24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23</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načinu vođenja i sadržaju zahteva za upis u registar izvoznika neopasnog 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27/13</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24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24</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bližim karakteristikama lokacije, uslovima izgradnje, sanitarno-tehničkim uslovima, načinu rada i zatvaranja deponija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31/13</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25</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spaljivanju i/ili suspaljivanju 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33/13</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72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26</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bližim uslovima za upis u registar posrednika i trgovaca otpadom</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46/13 i 21/14</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27</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vođenju registra izdatih dozvola za preradu i/ili odstranjivanje otpada, registra sakupljača prevoznika, trgovaca i posrednika 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47/13</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28</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color w:val="000000"/>
                <w:sz w:val="24"/>
                <w:szCs w:val="24"/>
                <w:lang w:val="uz-Cyrl-UZ" w:eastAsia="uz-Cyrl-UZ"/>
              </w:rPr>
            </w:pPr>
            <w:r w:rsidRPr="00722DF4">
              <w:rPr>
                <w:rFonts w:ascii="Arial" w:hAnsi="Arial" w:cs="Arial"/>
                <w:color w:val="000000"/>
                <w:sz w:val="24"/>
                <w:szCs w:val="24"/>
                <w:lang w:val="uz-Cyrl-UZ" w:eastAsia="uz-Cyrl-UZ"/>
              </w:rPr>
              <w:t>Pravilnik o sakupljanju i predaji otpadnih vozila čiji je imalac nepoznat</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47/13</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29</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uslovima za preradu biootpada i kriterijumima za određivanje kvaliteta produkata organskog recikliranja iz biotpada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59/13</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273"/>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30</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klasifikaciji otpada i katalogu otpada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59/13</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485"/>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31</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metodama ispitivanja opasnih svojstava otpada i bližim uslovima koje treba da ispunjava akreditovana laboratorija za ispitivanje opasnih svojstava otpada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21/14</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398"/>
        </w:trPr>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32</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Pravilnik o načinu izračunavanja minimalnih suma osiguranja za slučaj štete pričinjene trećim licima ili njihovim stvarima</w:t>
            </w:r>
          </w:p>
        </w:tc>
        <w:tc>
          <w:tcPr>
            <w:tcW w:w="277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6907EA" w:rsidRPr="00722DF4" w:rsidRDefault="006907EA" w:rsidP="00722DF4">
            <w:pPr>
              <w:pStyle w:val="TableStyle2"/>
              <w:spacing w:line="276" w:lineRule="auto"/>
              <w:jc w:val="both"/>
              <w:rPr>
                <w:rFonts w:ascii="Arial" w:hAnsi="Arial" w:cs="Arial"/>
                <w:sz w:val="24"/>
                <w:szCs w:val="24"/>
              </w:rPr>
            </w:pPr>
            <w:r w:rsidRPr="00722DF4">
              <w:rPr>
                <w:rFonts w:ascii="Arial" w:hAnsi="Arial" w:cs="Arial"/>
                <w:sz w:val="24"/>
                <w:szCs w:val="24"/>
              </w:rPr>
              <w:t>„Sl. list CG", br. 40/15</w:t>
            </w:r>
          </w:p>
        </w:tc>
        <w:tc>
          <w:tcPr>
            <w:tcW w:w="133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rsidR="006907EA" w:rsidRPr="00722DF4" w:rsidRDefault="006907EA" w:rsidP="00722DF4">
            <w:pPr>
              <w:spacing w:after="0"/>
              <w:jc w:val="both"/>
              <w:rPr>
                <w:rFonts w:ascii="Arial" w:hAnsi="Arial" w:cs="Arial"/>
                <w:sz w:val="24"/>
                <w:szCs w:val="24"/>
              </w:rPr>
            </w:pPr>
          </w:p>
        </w:tc>
      </w:tr>
      <w:tr w:rsidR="006907EA" w:rsidRPr="00722DF4" w:rsidTr="006907EA">
        <w:trPr>
          <w:cantSplit/>
          <w:trHeight w:val="264"/>
        </w:trPr>
        <w:tc>
          <w:tcPr>
            <w:tcW w:w="9812" w:type="dxa"/>
            <w:gridSpan w:val="9"/>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b/>
                <w:noProof/>
                <w:color w:val="365F91"/>
                <w:sz w:val="24"/>
                <w:szCs w:val="24"/>
                <w:lang w:val="hr-HR"/>
              </w:rPr>
            </w:pPr>
            <w:r w:rsidRPr="00722DF4">
              <w:rPr>
                <w:rFonts w:ascii="Arial" w:eastAsia="Arial Unicode MS" w:hAnsi="Arial" w:cs="Arial"/>
                <w:b/>
                <w:noProof/>
                <w:color w:val="000000"/>
                <w:sz w:val="24"/>
                <w:szCs w:val="24"/>
                <w:lang w:val="hr-HR"/>
              </w:rPr>
              <w:t>VI ZAŠTITA PRIRODE</w:t>
            </w: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noProof/>
                <w:sz w:val="24"/>
                <w:szCs w:val="24"/>
                <w:lang w:val="hr-HR"/>
              </w:rPr>
              <w:t>1</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b/>
                <w:noProof/>
                <w:sz w:val="24"/>
                <w:szCs w:val="24"/>
                <w:lang w:val="hr-HR"/>
              </w:rPr>
              <w:t>ZAKON O ZAŠTITI PRIRODE</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noProof/>
                <w:sz w:val="24"/>
                <w:szCs w:val="24"/>
                <w:lang w:val="hr-HR"/>
              </w:rPr>
              <w:t>“Sl. list CG”, br. 51/08, 21/09, 62/13, 6/14</w:t>
            </w:r>
            <w:r w:rsidR="003069F7" w:rsidRPr="00722DF4">
              <w:rPr>
                <w:rFonts w:ascii="Arial" w:hAnsi="Arial" w:cs="Arial"/>
                <w:noProof/>
                <w:sz w:val="24"/>
                <w:szCs w:val="24"/>
                <w:lang w:val="hr-HR"/>
              </w:rPr>
              <w:t>, 54/16</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noProof/>
                <w:sz w:val="24"/>
                <w:szCs w:val="24"/>
                <w:lang w:val="hr-HR"/>
              </w:rPr>
              <w:t>Pravilnik o vrstama i kriterijumima za određivanje stanišnih tipova, načinu izrade karte staništa, načinu praćenja stanja i ugroženosti staništa, sadržaju godišnjeg izvještaja, mjerama zaštite i očuvanja stanišnih tipova</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bCs/>
                <w:noProof/>
                <w:sz w:val="24"/>
                <w:szCs w:val="24"/>
                <w:lang w:val="hr-HR"/>
              </w:rPr>
            </w:pPr>
            <w:r w:rsidRPr="00722DF4">
              <w:rPr>
                <w:rFonts w:ascii="Arial" w:eastAsia="Times New Roman" w:hAnsi="Arial" w:cs="Arial"/>
                <w:noProof/>
                <w:sz w:val="24"/>
                <w:szCs w:val="24"/>
                <w:lang w:val="hr-HR"/>
              </w:rPr>
              <w:t>”Sl.list CG”, br. 80/08</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3</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noProof/>
                <w:sz w:val="24"/>
                <w:szCs w:val="24"/>
                <w:lang w:val="hr-HR"/>
              </w:rPr>
              <w:t xml:space="preserve">Pravilnik o </w:t>
            </w:r>
            <w:r w:rsidRPr="00722DF4">
              <w:rPr>
                <w:rFonts w:ascii="Arial" w:hAnsi="Arial" w:cs="Arial"/>
                <w:bCs/>
                <w:noProof/>
                <w:sz w:val="24"/>
                <w:szCs w:val="24"/>
                <w:lang w:val="hr-HR"/>
              </w:rPr>
              <w:t>bližem sadržaju i načinu vođenja registra zaštićenih prirodnih dobara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"Sl. list CG", br. 79/09</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4</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 xml:space="preserve">Pravilnik o bližim uslovima koje mora da ispunjava upravljač zaštićenog prirodnog dobra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"Sl. list CG", br. 35/10</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5</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Pravilnik o bližem sadržaju godišnjeg programa monitoringa stanja očuvanosti prirode i uslovima koje mora da ispunjava pravno lice koje vrši monitoring</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3069F7" w:rsidP="00722DF4">
            <w:pPr>
              <w:autoSpaceDE w:val="0"/>
              <w:autoSpaceDN w:val="0"/>
              <w:adjustRightInd w:val="0"/>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"Sl. list CG", br. 35/10</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6</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 xml:space="preserve">Pravilnik o bližim uslovima koje mora da ispunjava pravno i fizičko lice za čuvanje privremeno oduzetih zaštićenih divljih vrsta biljaka, životinja i gljiva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autoSpaceDE w:val="0"/>
              <w:autoSpaceDN w:val="0"/>
              <w:adjustRightInd w:val="0"/>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"Sl. list CG", br. 46/10</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7</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 xml:space="preserve">Pravilnik o bližem načinu i uslovima sakupljanja, korišćenja i prometa nezaštićenih divljih vrsta životinja, biljaka i gljiva koje se koriste u komercijalne svrhe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autoSpaceDE w:val="0"/>
              <w:autoSpaceDN w:val="0"/>
              <w:adjustRightInd w:val="0"/>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"Sl. list CG", br. 62/10</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8</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autoSpaceDE w:val="0"/>
              <w:autoSpaceDN w:val="0"/>
              <w:adjustRightInd w:val="0"/>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 xml:space="preserve">Pravilnik o bližim uslovima držanja i uzgoja zaštićenih divljih vrsta životinja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"Sl. list CG", br. 67/10</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10</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 xml:space="preserve">Pravilnik o mjerama zaštite i načinu održavanja prelaza za divlje životinje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autoSpaceDE w:val="0"/>
              <w:autoSpaceDN w:val="0"/>
              <w:adjustRightInd w:val="0"/>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"Sl. list CG", br. 80/10</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11</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 xml:space="preserve">Pravilnik o načinu praćenja brojnosti i stanja populacija zaštićenih divljih ptica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autoSpaceDE w:val="0"/>
              <w:autoSpaceDN w:val="0"/>
              <w:adjustRightInd w:val="0"/>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"Sl. list CG", br. 62/10</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13</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pStyle w:val="Normal1"/>
              <w:spacing w:line="276" w:lineRule="auto"/>
              <w:rPr>
                <w:rFonts w:cs="Arial"/>
                <w:noProof/>
                <w:szCs w:val="24"/>
                <w:lang w:val="hr-HR"/>
              </w:rPr>
            </w:pPr>
            <w:r w:rsidRPr="00722DF4">
              <w:rPr>
                <w:rFonts w:eastAsia="Calibri" w:cs="Arial"/>
                <w:noProof/>
                <w:szCs w:val="24"/>
                <w:lang w:val="hr-HR"/>
              </w:rPr>
              <w:t>Pravilnik o načinu vođenja evidencije stanišnih tipova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noProof/>
                <w:sz w:val="24"/>
                <w:szCs w:val="24"/>
                <w:lang w:val="hr-HR"/>
              </w:rPr>
              <w:t>“Sl. list CG”, br. 22/14</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14</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 xml:space="preserve">Pravilnik o načinu procjene rizika za unošenje stranih divljih vrsta biljaka, životinja i gljiva i njihovih uzgojnih primjeraka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”Sl. list CG”, br. 28/14</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15</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 xml:space="preserve">Pravilnik o načinu obilježavanja strogo zaštićenih i zaštićenih divljih vrsta životinja koje se drže u zatočeništvu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28/14</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16</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 xml:space="preserve">Pravilnik o sadržaju, načinu uspostavljanja i vođenju katastra speleoloških objekata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"Sl. list CG", br. 22/14</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B04E1D">
        <w:trPr>
          <w:cantSplit/>
          <w:trHeight w:val="833"/>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17</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color w:val="000000"/>
                <w:sz w:val="24"/>
                <w:szCs w:val="24"/>
                <w:lang w:val="uz-Cyrl-UZ"/>
              </w:rPr>
            </w:pPr>
            <w:r w:rsidRPr="00722DF4">
              <w:rPr>
                <w:rFonts w:ascii="Arial" w:eastAsia="Times New Roman" w:hAnsi="Arial" w:cs="Arial"/>
                <w:bCs/>
                <w:color w:val="000000"/>
                <w:sz w:val="24"/>
                <w:szCs w:val="24"/>
                <w:lang w:val="uz-Cyrl-UZ"/>
              </w:rPr>
              <w:t xml:space="preserve">Pravilnik o uslovima za promet i načinu postupanja sa zaštićenim divljim vrstama prilikom transporta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color w:val="000000"/>
                <w:sz w:val="24"/>
                <w:szCs w:val="24"/>
                <w:lang w:val="uz-Cyrl-UZ"/>
              </w:rPr>
              <w:t>"Sl. list Crne Gore", br. 29/15</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2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18</w:t>
            </w:r>
          </w:p>
        </w:tc>
        <w:tc>
          <w:tcPr>
            <w:tcW w:w="3970"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 xml:space="preserve">Rješenje o upisu u Centralni registar zaštićenih objekata prirode za Crnu Goru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"Sl. list CG", br. 70/08</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2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19</w:t>
            </w:r>
          </w:p>
        </w:tc>
        <w:tc>
          <w:tcPr>
            <w:tcW w:w="3970"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Rješenje o stavljanju pod zaštitu pojedinih biljnih i životinjskih vrsta</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”Sl. list RCG”, br. 76/06</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2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20</w:t>
            </w:r>
          </w:p>
        </w:tc>
        <w:tc>
          <w:tcPr>
            <w:tcW w:w="3970"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 xml:space="preserve">Rješenje o upisu u Centralni registar zaštićenih objekata prirode za Republiku Crnu Goru-Arboretum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autoSpaceDE w:val="0"/>
              <w:autoSpaceDN w:val="0"/>
              <w:adjustRightInd w:val="0"/>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 xml:space="preserve">"Sl. list RCG”, br. 36/00) </w:t>
            </w:r>
          </w:p>
          <w:p w:rsidR="006907EA" w:rsidRPr="00722DF4" w:rsidRDefault="006907EA" w:rsidP="00722DF4">
            <w:pPr>
              <w:spacing w:after="0"/>
              <w:jc w:val="both"/>
              <w:rPr>
                <w:rFonts w:ascii="Arial" w:eastAsia="Arial Unicode MS" w:hAnsi="Arial" w:cs="Arial"/>
                <w:noProof/>
                <w:sz w:val="24"/>
                <w:szCs w:val="24"/>
                <w:lang w:val="hr-HR"/>
              </w:rPr>
            </w:pP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2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w:t>
            </w:r>
            <w:r w:rsidR="002E0DE3" w:rsidRPr="00722DF4">
              <w:rPr>
                <w:rFonts w:ascii="Arial" w:eastAsia="Arial Unicode MS" w:hAnsi="Arial" w:cs="Arial"/>
                <w:noProof/>
                <w:sz w:val="24"/>
                <w:szCs w:val="24"/>
                <w:lang w:val="hr-HR"/>
              </w:rPr>
              <w:t>1</w:t>
            </w:r>
          </w:p>
        </w:tc>
        <w:tc>
          <w:tcPr>
            <w:tcW w:w="3970"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noProof/>
                <w:sz w:val="24"/>
                <w:szCs w:val="24"/>
                <w:lang w:val="hr-HR"/>
              </w:rPr>
              <w:t xml:space="preserve">Rješenje o upisu u Centralni registar zaštićenih objekata prirode za Republiku Crnu Goru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autoSpaceDE w:val="0"/>
              <w:autoSpaceDN w:val="0"/>
              <w:adjustRightInd w:val="0"/>
              <w:spacing w:after="0"/>
              <w:jc w:val="both"/>
              <w:rPr>
                <w:rFonts w:ascii="Arial" w:eastAsia="Times New Roman" w:hAnsi="Arial" w:cs="Arial"/>
                <w:noProof/>
                <w:sz w:val="24"/>
                <w:szCs w:val="24"/>
                <w:lang w:val="hr-HR"/>
              </w:rPr>
            </w:pPr>
            <w:r w:rsidRPr="00722DF4">
              <w:rPr>
                <w:rFonts w:ascii="Arial" w:eastAsia="Times New Roman" w:hAnsi="Arial" w:cs="Arial"/>
                <w:bCs/>
                <w:noProof/>
                <w:sz w:val="24"/>
                <w:szCs w:val="24"/>
                <w:lang w:val="hr-HR"/>
              </w:rPr>
              <w:t xml:space="preserve">"Sl. list RCG", br. 8/07 </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14C15">
        <w:trPr>
          <w:cantSplit/>
          <w:trHeight w:val="34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2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2E0DE3"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22</w:t>
            </w:r>
          </w:p>
        </w:tc>
        <w:tc>
          <w:tcPr>
            <w:tcW w:w="3970"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 xml:space="preserve">Rješenje o zaštiti objekata prirode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listu SRCG", br. 30/68</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2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2E0DE3"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23</w:t>
            </w:r>
          </w:p>
        </w:tc>
        <w:tc>
          <w:tcPr>
            <w:tcW w:w="3970"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Rješenje o upisu u Centralni registar zaštićenih objekata prirode (Botanički vrt)</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RCG", br. 20/94</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14C15">
        <w:trPr>
          <w:cantSplit/>
          <w:trHeight w:val="508"/>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2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w:t>
            </w:r>
            <w:r w:rsidR="002E0DE3" w:rsidRPr="00722DF4">
              <w:rPr>
                <w:rFonts w:ascii="Arial" w:eastAsia="Arial Unicode MS" w:hAnsi="Arial" w:cs="Arial"/>
                <w:noProof/>
                <w:sz w:val="24"/>
                <w:szCs w:val="24"/>
                <w:lang w:val="hr-HR"/>
              </w:rPr>
              <w:t>4</w:t>
            </w:r>
          </w:p>
        </w:tc>
        <w:tc>
          <w:tcPr>
            <w:tcW w:w="3970"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Rješenje o upisu u Centralni registar zaštićenih objekata prirode (Maslina - Olea europaea L.)</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RCG", br. 20/94</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w:t>
            </w:r>
            <w:r w:rsidR="002E0DE3" w:rsidRPr="00722DF4">
              <w:rPr>
                <w:rFonts w:ascii="Arial" w:eastAsia="Arial Unicode MS" w:hAnsi="Arial" w:cs="Arial"/>
                <w:noProof/>
                <w:sz w:val="24"/>
                <w:szCs w:val="24"/>
                <w:lang w:val="hr-HR"/>
              </w:rPr>
              <w:t>5</w:t>
            </w:r>
          </w:p>
        </w:tc>
        <w:tc>
          <w:tcPr>
            <w:tcW w:w="5265" w:type="dxa"/>
            <w:gridSpan w:val="6"/>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b/>
                <w:noProof/>
                <w:sz w:val="24"/>
                <w:szCs w:val="24"/>
                <w:lang w:val="hr-HR"/>
              </w:rPr>
            </w:pPr>
            <w:r w:rsidRPr="00722DF4">
              <w:rPr>
                <w:rFonts w:ascii="Arial" w:eastAsia="Arial Unicode MS" w:hAnsi="Arial" w:cs="Arial"/>
                <w:b/>
                <w:noProof/>
                <w:sz w:val="24"/>
                <w:szCs w:val="24"/>
                <w:lang w:val="hr-HR"/>
              </w:rPr>
              <w:t>ZAKON O NACIONALNIM PARKOVIMA</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Times New Roman" w:hAnsi="Arial" w:cs="Arial"/>
                <w:noProof/>
                <w:sz w:val="24"/>
                <w:szCs w:val="24"/>
                <w:lang w:val="hr-HR"/>
              </w:rPr>
            </w:pPr>
            <w:r w:rsidRPr="00722DF4">
              <w:rPr>
                <w:rFonts w:ascii="Arial" w:eastAsia="Times New Roman" w:hAnsi="Arial" w:cs="Arial"/>
                <w:noProof/>
                <w:sz w:val="24"/>
                <w:szCs w:val="24"/>
                <w:lang w:val="hr-HR"/>
              </w:rPr>
              <w:t>”Sl.list CG”, br 28/14</w:t>
            </w:r>
            <w:r w:rsidR="00614C15" w:rsidRPr="00722DF4">
              <w:rPr>
                <w:rFonts w:ascii="Arial" w:eastAsia="Times New Roman" w:hAnsi="Arial" w:cs="Arial"/>
                <w:noProof/>
                <w:sz w:val="24"/>
                <w:szCs w:val="24"/>
                <w:lang w:val="hr-HR"/>
              </w:rPr>
              <w:t>, 39/16</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w:t>
            </w:r>
            <w:r w:rsidR="002E0DE3" w:rsidRPr="00722DF4">
              <w:rPr>
                <w:rFonts w:ascii="Arial" w:eastAsia="Arial Unicode MS" w:hAnsi="Arial" w:cs="Arial"/>
                <w:noProof/>
                <w:sz w:val="24"/>
                <w:szCs w:val="24"/>
                <w:lang w:val="hr-HR"/>
              </w:rPr>
              <w:t>6</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b/>
                <w:noProof/>
                <w:sz w:val="24"/>
                <w:szCs w:val="24"/>
                <w:lang w:val="hr-HR"/>
              </w:rPr>
            </w:pPr>
            <w:r w:rsidRPr="00722DF4">
              <w:rPr>
                <w:rFonts w:ascii="Arial" w:eastAsia="Arial Unicode MS" w:hAnsi="Arial" w:cs="Arial"/>
                <w:b/>
                <w:noProof/>
                <w:sz w:val="24"/>
                <w:szCs w:val="24"/>
                <w:lang w:val="hr-HR"/>
              </w:rPr>
              <w:t>ZAKON O ŠUMAMA</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74/10,47/15</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w:t>
            </w:r>
            <w:r w:rsidR="002E0DE3" w:rsidRPr="00722DF4">
              <w:rPr>
                <w:rFonts w:ascii="Arial" w:eastAsia="Arial Unicode MS" w:hAnsi="Arial" w:cs="Arial"/>
                <w:noProof/>
                <w:sz w:val="24"/>
                <w:szCs w:val="24"/>
                <w:lang w:val="hr-HR"/>
              </w:rPr>
              <w:t>7</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noProof/>
                <w:sz w:val="24"/>
                <w:szCs w:val="24"/>
                <w:lang w:val="hr-HR"/>
              </w:rPr>
              <w:t xml:space="preserve">Pravilnik o doznaci i sječi stabala, načinu prijema i obilježavanju drvnih sortimenata  </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pStyle w:val="Normal1"/>
              <w:spacing w:line="276" w:lineRule="auto"/>
              <w:rPr>
                <w:rFonts w:cs="Arial"/>
                <w:noProof/>
                <w:szCs w:val="24"/>
                <w:lang w:val="hr-HR"/>
              </w:rPr>
            </w:pPr>
            <w:r w:rsidRPr="00722DF4">
              <w:rPr>
                <w:rFonts w:cs="Arial"/>
                <w:noProof/>
                <w:szCs w:val="24"/>
                <w:lang w:val="hr-HR"/>
              </w:rPr>
              <w:t>"Sl. list CG", br. 62/12</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2E0DE3"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28</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 xml:space="preserve">Pravilnik o bližem sadržaju i načinu izrade programa gazdovanja šumama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40/13</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2E0DE3"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lastRenderedPageBreak/>
              <w:t>29</w:t>
            </w:r>
          </w:p>
        </w:tc>
        <w:tc>
          <w:tcPr>
            <w:tcW w:w="5265" w:type="dxa"/>
            <w:gridSpan w:val="6"/>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b/>
                <w:noProof/>
                <w:sz w:val="24"/>
                <w:szCs w:val="24"/>
                <w:lang w:val="hr-HR"/>
              </w:rPr>
            </w:pPr>
            <w:r w:rsidRPr="00722DF4">
              <w:rPr>
                <w:rFonts w:ascii="Arial" w:eastAsia="Times New Roman" w:hAnsi="Arial" w:cs="Arial"/>
                <w:b/>
                <w:noProof/>
                <w:sz w:val="24"/>
                <w:szCs w:val="24"/>
                <w:lang w:val="hr-HR"/>
              </w:rPr>
              <w:t>ZAKON O LOVSTVU I DIVLJAČI</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52/08, 48/15</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2E0DE3"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30</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 xml:space="preserve">Pravilnik o lovnim sezonama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noProof/>
                <w:sz w:val="24"/>
                <w:szCs w:val="24"/>
                <w:lang w:val="hr-HR"/>
              </w:rPr>
              <w:t>"Sl. list CG" br. 34/09, 48/09, 60/10</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9812" w:type="dxa"/>
            <w:gridSpan w:val="9"/>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FD332B" w:rsidP="00722DF4">
            <w:pPr>
              <w:spacing w:after="0"/>
              <w:jc w:val="both"/>
              <w:rPr>
                <w:rFonts w:ascii="Arial" w:eastAsia="Arial Unicode MS" w:hAnsi="Arial" w:cs="Arial"/>
                <w:b/>
                <w:noProof/>
                <w:sz w:val="24"/>
                <w:szCs w:val="24"/>
                <w:lang w:val="hr-HR"/>
              </w:rPr>
            </w:pPr>
            <w:r w:rsidRPr="00722DF4">
              <w:rPr>
                <w:rFonts w:ascii="Arial" w:eastAsia="Arial Unicode MS" w:hAnsi="Arial" w:cs="Arial"/>
                <w:b/>
                <w:noProof/>
                <w:color w:val="000000"/>
                <w:sz w:val="24"/>
                <w:szCs w:val="24"/>
                <w:lang w:val="hr-HR"/>
              </w:rPr>
              <w:t xml:space="preserve">VII </w:t>
            </w:r>
            <w:r w:rsidR="006907EA" w:rsidRPr="00722DF4">
              <w:rPr>
                <w:rFonts w:ascii="Arial" w:eastAsia="Arial Unicode MS" w:hAnsi="Arial" w:cs="Arial"/>
                <w:b/>
                <w:noProof/>
                <w:color w:val="000000"/>
                <w:sz w:val="24"/>
                <w:szCs w:val="24"/>
                <w:lang w:val="hr-HR"/>
              </w:rPr>
              <w:t>PROCENA I UPRAVLJANJE BUKOM U ŽIVOTNOJ SREDINI</w:t>
            </w: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1</w:t>
            </w:r>
          </w:p>
        </w:tc>
        <w:tc>
          <w:tcPr>
            <w:tcW w:w="5265"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b/>
                <w:noProof/>
                <w:sz w:val="24"/>
                <w:szCs w:val="24"/>
                <w:lang w:val="hr-HR"/>
              </w:rPr>
            </w:pPr>
            <w:r w:rsidRPr="00722DF4">
              <w:rPr>
                <w:rFonts w:ascii="Arial" w:eastAsia="Arial Unicode MS" w:hAnsi="Arial" w:cs="Arial"/>
                <w:b/>
                <w:sz w:val="24"/>
                <w:szCs w:val="24"/>
                <w:lang w:val="it-IT"/>
              </w:rPr>
              <w:t>ZAKON O ZAŠTITI OD BUKE U ŽIVOTNOJ SREDINI</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autoSpaceDE w:val="0"/>
              <w:autoSpaceDN w:val="0"/>
              <w:adjustRightInd w:val="0"/>
              <w:spacing w:after="0"/>
              <w:jc w:val="both"/>
              <w:rPr>
                <w:rFonts w:ascii="Arial" w:hAnsi="Arial" w:cs="Arial"/>
                <w:color w:val="000000"/>
                <w:sz w:val="24"/>
                <w:szCs w:val="24"/>
                <w:lang w:val="sr-Latn-CS"/>
              </w:rPr>
            </w:pPr>
            <w:r w:rsidRPr="00722DF4">
              <w:rPr>
                <w:rFonts w:ascii="Arial" w:hAnsi="Arial" w:cs="Arial"/>
                <w:bCs/>
                <w:color w:val="000000"/>
                <w:sz w:val="24"/>
                <w:szCs w:val="24"/>
                <w:lang w:val="sr-Latn-CS"/>
              </w:rPr>
              <w:t>"Sl. list RCG", br. 28/11,1/14</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2</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ind w:right="123"/>
              <w:contextualSpacing/>
              <w:jc w:val="both"/>
              <w:rPr>
                <w:rFonts w:ascii="Arial" w:eastAsia="Times New Roman" w:hAnsi="Arial" w:cs="Arial"/>
                <w:sz w:val="24"/>
                <w:szCs w:val="24"/>
                <w:lang w:val="sr-Latn-CS"/>
              </w:rPr>
            </w:pPr>
            <w:r w:rsidRPr="00722DF4">
              <w:rPr>
                <w:rFonts w:ascii="Arial" w:eastAsia="Times New Roman" w:hAnsi="Arial" w:cs="Arial"/>
                <w:bCs/>
                <w:sz w:val="24"/>
                <w:szCs w:val="24"/>
                <w:lang w:val="sr-Latn-CS"/>
              </w:rPr>
              <w:t>Pravilnik o metodama izračunavanja i mjerenja nivoa buke u životnoj sredini</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sz w:val="24"/>
                <w:szCs w:val="24"/>
                <w:lang w:val="sr-Latn-CS"/>
              </w:rPr>
              <w:t>"Sl. list CG", br. 27/14</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3</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bCs/>
                <w:color w:val="000000"/>
                <w:sz w:val="24"/>
                <w:szCs w:val="24"/>
                <w:lang w:val="sr-Latn-CS"/>
              </w:rPr>
              <w:t xml:space="preserve">Pravilnik o graničnim vrijednostima buke u životnoj sredini, načinu utvrđivanja indikatora buke i akustičkih zona i metodama ocjenjivanja štetnih efekata buke </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hAnsi="Arial" w:cs="Arial"/>
                <w:bCs/>
                <w:sz w:val="24"/>
                <w:szCs w:val="24"/>
                <w:lang w:val="sr-Latn-CS"/>
              </w:rPr>
              <w:t>"Sl. list CG", br. 60/11</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4</w:t>
            </w:r>
          </w:p>
        </w:tc>
        <w:tc>
          <w:tcPr>
            <w:tcW w:w="4393"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bCs/>
                <w:color w:val="000000"/>
                <w:sz w:val="24"/>
                <w:szCs w:val="24"/>
                <w:lang w:val="sr-Latn-CS"/>
              </w:rPr>
              <w:t>Pravilnik o načinu izrade i bližem sadržaju strateških karata buke</w:t>
            </w:r>
          </w:p>
        </w:tc>
        <w:tc>
          <w:tcPr>
            <w:tcW w:w="277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sz w:val="24"/>
                <w:szCs w:val="24"/>
                <w:lang w:val="sr-Latn-CS"/>
              </w:rPr>
              <w:t>"Sl. list CG", br. 54/13</w:t>
            </w:r>
          </w:p>
        </w:tc>
        <w:tc>
          <w:tcPr>
            <w:tcW w:w="13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r w:rsidR="006907EA" w:rsidRPr="00722DF4" w:rsidTr="006907EA">
        <w:trPr>
          <w:cantSplit/>
          <w:trHeight w:val="571"/>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Arial Unicode MS" w:hAnsi="Arial" w:cs="Arial"/>
                <w:noProof/>
                <w:sz w:val="24"/>
                <w:szCs w:val="24"/>
                <w:lang w:val="hr-HR"/>
              </w:rPr>
              <w:t>5</w:t>
            </w:r>
          </w:p>
        </w:tc>
        <w:tc>
          <w:tcPr>
            <w:tcW w:w="4393"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autoSpaceDE w:val="0"/>
              <w:autoSpaceDN w:val="0"/>
              <w:adjustRightInd w:val="0"/>
              <w:spacing w:after="0"/>
              <w:ind w:right="123"/>
              <w:jc w:val="both"/>
              <w:rPr>
                <w:rFonts w:ascii="Arial" w:eastAsia="Times New Roman" w:hAnsi="Arial" w:cs="Arial"/>
                <w:bCs/>
                <w:color w:val="000000"/>
                <w:sz w:val="24"/>
                <w:szCs w:val="24"/>
                <w:lang w:val="hr-HR"/>
              </w:rPr>
            </w:pPr>
            <w:r w:rsidRPr="00722DF4">
              <w:rPr>
                <w:rFonts w:ascii="Arial" w:eastAsia="Times New Roman" w:hAnsi="Arial" w:cs="Arial"/>
                <w:bCs/>
                <w:color w:val="000000"/>
                <w:sz w:val="24"/>
                <w:szCs w:val="24"/>
                <w:lang w:val="sr-Latn-CS"/>
              </w:rPr>
              <w:t>Pravilnik o oznakama usaglašenosti za izvore buke koji se stavljaju u promet i upotrebu</w:t>
            </w:r>
          </w:p>
        </w:tc>
        <w:tc>
          <w:tcPr>
            <w:tcW w:w="277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rsidR="006907EA" w:rsidRPr="00722DF4" w:rsidRDefault="006907EA" w:rsidP="00722DF4">
            <w:pPr>
              <w:spacing w:after="0"/>
              <w:jc w:val="both"/>
              <w:rPr>
                <w:rFonts w:ascii="Arial" w:eastAsia="Arial Unicode MS" w:hAnsi="Arial" w:cs="Arial"/>
                <w:noProof/>
                <w:sz w:val="24"/>
                <w:szCs w:val="24"/>
                <w:lang w:val="hr-HR"/>
              </w:rPr>
            </w:pPr>
            <w:r w:rsidRPr="00722DF4">
              <w:rPr>
                <w:rFonts w:ascii="Arial" w:eastAsia="Times New Roman" w:hAnsi="Arial" w:cs="Arial"/>
                <w:sz w:val="24"/>
                <w:szCs w:val="24"/>
                <w:lang w:val="sr-Latn-CS"/>
              </w:rPr>
              <w:t>"Sl. list CG", br. 13/14</w:t>
            </w:r>
          </w:p>
        </w:tc>
        <w:tc>
          <w:tcPr>
            <w:tcW w:w="1339"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6907EA" w:rsidRPr="00722DF4" w:rsidRDefault="006907EA" w:rsidP="00722DF4">
            <w:pPr>
              <w:spacing w:after="0"/>
              <w:jc w:val="both"/>
              <w:rPr>
                <w:rFonts w:ascii="Arial" w:eastAsia="Arial Unicode MS" w:hAnsi="Arial" w:cs="Arial"/>
                <w:noProof/>
                <w:sz w:val="24"/>
                <w:szCs w:val="24"/>
                <w:lang w:val="hr-HR"/>
              </w:rPr>
            </w:pPr>
          </w:p>
        </w:tc>
      </w:tr>
    </w:tbl>
    <w:p w:rsidR="006907EA" w:rsidRPr="00722DF4" w:rsidRDefault="006907EA" w:rsidP="00722DF4">
      <w:pPr>
        <w:spacing w:after="0"/>
        <w:jc w:val="both"/>
        <w:rPr>
          <w:rFonts w:ascii="Arial" w:hAnsi="Arial" w:cs="Arial"/>
          <w:b/>
          <w:noProof/>
          <w:sz w:val="24"/>
          <w:szCs w:val="24"/>
          <w:lang w:val="hr-HR"/>
        </w:rPr>
      </w:pPr>
    </w:p>
    <w:p w:rsidR="006907EA" w:rsidRPr="00722DF4" w:rsidRDefault="006907EA"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6907EA" w:rsidRPr="00722DF4" w:rsidRDefault="006907EA" w:rsidP="00722DF4">
      <w:pPr>
        <w:pStyle w:val="m6135419827625913450msolistparagraph"/>
        <w:shd w:val="clear" w:color="auto" w:fill="FFFFFF"/>
        <w:spacing w:before="0" w:beforeAutospacing="0" w:after="0" w:afterAutospacing="0" w:line="276" w:lineRule="auto"/>
        <w:jc w:val="both"/>
        <w:rPr>
          <w:rFonts w:ascii="Arial" w:hAnsi="Arial" w:cs="Arial"/>
          <w:color w:val="1F497D"/>
        </w:rPr>
      </w:pPr>
    </w:p>
    <w:p w:rsidR="00AA2E23" w:rsidRPr="00722DF4" w:rsidRDefault="00AA2E23" w:rsidP="00722DF4">
      <w:pPr>
        <w:pStyle w:val="m6135419827625913450msolistparagraph"/>
        <w:shd w:val="clear" w:color="auto" w:fill="FFFFFF"/>
        <w:spacing w:before="0" w:beforeAutospacing="0" w:after="0" w:afterAutospacing="0" w:line="276" w:lineRule="auto"/>
        <w:jc w:val="both"/>
        <w:rPr>
          <w:rFonts w:ascii="Arial" w:hAnsi="Arial" w:cs="Arial"/>
          <w:color w:val="222222"/>
        </w:rPr>
      </w:pPr>
    </w:p>
    <w:p w:rsidR="00AA2E23" w:rsidRPr="00722DF4" w:rsidRDefault="00AA2E23" w:rsidP="00722DF4">
      <w:pPr>
        <w:spacing w:after="0"/>
        <w:jc w:val="both"/>
        <w:rPr>
          <w:rFonts w:ascii="Arial" w:hAnsi="Arial" w:cs="Arial"/>
          <w:sz w:val="24"/>
          <w:szCs w:val="24"/>
        </w:rPr>
      </w:pPr>
    </w:p>
    <w:p w:rsidR="00293ECD" w:rsidRDefault="00293ECD" w:rsidP="00722DF4">
      <w:pPr>
        <w:spacing w:after="0"/>
        <w:jc w:val="both"/>
        <w:rPr>
          <w:rFonts w:ascii="Arial" w:hAnsi="Arial" w:cs="Arial"/>
          <w:sz w:val="24"/>
          <w:szCs w:val="24"/>
        </w:rPr>
      </w:pPr>
    </w:p>
    <w:p w:rsidR="009F4E92" w:rsidRDefault="009F4E92" w:rsidP="00722DF4">
      <w:pPr>
        <w:spacing w:after="0"/>
        <w:jc w:val="both"/>
        <w:rPr>
          <w:rFonts w:ascii="Arial" w:hAnsi="Arial" w:cs="Arial"/>
          <w:sz w:val="24"/>
          <w:szCs w:val="24"/>
        </w:rPr>
      </w:pPr>
    </w:p>
    <w:p w:rsidR="000254E0" w:rsidRPr="00BB214A" w:rsidRDefault="000254E0" w:rsidP="000254E0">
      <w:pPr>
        <w:spacing w:after="0"/>
        <w:jc w:val="both"/>
        <w:rPr>
          <w:rFonts w:ascii="Arial" w:hAnsi="Arial" w:cs="Arial"/>
          <w:sz w:val="24"/>
          <w:szCs w:val="24"/>
          <w:lang w:val="sr-Latn-CS"/>
        </w:rPr>
      </w:pPr>
    </w:p>
    <w:p w:rsidR="000254E0" w:rsidRPr="00EA3F8D" w:rsidRDefault="000254E0" w:rsidP="00FB0BFD">
      <w:pPr>
        <w:pStyle w:val="ColorfulList-Accent11"/>
        <w:spacing w:after="0"/>
        <w:ind w:left="0"/>
        <w:jc w:val="both"/>
        <w:rPr>
          <w:rFonts w:ascii="Arial" w:hAnsi="Arial" w:cs="Arial"/>
          <w:b/>
          <w:sz w:val="24"/>
          <w:szCs w:val="24"/>
        </w:rPr>
      </w:pPr>
    </w:p>
    <w:sectPr w:rsidR="000254E0" w:rsidRPr="00EA3F8D" w:rsidSect="00722DF4">
      <w:headerReference w:type="default" r:id="rId57"/>
      <w:footerReference w:type="default" r:id="rId58"/>
      <w:headerReference w:type="first" r:id="rId59"/>
      <w:pgSz w:w="12240" w:h="15840"/>
      <w:pgMar w:top="1440" w:right="1440" w:bottom="1440" w:left="1440"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261" w:rsidRDefault="00212261" w:rsidP="007D57F9">
      <w:pPr>
        <w:spacing w:after="0" w:line="240" w:lineRule="auto"/>
      </w:pPr>
      <w:r>
        <w:separator/>
      </w:r>
    </w:p>
  </w:endnote>
  <w:endnote w:type="continuationSeparator" w:id="0">
    <w:p w:rsidR="00212261" w:rsidRDefault="00212261" w:rsidP="007D57F9">
      <w:pPr>
        <w:spacing w:after="0" w:line="240" w:lineRule="auto"/>
      </w:pPr>
      <w:r>
        <w:continuationSeparator/>
      </w:r>
    </w:p>
  </w:endnote>
  <w:endnote w:type="continuationNotice" w:id="1">
    <w:p w:rsidR="00212261" w:rsidRDefault="002122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
    <w:altName w:val="Yu Gothic UI"/>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YUSwissL">
    <w:altName w:val="Times New Roman"/>
    <w:panose1 w:val="00000000000000000000"/>
    <w:charset w:val="00"/>
    <w:family w:val="auto"/>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Bold">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Merriweather-Light">
    <w:altName w:val="Times New Roman"/>
    <w:panose1 w:val="00000000000000000000"/>
    <w:charset w:val="EE"/>
    <w:family w:val="auto"/>
    <w:notTrueType/>
    <w:pitch w:val="default"/>
    <w:sig w:usb0="00000007" w:usb1="00000000" w:usb2="00000000" w:usb3="00000000" w:csb0="00000003" w:csb1="00000000"/>
  </w:font>
  <w:font w:name="SymbolMT">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9E" w:rsidRDefault="00596F9E">
    <w:pPr>
      <w:pStyle w:val="Footer"/>
      <w:jc w:val="right"/>
    </w:pPr>
    <w:r>
      <w:rPr>
        <w:noProof/>
        <w:lang w:val="en-US"/>
      </w:rPr>
      <mc:AlternateContent>
        <mc:Choice Requires="wps">
          <w:drawing>
            <wp:anchor distT="0" distB="0" distL="114300" distR="114300" simplePos="0" relativeHeight="251657728" behindDoc="0" locked="0" layoutInCell="1" allowOverlap="1">
              <wp:simplePos x="0" y="0"/>
              <wp:positionH relativeFrom="column">
                <wp:posOffset>152400</wp:posOffset>
              </wp:positionH>
              <wp:positionV relativeFrom="paragraph">
                <wp:posOffset>125730</wp:posOffset>
              </wp:positionV>
              <wp:extent cx="5502910" cy="635"/>
              <wp:effectExtent l="0" t="0" r="2540" b="1841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2910" cy="635"/>
                      </a:xfrm>
                      <a:prstGeom prst="straightConnector1">
                        <a:avLst/>
                      </a:prstGeom>
                      <a:noFill/>
                      <a:ln w="1270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933224" id="_x0000_t32" coordsize="21600,21600" o:spt="32" o:oned="t" path="m,l21600,21600e" filled="f">
              <v:path arrowok="t" fillok="f" o:connecttype="none"/>
              <o:lock v:ext="edit" shapetype="t"/>
            </v:shapetype>
            <v:shape id="AutoShape 2" o:spid="_x0000_s1026" type="#_x0000_t32" style="position:absolute;margin-left:12pt;margin-top:9.9pt;width:433.3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" strokecolor="#7f7f7f" strokeweight="1pt"/>
          </w:pict>
        </mc:Fallback>
      </mc:AlternateContent>
    </w:r>
    <w:r>
      <w:fldChar w:fldCharType="begin"/>
    </w:r>
    <w:r>
      <w:instrText xml:space="preserve"> PAGE   \* MERGEFORMAT </w:instrText>
    </w:r>
    <w:r>
      <w:fldChar w:fldCharType="separate"/>
    </w:r>
    <w:r w:rsidR="005E6701">
      <w:rPr>
        <w:noProof/>
      </w:rPr>
      <w:t>33</w:t>
    </w:r>
    <w:r>
      <w:rPr>
        <w:noProof/>
      </w:rPr>
      <w:fldChar w:fldCharType="end"/>
    </w:r>
  </w:p>
  <w:p w:rsidR="00596F9E" w:rsidRDefault="00596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9E" w:rsidRDefault="00596F9E" w:rsidP="0085006E">
    <w:pPr>
      <w:spacing w:after="0"/>
      <w:jc w:val="center"/>
      <w:rPr>
        <w:rFonts w:ascii="Verdana" w:hAnsi="Verdana"/>
        <w:sz w:val="16"/>
        <w:szCs w:val="16"/>
      </w:rPr>
    </w:pPr>
    <w:r>
      <w:rPr>
        <w:rFonts w:ascii="Verdana" w:hAnsi="Verdana"/>
        <w:sz w:val="16"/>
        <w:szCs w:val="16"/>
      </w:rPr>
      <w:t>_______________________________________________________________________________________</w:t>
    </w:r>
  </w:p>
  <w:p w:rsidR="00596F9E" w:rsidRDefault="00596F9E" w:rsidP="00AB3359">
    <w:pPr>
      <w:pStyle w:val="Footer"/>
      <w:jc w:val="right"/>
    </w:pPr>
    <w:r>
      <w:fldChar w:fldCharType="begin"/>
    </w:r>
    <w:r>
      <w:instrText xml:space="preserve"> PAGE   \* MERGEFORMAT </w:instrText>
    </w:r>
    <w:r>
      <w:fldChar w:fldCharType="separate"/>
    </w:r>
    <w:r w:rsidR="005E6701">
      <w:rPr>
        <w:noProof/>
      </w:rPr>
      <w:t>69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261" w:rsidRDefault="00212261" w:rsidP="007D57F9">
      <w:pPr>
        <w:spacing w:after="0" w:line="240" w:lineRule="auto"/>
      </w:pPr>
      <w:r>
        <w:separator/>
      </w:r>
    </w:p>
  </w:footnote>
  <w:footnote w:type="continuationSeparator" w:id="0">
    <w:p w:rsidR="00212261" w:rsidRDefault="00212261" w:rsidP="007D57F9">
      <w:pPr>
        <w:spacing w:after="0" w:line="240" w:lineRule="auto"/>
      </w:pPr>
      <w:r>
        <w:continuationSeparator/>
      </w:r>
    </w:p>
  </w:footnote>
  <w:footnote w:type="continuationNotice" w:id="1">
    <w:p w:rsidR="00212261" w:rsidRDefault="00212261">
      <w:pPr>
        <w:spacing w:after="0" w:line="240" w:lineRule="auto"/>
      </w:pPr>
    </w:p>
  </w:footnote>
  <w:footnote w:id="2">
    <w:p w:rsidR="00596F9E" w:rsidRPr="00CB21D4" w:rsidRDefault="00596F9E">
      <w:pPr>
        <w:pStyle w:val="FootnoteText"/>
        <w:rPr>
          <w:lang w:val="sr-Latn-CS"/>
        </w:rPr>
      </w:pPr>
      <w:r>
        <w:rPr>
          <w:rStyle w:val="FootnoteReference"/>
        </w:rPr>
        <w:footnoteRef/>
      </w:r>
      <w:r>
        <w:t xml:space="preserve"> Izvod iz Drugog nacionalnog</w:t>
      </w:r>
      <w:r w:rsidRPr="00CB21D4">
        <w:t xml:space="preserve"> izveštaj</w:t>
      </w:r>
      <w:r>
        <w:t>a</w:t>
      </w:r>
      <w:r w:rsidRPr="00CB21D4">
        <w:t xml:space="preserve"> Crne Gore o klimatskim promjenama, </w:t>
      </w:r>
      <w:r>
        <w:t>2015</w:t>
      </w:r>
    </w:p>
  </w:footnote>
  <w:footnote w:id="3">
    <w:p w:rsidR="00596F9E" w:rsidRPr="00245090" w:rsidRDefault="00596F9E" w:rsidP="3B4348E7">
      <w:pPr>
        <w:spacing w:line="240" w:lineRule="auto"/>
        <w:jc w:val="both"/>
        <w:rPr>
          <w:rFonts w:ascii="Cambria" w:hAnsi="Cambria"/>
          <w:sz w:val="24"/>
          <w:szCs w:val="24"/>
        </w:rPr>
      </w:pPr>
      <w:r>
        <w:rPr>
          <w:rStyle w:val="FootnoteReference"/>
        </w:rPr>
        <w:footnoteRef/>
      </w:r>
      <w:r w:rsidRPr="00616714">
        <w:rPr>
          <w:rFonts w:ascii="Cambria" w:hAnsi="Cambria"/>
          <w:sz w:val="18"/>
          <w:szCs w:val="18"/>
        </w:rPr>
        <w:t>Ministarstvo održivog razvoja i turizma, Nacionalna strategija biodiverziteta 2010–2015. godine, Vlada Crne Gore, 2010.</w:t>
      </w:r>
    </w:p>
    <w:p w:rsidR="00596F9E" w:rsidRPr="00616714" w:rsidRDefault="00596F9E">
      <w:pPr>
        <w:pStyle w:val="FootnoteText"/>
      </w:pPr>
    </w:p>
  </w:footnote>
  <w:footnote w:id="4">
    <w:p w:rsidR="00596F9E" w:rsidRPr="00E9755F" w:rsidRDefault="00596F9E" w:rsidP="00E9755F">
      <w:pPr>
        <w:pStyle w:val="NoSpacing"/>
        <w:jc w:val="both"/>
        <w:rPr>
          <w:i/>
          <w:lang w:val="hr-HR"/>
        </w:rPr>
      </w:pPr>
      <w:r w:rsidRPr="00E9755F">
        <w:rPr>
          <w:rStyle w:val="FootnoteReference"/>
          <w:rFonts w:ascii="Cambria" w:hAnsi="Cambria"/>
          <w:i/>
          <w:sz w:val="20"/>
          <w:szCs w:val="20"/>
        </w:rPr>
        <w:footnoteRef/>
      </w:r>
      <w:r w:rsidRPr="00E9755F">
        <w:rPr>
          <w:rFonts w:ascii="Cambria" w:hAnsi="Cambria"/>
          <w:i/>
          <w:sz w:val="20"/>
          <w:szCs w:val="20"/>
          <w:lang w:val="hr-HR"/>
        </w:rPr>
        <w:t>Peti nacionalni izvještaj Crne Gore prema Konvenciji Ujedinjenih nacija o biološkoj raznovrsnosti, mart 2014.</w:t>
      </w:r>
    </w:p>
  </w:footnote>
  <w:footnote w:id="5">
    <w:p w:rsidR="00596F9E" w:rsidRPr="00E9755F" w:rsidRDefault="00596F9E" w:rsidP="00E9755F">
      <w:pPr>
        <w:pStyle w:val="BodyText"/>
        <w:rPr>
          <w:rFonts w:ascii="Cambria" w:hAnsi="Cambria"/>
          <w:i/>
          <w:lang w:val="hr-HR"/>
        </w:rPr>
      </w:pPr>
      <w:r w:rsidRPr="00E9755F">
        <w:rPr>
          <w:rStyle w:val="FootnoteReference"/>
          <w:rFonts w:ascii="Cambria" w:hAnsi="Cambria"/>
        </w:rPr>
        <w:footnoteRef/>
      </w:r>
      <w:r w:rsidRPr="00E9755F">
        <w:rPr>
          <w:rFonts w:ascii="Cambria" w:hAnsi="Cambria"/>
          <w:i/>
          <w:lang w:val="hr-HR"/>
        </w:rPr>
        <w:t>Studija biodiverziteta i zaštite prirode obalnog područja Crne Gore, 2013 g.</w:t>
      </w:r>
    </w:p>
  </w:footnote>
  <w:footnote w:id="6">
    <w:p w:rsidR="00596F9E" w:rsidRPr="00E9755F" w:rsidRDefault="00596F9E" w:rsidP="00E9755F">
      <w:pPr>
        <w:pStyle w:val="NoSpacing"/>
        <w:rPr>
          <w:rFonts w:ascii="Cambria" w:hAnsi="Cambria"/>
          <w:i/>
          <w:sz w:val="20"/>
          <w:szCs w:val="20"/>
          <w:lang w:val="hr-HR"/>
        </w:rPr>
      </w:pPr>
      <w:r w:rsidRPr="00E9755F">
        <w:rPr>
          <w:rStyle w:val="FootnoteReference"/>
          <w:rFonts w:ascii="Cambria" w:hAnsi="Cambria"/>
          <w:i/>
          <w:sz w:val="20"/>
          <w:szCs w:val="20"/>
        </w:rPr>
        <w:footnoteRef/>
      </w:r>
      <w:r w:rsidRPr="00E9755F">
        <w:rPr>
          <w:rFonts w:ascii="Cambria" w:hAnsi="Cambria"/>
          <w:i/>
          <w:sz w:val="20"/>
          <w:szCs w:val="20"/>
          <w:lang w:val="hr-HR"/>
        </w:rPr>
        <w:t>Dokumentaciona osnova prostornog plana posebne namjene Nacionalnog parka “Lovćen”, septembar 2011.</w:t>
      </w:r>
    </w:p>
  </w:footnote>
  <w:footnote w:id="7">
    <w:p w:rsidR="00596F9E" w:rsidRPr="00E9755F" w:rsidRDefault="00596F9E" w:rsidP="00E9755F">
      <w:pPr>
        <w:pStyle w:val="NoSpacing"/>
        <w:rPr>
          <w:rFonts w:ascii="Cambria" w:hAnsi="Cambria"/>
          <w:i/>
          <w:sz w:val="20"/>
          <w:szCs w:val="20"/>
          <w:lang w:val="hr-HR"/>
        </w:rPr>
      </w:pPr>
      <w:r w:rsidRPr="00E9755F">
        <w:rPr>
          <w:rStyle w:val="FootnoteReference"/>
          <w:rFonts w:ascii="Cambria" w:hAnsi="Cambria"/>
          <w:i/>
          <w:sz w:val="20"/>
          <w:szCs w:val="20"/>
        </w:rPr>
        <w:footnoteRef/>
      </w:r>
      <w:r w:rsidRPr="00E9755F">
        <w:rPr>
          <w:rFonts w:ascii="Cambria" w:hAnsi="Cambria"/>
          <w:i/>
          <w:sz w:val="20"/>
          <w:szCs w:val="20"/>
          <w:lang w:val="hr-HR"/>
        </w:rPr>
        <w:t>Druga nacionalna strategija biodiverziteta sa akcionim planom (2016‒2020), Nacrt, jul 2015. god.</w:t>
      </w:r>
    </w:p>
  </w:footnote>
  <w:footnote w:id="8">
    <w:p w:rsidR="00596F9E" w:rsidRPr="00E9755F" w:rsidRDefault="00596F9E" w:rsidP="00A10A3F">
      <w:pPr>
        <w:autoSpaceDE w:val="0"/>
        <w:autoSpaceDN w:val="0"/>
        <w:adjustRightInd w:val="0"/>
        <w:spacing w:after="0" w:line="240" w:lineRule="auto"/>
        <w:jc w:val="both"/>
        <w:rPr>
          <w:rFonts w:ascii="Cambria" w:hAnsi="Cambria" w:cs="Merriweather-Light"/>
          <w:i/>
          <w:sz w:val="20"/>
          <w:szCs w:val="20"/>
        </w:rPr>
      </w:pPr>
      <w:r w:rsidRPr="00E9755F">
        <w:rPr>
          <w:rStyle w:val="FootnoteReference"/>
          <w:rFonts w:ascii="Cambria" w:hAnsi="Cambria"/>
          <w:i/>
          <w:sz w:val="20"/>
          <w:szCs w:val="20"/>
        </w:rPr>
        <w:footnoteRef/>
      </w:r>
      <w:r w:rsidRPr="00E9755F">
        <w:rPr>
          <w:rFonts w:ascii="Cambria" w:hAnsi="Cambria" w:cs="Merriweather-Light"/>
          <w:i/>
          <w:sz w:val="20"/>
          <w:szCs w:val="20"/>
        </w:rPr>
        <w:t>Tokom 2013. godine, pod nacionalnom zaštitom bilo je 9,04% teritorije Crne Gore, a taj je procenat neznatno smanjen 2014. godine. Naime, 2014. godine usvojen je novi Zakon o nacionalnim parkovima, kojim je utvrđena nova granica Nacionalnog parka Dumitor. Njome je površina ovog nacionalnog parka umanjena za 1.199,9 ha, ili 0,09% teritorije. Tokom naredne, 2015. godine, proglašena su još dva zaštićena područja prirode – Regionalni park Piva (u potpunosti) i Regionalni park Komovi (djelimično) – što je rezultiralo porastom udjela zaštićenih područja u ukupnoj površini Crne Gore (na 12%).</w:t>
      </w:r>
    </w:p>
  </w:footnote>
  <w:footnote w:id="9">
    <w:p w:rsidR="00596F9E" w:rsidRPr="00E9755F" w:rsidRDefault="00596F9E" w:rsidP="00A10A3F">
      <w:pPr>
        <w:autoSpaceDE w:val="0"/>
        <w:autoSpaceDN w:val="0"/>
        <w:adjustRightInd w:val="0"/>
        <w:spacing w:after="0" w:line="240" w:lineRule="auto"/>
        <w:jc w:val="both"/>
        <w:rPr>
          <w:rFonts w:ascii="Cambria" w:hAnsi="Cambria" w:cs="Merriweather-Light"/>
          <w:i/>
          <w:sz w:val="20"/>
          <w:szCs w:val="20"/>
        </w:rPr>
      </w:pPr>
      <w:r w:rsidRPr="00E9755F">
        <w:rPr>
          <w:rStyle w:val="FootnoteReference"/>
          <w:rFonts w:ascii="Cambria" w:hAnsi="Cambria"/>
          <w:i/>
          <w:sz w:val="20"/>
          <w:szCs w:val="20"/>
        </w:rPr>
        <w:footnoteRef/>
      </w:r>
      <w:r w:rsidRPr="00E9755F">
        <w:rPr>
          <w:rFonts w:ascii="Cambria" w:hAnsi="Cambria" w:cs="Merriweather-Light"/>
          <w:i/>
          <w:sz w:val="20"/>
          <w:szCs w:val="20"/>
        </w:rPr>
        <w:t>Utvrđena ciljna vrijednost udjela površina zaštićenih radi očuvanja biološkog diverziteta u ukupnoj površini Crne Gore iznosila je 10% za 2015. godinu.</w:t>
      </w:r>
    </w:p>
  </w:footnote>
  <w:footnote w:id="10">
    <w:p w:rsidR="00596F9E" w:rsidRPr="006239DA" w:rsidRDefault="00596F9E" w:rsidP="00A10A3F">
      <w:pPr>
        <w:autoSpaceDE w:val="0"/>
        <w:autoSpaceDN w:val="0"/>
        <w:adjustRightInd w:val="0"/>
        <w:spacing w:after="0" w:line="240" w:lineRule="auto"/>
        <w:jc w:val="both"/>
        <w:rPr>
          <w:rFonts w:ascii="Cambria" w:hAnsi="Cambria" w:cs="Merriweather-Light"/>
          <w:sz w:val="18"/>
          <w:szCs w:val="18"/>
        </w:rPr>
      </w:pPr>
      <w:r w:rsidRPr="00E9755F">
        <w:rPr>
          <w:rStyle w:val="FootnoteReference"/>
          <w:rFonts w:ascii="Cambria" w:hAnsi="Cambria"/>
          <w:i/>
          <w:sz w:val="20"/>
          <w:szCs w:val="20"/>
        </w:rPr>
        <w:footnoteRef/>
      </w:r>
      <w:r w:rsidRPr="00E9755F">
        <w:rPr>
          <w:rFonts w:ascii="Cambria" w:hAnsi="Cambria" w:cs="Merriweather-Light"/>
          <w:i/>
          <w:sz w:val="20"/>
          <w:szCs w:val="20"/>
        </w:rPr>
        <w:t>Potencijalne lokacije su: 1) Luštica (od Mamule do rta Mačka); 2) zona od rta Trašte do Platamuna (sa uskom zonom stroge zaštite od rta Žukovac do rta Kostovica); 3) šira zona ostrva Katič; 4) zona od rta Volujica do Dobrih Voda; 5) zona od rta Komina do rta kod ostrva Stari Ulcinj; 6) zona uvale Valdanos do Velike uvale; i 7) Seka Đerane s južnim dijelom zone ispred Velike plaže do ušća Bojane (NS IUOP, MORT, 2015).</w:t>
      </w:r>
    </w:p>
  </w:footnote>
  <w:footnote w:id="11">
    <w:p w:rsidR="00596F9E" w:rsidRPr="00166C87" w:rsidRDefault="00596F9E" w:rsidP="3B4348E7">
      <w:pPr>
        <w:pStyle w:val="FootnoteText"/>
        <w:jc w:val="both"/>
        <w:rPr>
          <w:rFonts w:ascii="Cambria" w:hAnsi="Cambria"/>
        </w:rPr>
      </w:pPr>
      <w:r w:rsidRPr="3B4348E7">
        <w:rPr>
          <w:rStyle w:val="FootnoteReference"/>
          <w:rFonts w:ascii="Cambria" w:hAnsi="Cambria"/>
          <w:sz w:val="18"/>
          <w:szCs w:val="18"/>
        </w:rPr>
        <w:footnoteRef/>
      </w:r>
      <w:r w:rsidRPr="3B4348E7">
        <w:rPr>
          <w:rFonts w:ascii="Cambria" w:hAnsi="Cambria"/>
          <w:sz w:val="18"/>
          <w:szCs w:val="18"/>
        </w:rPr>
        <w:t xml:space="preserve"> „Kulturno dobro je svako nepokretno, pokretno i nematerijalno dobro za koje je utvrđeno da je od trajnog istorijskog, umjetničkog, naučnog, arheološkog, arhitektonskog, antropološkog, tehničkog ili drugog društvenog značaja.” (Zakon o zaštiti kulturnih dobara, Službeni list Crne Gore br. 49/10)</w:t>
      </w:r>
    </w:p>
  </w:footnote>
  <w:footnote w:id="12">
    <w:p w:rsidR="00596F9E" w:rsidRPr="00343C8A" w:rsidRDefault="00596F9E" w:rsidP="3B4348E7">
      <w:pPr>
        <w:pStyle w:val="FootnoteText"/>
        <w:jc w:val="both"/>
        <w:rPr>
          <w:rFonts w:ascii="Cambria" w:hAnsi="Cambria"/>
        </w:rPr>
      </w:pPr>
      <w:r w:rsidRPr="3B4348E7">
        <w:rPr>
          <w:rStyle w:val="FootnoteReference"/>
          <w:rFonts w:ascii="Cambria" w:hAnsi="Cambria"/>
          <w:sz w:val="18"/>
          <w:szCs w:val="18"/>
        </w:rPr>
        <w:footnoteRef/>
      </w:r>
      <w:r w:rsidRPr="3B4348E7">
        <w:rPr>
          <w:rFonts w:ascii="Cambria" w:hAnsi="Cambria"/>
          <w:sz w:val="18"/>
          <w:szCs w:val="18"/>
        </w:rPr>
        <w:t xml:space="preserve"> Upis je izvršen u skladu sa Zakonom o zaštiti kulturnih dobara (Sl. list CG, br. 49/10 i 41/11) i Pravilnikom o registru kulturnih dobara (Sl. list CG br. 19/11)</w:t>
      </w:r>
    </w:p>
  </w:footnote>
  <w:footnote w:id="13">
    <w:p w:rsidR="00596F9E" w:rsidRPr="00445F58" w:rsidRDefault="00596F9E" w:rsidP="3B4348E7">
      <w:pPr>
        <w:pStyle w:val="FootnoteText"/>
        <w:rPr>
          <w:rFonts w:ascii="Cambria" w:hAnsi="Cambria"/>
          <w:i/>
        </w:rPr>
      </w:pPr>
      <w:r w:rsidRPr="00445F58">
        <w:rPr>
          <w:rStyle w:val="FootnoteReference"/>
          <w:rFonts w:ascii="Cambria" w:hAnsi="Cambria"/>
          <w:i/>
        </w:rPr>
        <w:footnoteRef/>
      </w:r>
      <w:r w:rsidRPr="00445F58">
        <w:rPr>
          <w:rFonts w:ascii="Cambria" w:hAnsi="Cambria"/>
          <w:i/>
        </w:rPr>
        <w:t xml:space="preserve"> World Health Organization, Montenegro: WHO statistical profile, Last updated: January, 2015, http://www.who.int/gho/countries/ mne.pdf.</w:t>
      </w:r>
    </w:p>
  </w:footnote>
  <w:footnote w:id="14">
    <w:p w:rsidR="00596F9E" w:rsidRPr="006239DA" w:rsidRDefault="00596F9E" w:rsidP="3B4348E7">
      <w:pPr>
        <w:pStyle w:val="FootnoteText"/>
      </w:pPr>
      <w:r w:rsidRPr="00445F58">
        <w:rPr>
          <w:rStyle w:val="FootnoteReference"/>
          <w:rFonts w:ascii="Cambria" w:hAnsi="Cambria"/>
          <w:i/>
        </w:rPr>
        <w:footnoteRef/>
      </w:r>
      <w:r w:rsidRPr="00445F58">
        <w:rPr>
          <w:rFonts w:ascii="Cambria" w:hAnsi="Cambria"/>
          <w:i/>
        </w:rPr>
        <w:t xml:space="preserve"> Izvještaji Instituta za javno zdravlje Crne Gore.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9E" w:rsidRPr="001154A7" w:rsidRDefault="00596F9E" w:rsidP="00C14311">
    <w:pPr>
      <w:tabs>
        <w:tab w:val="left" w:pos="5265"/>
        <w:tab w:val="left" w:pos="5742"/>
        <w:tab w:val="left" w:pos="8280"/>
      </w:tabs>
      <w:spacing w:after="0" w:line="240" w:lineRule="auto"/>
      <w:jc w:val="center"/>
      <w:rPr>
        <w:rFonts w:ascii="Verdana" w:hAnsi="Verdana"/>
        <w:color w:val="548DD4"/>
        <w:lang w:val="sr-Latn-CS"/>
      </w:rPr>
    </w:pPr>
    <w:r w:rsidRPr="001154A7">
      <w:rPr>
        <w:rFonts w:ascii="Verdana" w:hAnsi="Verdana"/>
        <w:color w:val="548DD4"/>
      </w:rPr>
      <w:t>S</w:t>
    </w:r>
    <w:r>
      <w:rPr>
        <w:rFonts w:ascii="Verdana" w:hAnsi="Verdana"/>
        <w:color w:val="548DD4"/>
      </w:rPr>
      <w:t>trateška procjena uticaja na životnu sredinu Državnog plana eksplo</w:t>
    </w:r>
    <w:r w:rsidRPr="001B7A5B">
      <w:rPr>
        <w:rFonts w:ascii="Verdana" w:hAnsi="Verdana"/>
        <w:color w:val="548DD4"/>
      </w:rPr>
      <w:t>at</w:t>
    </w:r>
    <w:r w:rsidR="003569DD">
      <w:rPr>
        <w:rFonts w:ascii="Verdana" w:hAnsi="Verdana"/>
        <w:color w:val="548DD4"/>
      </w:rPr>
      <w:t>a</w:t>
    </w:r>
    <w:r w:rsidRPr="001B7A5B">
      <w:rPr>
        <w:rFonts w:ascii="Verdana" w:hAnsi="Verdana"/>
        <w:color w:val="548DD4"/>
      </w:rPr>
      <w:t>cije mineralni</w:t>
    </w:r>
    <w:r>
      <w:rPr>
        <w:rFonts w:ascii="Verdana" w:hAnsi="Verdana"/>
        <w:color w:val="548DD4"/>
      </w:rPr>
      <w:t>h sirovina za period 2019-2028 - NACRT Izvještaja</w:t>
    </w:r>
  </w:p>
  <w:p w:rsidR="00596F9E" w:rsidRDefault="00596F9E" w:rsidP="00C14311">
    <w:pPr>
      <w:tabs>
        <w:tab w:val="left" w:pos="5265"/>
        <w:tab w:val="left" w:pos="5742"/>
        <w:tab w:val="left" w:pos="8280"/>
      </w:tabs>
      <w:spacing w:after="0" w:line="240" w:lineRule="auto"/>
      <w:rPr>
        <w:rFonts w:ascii="Verdana" w:hAnsi="Verdana"/>
        <w:u w:val="single"/>
      </w:rPr>
    </w:pPr>
    <w:r>
      <w:rPr>
        <w:rFonts w:ascii="Verdana" w:hAnsi="Verdana"/>
        <w:u w:val="single"/>
      </w:rPr>
      <w:tab/>
      <w:t>__________________________</w:t>
    </w:r>
  </w:p>
  <w:p w:rsidR="00596F9E" w:rsidRPr="001154A7" w:rsidRDefault="00596F9E" w:rsidP="00C14311">
    <w:pPr>
      <w:tabs>
        <w:tab w:val="left" w:pos="5265"/>
        <w:tab w:val="left" w:pos="5742"/>
        <w:tab w:val="left" w:pos="8280"/>
      </w:tabs>
      <w:spacing w:after="0"/>
      <w:rPr>
        <w:rFonts w:ascii="Verdana" w:hAnsi="Verdana"/>
        <w:color w:val="808080"/>
        <w:u w:val="single"/>
      </w:rPr>
    </w:pPr>
    <w:r>
      <w:rPr>
        <w:rFonts w:ascii="Verdana" w:hAnsi="Verdana"/>
        <w:i/>
      </w:rPr>
      <w:t xml:space="preserve">                                                                                   </w:t>
    </w:r>
    <w:r w:rsidRPr="001154A7">
      <w:rPr>
        <w:rFonts w:ascii="Verdana" w:hAnsi="Verdana"/>
        <w:i/>
        <w:color w:val="808080"/>
      </w:rPr>
      <w:t>Ministarstvo ekonomije</w:t>
    </w:r>
  </w:p>
  <w:p w:rsidR="00596F9E" w:rsidRPr="00C14311" w:rsidRDefault="00596F9E" w:rsidP="00C14311">
    <w:pPr>
      <w:pStyle w:val="Header"/>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9E" w:rsidRPr="001154A7" w:rsidRDefault="00596F9E" w:rsidP="001154A7">
    <w:pPr>
      <w:tabs>
        <w:tab w:val="left" w:pos="5265"/>
        <w:tab w:val="left" w:pos="5742"/>
        <w:tab w:val="left" w:pos="8280"/>
      </w:tabs>
      <w:spacing w:after="0" w:line="240" w:lineRule="auto"/>
      <w:rPr>
        <w:rFonts w:ascii="Verdana" w:hAnsi="Verdana"/>
        <w:color w:val="9BBB59"/>
      </w:rPr>
    </w:pPr>
  </w:p>
  <w:p w:rsidR="00596F9E" w:rsidRPr="001154A7" w:rsidRDefault="00596F9E" w:rsidP="00722DF4">
    <w:pPr>
      <w:tabs>
        <w:tab w:val="left" w:pos="5265"/>
        <w:tab w:val="left" w:pos="5742"/>
        <w:tab w:val="left" w:pos="8280"/>
      </w:tabs>
      <w:spacing w:after="0" w:line="240" w:lineRule="auto"/>
      <w:jc w:val="center"/>
      <w:rPr>
        <w:rFonts w:ascii="Verdana" w:hAnsi="Verdana"/>
        <w:color w:val="548DD4"/>
        <w:lang w:val="sr-Latn-CS"/>
      </w:rPr>
    </w:pPr>
    <w:r w:rsidRPr="001154A7">
      <w:rPr>
        <w:rFonts w:ascii="Verdana" w:hAnsi="Verdana"/>
        <w:color w:val="548DD4"/>
      </w:rPr>
      <w:t>S</w:t>
    </w:r>
    <w:r>
      <w:rPr>
        <w:rFonts w:ascii="Verdana" w:hAnsi="Verdana"/>
        <w:color w:val="548DD4"/>
      </w:rPr>
      <w:t>trateška procjena uticaja na životnu sredinu Državnog plana eksplo</w:t>
    </w:r>
    <w:r w:rsidRPr="001B7A5B">
      <w:rPr>
        <w:rFonts w:ascii="Verdana" w:hAnsi="Verdana"/>
        <w:color w:val="548DD4"/>
      </w:rPr>
      <w:t>at</w:t>
    </w:r>
    <w:r w:rsidR="00463A9B">
      <w:rPr>
        <w:rFonts w:ascii="Verdana" w:hAnsi="Verdana"/>
        <w:color w:val="548DD4"/>
      </w:rPr>
      <w:t>a</w:t>
    </w:r>
    <w:r w:rsidRPr="001B7A5B">
      <w:rPr>
        <w:rFonts w:ascii="Verdana" w:hAnsi="Verdana"/>
        <w:color w:val="548DD4"/>
      </w:rPr>
      <w:t>cije mineralni</w:t>
    </w:r>
    <w:r>
      <w:rPr>
        <w:rFonts w:ascii="Verdana" w:hAnsi="Verdana"/>
        <w:color w:val="548DD4"/>
      </w:rPr>
      <w:t>h sirovina za period 2019-2028 - NACRT</w:t>
    </w:r>
    <w:r w:rsidR="005E6701">
      <w:rPr>
        <w:rFonts w:ascii="Verdana" w:hAnsi="Verdana"/>
        <w:color w:val="548DD4"/>
      </w:rPr>
      <w:t xml:space="preserve"> Izvještaja</w:t>
    </w:r>
  </w:p>
  <w:p w:rsidR="00596F9E" w:rsidRDefault="00596F9E" w:rsidP="001154A7">
    <w:pPr>
      <w:tabs>
        <w:tab w:val="left" w:pos="5265"/>
        <w:tab w:val="left" w:pos="5742"/>
        <w:tab w:val="left" w:pos="8280"/>
      </w:tabs>
      <w:spacing w:after="0" w:line="240" w:lineRule="auto"/>
      <w:rPr>
        <w:rFonts w:ascii="Verdana" w:hAnsi="Verdana"/>
        <w:u w:val="single"/>
      </w:rPr>
    </w:pPr>
    <w:r>
      <w:rPr>
        <w:rFonts w:ascii="Verdana" w:hAnsi="Verdana"/>
        <w:u w:val="single"/>
      </w:rPr>
      <w:tab/>
      <w:t>_____________________________</w:t>
    </w:r>
  </w:p>
  <w:p w:rsidR="00596F9E" w:rsidRPr="001154A7" w:rsidRDefault="00596F9E" w:rsidP="001154A7">
    <w:pPr>
      <w:tabs>
        <w:tab w:val="left" w:pos="5265"/>
        <w:tab w:val="left" w:pos="5742"/>
        <w:tab w:val="left" w:pos="8280"/>
      </w:tabs>
      <w:spacing w:after="0"/>
      <w:rPr>
        <w:rFonts w:ascii="Verdana" w:hAnsi="Verdana"/>
        <w:color w:val="808080"/>
        <w:u w:val="single"/>
      </w:rPr>
    </w:pPr>
    <w:r>
      <w:rPr>
        <w:rFonts w:ascii="Verdana" w:hAnsi="Verdana"/>
        <w:i/>
      </w:rPr>
      <w:t xml:space="preserve">                                                                                     </w:t>
    </w:r>
    <w:r w:rsidRPr="001154A7">
      <w:rPr>
        <w:rFonts w:ascii="Verdana" w:hAnsi="Verdana"/>
        <w:i/>
        <w:color w:val="808080"/>
      </w:rPr>
      <w:t>Ministarstvo ekonomije</w:t>
    </w:r>
  </w:p>
  <w:p w:rsidR="00596F9E" w:rsidRPr="00AB3359" w:rsidRDefault="00596F9E" w:rsidP="00F01D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9E" w:rsidRPr="001154A7" w:rsidRDefault="00596F9E" w:rsidP="001154A7">
    <w:pPr>
      <w:tabs>
        <w:tab w:val="left" w:pos="5265"/>
        <w:tab w:val="left" w:pos="5742"/>
        <w:tab w:val="left" w:pos="8280"/>
      </w:tabs>
      <w:spacing w:after="0" w:line="240" w:lineRule="auto"/>
      <w:rPr>
        <w:rFonts w:ascii="Verdana" w:hAnsi="Verdana"/>
        <w:color w:val="9BBB59"/>
      </w:rPr>
    </w:pPr>
  </w:p>
  <w:p w:rsidR="00596F9E" w:rsidRPr="001154A7" w:rsidRDefault="00596F9E" w:rsidP="001154A7">
    <w:pPr>
      <w:tabs>
        <w:tab w:val="left" w:pos="5265"/>
        <w:tab w:val="left" w:pos="5742"/>
        <w:tab w:val="left" w:pos="8280"/>
      </w:tabs>
      <w:spacing w:after="0" w:line="240" w:lineRule="auto"/>
      <w:jc w:val="center"/>
      <w:rPr>
        <w:rFonts w:ascii="Verdana" w:hAnsi="Verdana"/>
        <w:color w:val="548DD4"/>
        <w:lang w:val="sr-Latn-CS"/>
      </w:rPr>
    </w:pPr>
    <w:r w:rsidRPr="001154A7">
      <w:rPr>
        <w:rFonts w:ascii="Verdana" w:hAnsi="Verdana"/>
        <w:color w:val="548DD4"/>
      </w:rPr>
      <w:t xml:space="preserve">                     SPU Izvještaj za Plan razvoja eksploatacije mineralnih sirovina</w:t>
    </w:r>
  </w:p>
  <w:p w:rsidR="00596F9E" w:rsidRDefault="00596F9E" w:rsidP="001154A7">
    <w:pPr>
      <w:tabs>
        <w:tab w:val="left" w:pos="5265"/>
        <w:tab w:val="left" w:pos="5742"/>
        <w:tab w:val="left" w:pos="8280"/>
      </w:tabs>
      <w:spacing w:after="0" w:line="240" w:lineRule="auto"/>
      <w:rPr>
        <w:rFonts w:ascii="Verdana" w:hAnsi="Verdana"/>
        <w:u w:val="single"/>
      </w:rPr>
    </w:pPr>
    <w:r>
      <w:rPr>
        <w:rFonts w:ascii="Verdana" w:hAnsi="Verdana"/>
        <w:u w:val="single"/>
      </w:rPr>
      <w:tab/>
      <w:t>_____________________________</w:t>
    </w:r>
  </w:p>
  <w:p w:rsidR="00596F9E" w:rsidRPr="001154A7" w:rsidRDefault="00596F9E" w:rsidP="001154A7">
    <w:pPr>
      <w:tabs>
        <w:tab w:val="left" w:pos="5265"/>
        <w:tab w:val="left" w:pos="5742"/>
        <w:tab w:val="left" w:pos="8280"/>
      </w:tabs>
      <w:spacing w:after="0"/>
      <w:rPr>
        <w:rFonts w:ascii="Verdana" w:hAnsi="Verdana"/>
        <w:color w:val="808080"/>
        <w:u w:val="single"/>
      </w:rPr>
    </w:pPr>
    <w:r>
      <w:rPr>
        <w:rFonts w:ascii="Verdana" w:hAnsi="Verdana"/>
        <w:i/>
      </w:rPr>
      <w:t xml:space="preserve">                                                                                     </w:t>
    </w:r>
    <w:r w:rsidRPr="001154A7">
      <w:rPr>
        <w:rFonts w:ascii="Verdana" w:hAnsi="Verdana"/>
        <w:i/>
        <w:color w:val="808080"/>
      </w:rPr>
      <w:t>Ministarstvo ekonomije</w:t>
    </w:r>
  </w:p>
  <w:p w:rsidR="00596F9E" w:rsidRPr="001154A7" w:rsidRDefault="00596F9E" w:rsidP="00115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pt;height:.75pt;visibility:visible" o:bullet="t">
        <v:imagedata r:id="rId1" o:title=""/>
      </v:shape>
    </w:pict>
  </w:numPicBullet>
  <w:abstractNum w:abstractNumId="0" w15:restartNumberingAfterBreak="0">
    <w:nsid w:val="00A03A47"/>
    <w:multiLevelType w:val="multilevel"/>
    <w:tmpl w:val="40A215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3A1357"/>
    <w:multiLevelType w:val="hybridMultilevel"/>
    <w:tmpl w:val="EE30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14AA0"/>
    <w:multiLevelType w:val="hybridMultilevel"/>
    <w:tmpl w:val="037AB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001B9"/>
    <w:multiLevelType w:val="hybridMultilevel"/>
    <w:tmpl w:val="F0C089B8"/>
    <w:lvl w:ilvl="0" w:tplc="AC02590C">
      <w:numFmt w:val="bullet"/>
      <w:lvlText w:val="-"/>
      <w:lvlJc w:val="left"/>
      <w:pPr>
        <w:ind w:left="720" w:hanging="360"/>
      </w:pPr>
      <w:rPr>
        <w:rFonts w:ascii="Arial Narrow" w:eastAsia="Times New Roman" w:hAnsi="Arial Narrow"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82A33"/>
    <w:multiLevelType w:val="hybridMultilevel"/>
    <w:tmpl w:val="C30AF16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0B130E81"/>
    <w:multiLevelType w:val="multilevel"/>
    <w:tmpl w:val="6A4449F2"/>
    <w:styleLink w:val="ArticleSection"/>
    <w:lvl w:ilvl="0">
      <w:start w:val="1"/>
      <w:numFmt w:val="none"/>
      <w:pStyle w:val="Heading1"/>
      <w:lvlText w:val="Article %1."/>
      <w:lvlJc w:val="left"/>
      <w:pPr>
        <w:tabs>
          <w:tab w:val="num" w:pos="1440"/>
        </w:tabs>
        <w:ind w:left="0" w:firstLine="0"/>
      </w:pPr>
      <w:rPr>
        <w:rFonts w:hint="default"/>
      </w:rPr>
    </w:lvl>
    <w:lvl w:ilvl="1">
      <w:start w:val="1"/>
      <w:numFmt w:val="decimalZero"/>
      <w:pStyle w:val="Heading2"/>
      <w:isLgl/>
      <w:lvlText w:val="Section %1.%2"/>
      <w:lvlJc w:val="left"/>
      <w:pPr>
        <w:tabs>
          <w:tab w:val="num" w:pos="1440"/>
        </w:tabs>
        <w:ind w:left="0" w:firstLine="0"/>
      </w:pPr>
      <w:rPr>
        <w:rFonts w:hint="default"/>
      </w:rPr>
    </w:lvl>
    <w:lvl w:ilvl="2">
      <w:start w:val="1"/>
      <w:numFmt w:val="lowerLetter"/>
      <w:pStyle w:val="Heading3"/>
      <w:lvlText w:val="(%3)"/>
      <w:lvlJc w:val="left"/>
      <w:pPr>
        <w:tabs>
          <w:tab w:val="num" w:pos="1440"/>
        </w:tabs>
        <w:ind w:left="0" w:firstLine="0"/>
      </w:pPr>
      <w:rPr>
        <w:rFonts w:hint="default"/>
      </w:rPr>
    </w:lvl>
    <w:lvl w:ilvl="3">
      <w:start w:val="1"/>
      <w:numFmt w:val="lowerRoman"/>
      <w:pStyle w:val="Heading4"/>
      <w:lvlText w:val="(%4)"/>
      <w:lvlJc w:val="right"/>
      <w:pPr>
        <w:tabs>
          <w:tab w:val="num" w:pos="1440"/>
        </w:tabs>
        <w:ind w:left="0" w:firstLine="0"/>
      </w:pPr>
      <w:rPr>
        <w:rFonts w:hint="default"/>
      </w:rPr>
    </w:lvl>
    <w:lvl w:ilvl="4">
      <w:start w:val="1"/>
      <w:numFmt w:val="decimal"/>
      <w:pStyle w:val="Heading5"/>
      <w:lvlText w:val="%5"/>
      <w:lvlJc w:val="left"/>
      <w:pPr>
        <w:tabs>
          <w:tab w:val="num" w:pos="1440"/>
        </w:tabs>
        <w:ind w:left="0" w:firstLine="0"/>
      </w:pPr>
      <w:rPr>
        <w:rFonts w:hint="default"/>
      </w:rPr>
    </w:lvl>
    <w:lvl w:ilvl="5">
      <w:start w:val="1"/>
      <w:numFmt w:val="lowerLetter"/>
      <w:pStyle w:val="Heading6"/>
      <w:lvlText w:val="%6)"/>
      <w:lvlJc w:val="left"/>
      <w:pPr>
        <w:tabs>
          <w:tab w:val="num" w:pos="1440"/>
        </w:tabs>
        <w:ind w:left="0" w:firstLine="0"/>
      </w:pPr>
      <w:rPr>
        <w:rFonts w:hint="default"/>
      </w:rPr>
    </w:lvl>
    <w:lvl w:ilvl="6">
      <w:start w:val="1"/>
      <w:numFmt w:val="lowerRoman"/>
      <w:pStyle w:val="Heading7"/>
      <w:lvlText w:val="%7)"/>
      <w:lvlJc w:val="right"/>
      <w:pPr>
        <w:tabs>
          <w:tab w:val="num" w:pos="1440"/>
        </w:tabs>
        <w:ind w:left="0" w:firstLine="0"/>
      </w:pPr>
      <w:rPr>
        <w:rFonts w:hint="default"/>
      </w:rPr>
    </w:lvl>
    <w:lvl w:ilvl="7">
      <w:start w:val="1"/>
      <w:numFmt w:val="lowerLetter"/>
      <w:pStyle w:val="Heading8"/>
      <w:lvlText w:val="%8."/>
      <w:lvlJc w:val="left"/>
      <w:pPr>
        <w:tabs>
          <w:tab w:val="num" w:pos="1440"/>
        </w:tabs>
        <w:ind w:left="0" w:firstLine="0"/>
      </w:pPr>
      <w:rPr>
        <w:rFonts w:hint="default"/>
      </w:rPr>
    </w:lvl>
    <w:lvl w:ilvl="8">
      <w:start w:val="1"/>
      <w:numFmt w:val="lowerRoman"/>
      <w:pStyle w:val="Heading9"/>
      <w:lvlText w:val="%9."/>
      <w:lvlJc w:val="right"/>
      <w:pPr>
        <w:tabs>
          <w:tab w:val="num" w:pos="1440"/>
        </w:tabs>
        <w:ind w:left="0" w:firstLine="0"/>
      </w:pPr>
      <w:rPr>
        <w:rFonts w:hint="default"/>
      </w:rPr>
    </w:lvl>
  </w:abstractNum>
  <w:abstractNum w:abstractNumId="6" w15:restartNumberingAfterBreak="0">
    <w:nsid w:val="0CDB60D8"/>
    <w:multiLevelType w:val="hybridMultilevel"/>
    <w:tmpl w:val="66DE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427CC"/>
    <w:multiLevelType w:val="hybridMultilevel"/>
    <w:tmpl w:val="EFF4F9E8"/>
    <w:lvl w:ilvl="0" w:tplc="06565F90">
      <w:numFmt w:val="bullet"/>
      <w:lvlText w:val="-"/>
      <w:lvlJc w:val="left"/>
      <w:pPr>
        <w:ind w:left="1178" w:hanging="293"/>
      </w:pPr>
      <w:rPr>
        <w:rFonts w:ascii="Arial" w:eastAsia="Arial" w:hAnsi="Arial" w:cs="Arial" w:hint="default"/>
        <w:spacing w:val="-3"/>
        <w:w w:val="99"/>
        <w:sz w:val="24"/>
        <w:szCs w:val="24"/>
        <w:lang w:val="en-US" w:eastAsia="en-US" w:bidi="en-US"/>
      </w:rPr>
    </w:lvl>
    <w:lvl w:ilvl="1" w:tplc="91701EA4">
      <w:numFmt w:val="bullet"/>
      <w:lvlText w:val="•"/>
      <w:lvlJc w:val="left"/>
      <w:pPr>
        <w:ind w:left="2074" w:hanging="293"/>
      </w:pPr>
      <w:rPr>
        <w:rFonts w:hint="default"/>
        <w:lang w:val="en-US" w:eastAsia="en-US" w:bidi="en-US"/>
      </w:rPr>
    </w:lvl>
    <w:lvl w:ilvl="2" w:tplc="D640EC3C">
      <w:numFmt w:val="bullet"/>
      <w:lvlText w:val="•"/>
      <w:lvlJc w:val="left"/>
      <w:pPr>
        <w:ind w:left="2969" w:hanging="293"/>
      </w:pPr>
      <w:rPr>
        <w:rFonts w:hint="default"/>
        <w:lang w:val="en-US" w:eastAsia="en-US" w:bidi="en-US"/>
      </w:rPr>
    </w:lvl>
    <w:lvl w:ilvl="3" w:tplc="71E4A72C">
      <w:numFmt w:val="bullet"/>
      <w:lvlText w:val="•"/>
      <w:lvlJc w:val="left"/>
      <w:pPr>
        <w:ind w:left="3863" w:hanging="293"/>
      </w:pPr>
      <w:rPr>
        <w:rFonts w:hint="default"/>
        <w:lang w:val="en-US" w:eastAsia="en-US" w:bidi="en-US"/>
      </w:rPr>
    </w:lvl>
    <w:lvl w:ilvl="4" w:tplc="EB56D27A">
      <w:numFmt w:val="bullet"/>
      <w:lvlText w:val="•"/>
      <w:lvlJc w:val="left"/>
      <w:pPr>
        <w:ind w:left="4758" w:hanging="293"/>
      </w:pPr>
      <w:rPr>
        <w:rFonts w:hint="default"/>
        <w:lang w:val="en-US" w:eastAsia="en-US" w:bidi="en-US"/>
      </w:rPr>
    </w:lvl>
    <w:lvl w:ilvl="5" w:tplc="4F086ACC">
      <w:numFmt w:val="bullet"/>
      <w:lvlText w:val="•"/>
      <w:lvlJc w:val="left"/>
      <w:pPr>
        <w:ind w:left="5653" w:hanging="293"/>
      </w:pPr>
      <w:rPr>
        <w:rFonts w:hint="default"/>
        <w:lang w:val="en-US" w:eastAsia="en-US" w:bidi="en-US"/>
      </w:rPr>
    </w:lvl>
    <w:lvl w:ilvl="6" w:tplc="7F3A610C">
      <w:numFmt w:val="bullet"/>
      <w:lvlText w:val="•"/>
      <w:lvlJc w:val="left"/>
      <w:pPr>
        <w:ind w:left="6547" w:hanging="293"/>
      </w:pPr>
      <w:rPr>
        <w:rFonts w:hint="default"/>
        <w:lang w:val="en-US" w:eastAsia="en-US" w:bidi="en-US"/>
      </w:rPr>
    </w:lvl>
    <w:lvl w:ilvl="7" w:tplc="69FC555E">
      <w:numFmt w:val="bullet"/>
      <w:lvlText w:val="•"/>
      <w:lvlJc w:val="left"/>
      <w:pPr>
        <w:ind w:left="7442" w:hanging="293"/>
      </w:pPr>
      <w:rPr>
        <w:rFonts w:hint="default"/>
        <w:lang w:val="en-US" w:eastAsia="en-US" w:bidi="en-US"/>
      </w:rPr>
    </w:lvl>
    <w:lvl w:ilvl="8" w:tplc="7CFC44C8">
      <w:numFmt w:val="bullet"/>
      <w:lvlText w:val="•"/>
      <w:lvlJc w:val="left"/>
      <w:pPr>
        <w:ind w:left="8337" w:hanging="293"/>
      </w:pPr>
      <w:rPr>
        <w:rFonts w:hint="default"/>
        <w:lang w:val="en-US" w:eastAsia="en-US" w:bidi="en-US"/>
      </w:rPr>
    </w:lvl>
  </w:abstractNum>
  <w:abstractNum w:abstractNumId="8" w15:restartNumberingAfterBreak="0">
    <w:nsid w:val="143C65DF"/>
    <w:multiLevelType w:val="hybridMultilevel"/>
    <w:tmpl w:val="F22898E0"/>
    <w:lvl w:ilvl="0" w:tplc="59020D8E">
      <w:start w:val="1"/>
      <w:numFmt w:val="bullet"/>
      <w:lvlText w:val=""/>
      <w:lvlJc w:val="left"/>
      <w:pPr>
        <w:ind w:left="720" w:hanging="360"/>
      </w:pPr>
      <w:rPr>
        <w:rFonts w:ascii="Symbol" w:hAnsi="Symbol" w:hint="default"/>
      </w:rPr>
    </w:lvl>
    <w:lvl w:ilvl="1" w:tplc="7010745E">
      <w:start w:val="1"/>
      <w:numFmt w:val="bullet"/>
      <w:lvlText w:val="o"/>
      <w:lvlJc w:val="left"/>
      <w:pPr>
        <w:ind w:left="1440" w:hanging="360"/>
      </w:pPr>
      <w:rPr>
        <w:rFonts w:ascii="Courier New" w:hAnsi="Courier New" w:hint="default"/>
      </w:rPr>
    </w:lvl>
    <w:lvl w:ilvl="2" w:tplc="BC70B010">
      <w:start w:val="1"/>
      <w:numFmt w:val="bullet"/>
      <w:lvlText w:val=""/>
      <w:lvlJc w:val="left"/>
      <w:pPr>
        <w:ind w:left="2160" w:hanging="360"/>
      </w:pPr>
      <w:rPr>
        <w:rFonts w:ascii="Wingdings" w:hAnsi="Wingdings" w:hint="default"/>
      </w:rPr>
    </w:lvl>
    <w:lvl w:ilvl="3" w:tplc="E64CB7BA">
      <w:start w:val="1"/>
      <w:numFmt w:val="bullet"/>
      <w:lvlText w:val=""/>
      <w:lvlJc w:val="left"/>
      <w:pPr>
        <w:ind w:left="2880" w:hanging="360"/>
      </w:pPr>
      <w:rPr>
        <w:rFonts w:ascii="Symbol" w:hAnsi="Symbol" w:hint="default"/>
      </w:rPr>
    </w:lvl>
    <w:lvl w:ilvl="4" w:tplc="D098F142">
      <w:start w:val="1"/>
      <w:numFmt w:val="bullet"/>
      <w:lvlText w:val="o"/>
      <w:lvlJc w:val="left"/>
      <w:pPr>
        <w:ind w:left="3600" w:hanging="360"/>
      </w:pPr>
      <w:rPr>
        <w:rFonts w:ascii="Courier New" w:hAnsi="Courier New" w:hint="default"/>
      </w:rPr>
    </w:lvl>
    <w:lvl w:ilvl="5" w:tplc="0896A134">
      <w:start w:val="1"/>
      <w:numFmt w:val="bullet"/>
      <w:lvlText w:val=""/>
      <w:lvlJc w:val="left"/>
      <w:pPr>
        <w:ind w:left="4320" w:hanging="360"/>
      </w:pPr>
      <w:rPr>
        <w:rFonts w:ascii="Wingdings" w:hAnsi="Wingdings" w:hint="default"/>
      </w:rPr>
    </w:lvl>
    <w:lvl w:ilvl="6" w:tplc="CC625272">
      <w:start w:val="1"/>
      <w:numFmt w:val="bullet"/>
      <w:lvlText w:val=""/>
      <w:lvlJc w:val="left"/>
      <w:pPr>
        <w:ind w:left="5040" w:hanging="360"/>
      </w:pPr>
      <w:rPr>
        <w:rFonts w:ascii="Symbol" w:hAnsi="Symbol" w:hint="default"/>
      </w:rPr>
    </w:lvl>
    <w:lvl w:ilvl="7" w:tplc="64E04E92">
      <w:start w:val="1"/>
      <w:numFmt w:val="bullet"/>
      <w:lvlText w:val="o"/>
      <w:lvlJc w:val="left"/>
      <w:pPr>
        <w:ind w:left="5760" w:hanging="360"/>
      </w:pPr>
      <w:rPr>
        <w:rFonts w:ascii="Courier New" w:hAnsi="Courier New" w:hint="default"/>
      </w:rPr>
    </w:lvl>
    <w:lvl w:ilvl="8" w:tplc="8DFA1516">
      <w:start w:val="1"/>
      <w:numFmt w:val="bullet"/>
      <w:lvlText w:val=""/>
      <w:lvlJc w:val="left"/>
      <w:pPr>
        <w:ind w:left="6480" w:hanging="360"/>
      </w:pPr>
      <w:rPr>
        <w:rFonts w:ascii="Wingdings" w:hAnsi="Wingdings" w:hint="default"/>
      </w:rPr>
    </w:lvl>
  </w:abstractNum>
  <w:abstractNum w:abstractNumId="9" w15:restartNumberingAfterBreak="0">
    <w:nsid w:val="14AE13C8"/>
    <w:multiLevelType w:val="hybridMultilevel"/>
    <w:tmpl w:val="210C1B80"/>
    <w:lvl w:ilvl="0" w:tplc="354886D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24C5C"/>
    <w:multiLevelType w:val="multilevel"/>
    <w:tmpl w:val="64CA1E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C527EF"/>
    <w:multiLevelType w:val="hybridMultilevel"/>
    <w:tmpl w:val="6BD41778"/>
    <w:lvl w:ilvl="0" w:tplc="354886D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E63B3C"/>
    <w:multiLevelType w:val="hybridMultilevel"/>
    <w:tmpl w:val="2EB8B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40460"/>
    <w:multiLevelType w:val="hybridMultilevel"/>
    <w:tmpl w:val="22F0A41E"/>
    <w:lvl w:ilvl="0" w:tplc="863E9896">
      <w:start w:val="1"/>
      <w:numFmt w:val="upperRoman"/>
      <w:pStyle w:val="Heading0"/>
      <w:lvlText w:val="%1"/>
      <w:lvlJc w:val="left"/>
      <w:pPr>
        <w:ind w:left="10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902740"/>
    <w:multiLevelType w:val="hybridMultilevel"/>
    <w:tmpl w:val="AF26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A7489"/>
    <w:multiLevelType w:val="hybridMultilevel"/>
    <w:tmpl w:val="D9BA668E"/>
    <w:lvl w:ilvl="0" w:tplc="EA3EEC5C">
      <w:start w:val="1"/>
      <w:numFmt w:val="bullet"/>
      <w:lvlText w:val=""/>
      <w:lvlJc w:val="left"/>
      <w:pPr>
        <w:ind w:left="720" w:hanging="360"/>
      </w:pPr>
      <w:rPr>
        <w:rFonts w:ascii="Symbol" w:hAnsi="Symbol" w:hint="default"/>
      </w:rPr>
    </w:lvl>
    <w:lvl w:ilvl="1" w:tplc="093C9540">
      <w:start w:val="1"/>
      <w:numFmt w:val="bullet"/>
      <w:lvlText w:val="o"/>
      <w:lvlJc w:val="left"/>
      <w:pPr>
        <w:ind w:left="1440" w:hanging="360"/>
      </w:pPr>
      <w:rPr>
        <w:rFonts w:ascii="Courier New" w:hAnsi="Courier New" w:hint="default"/>
      </w:rPr>
    </w:lvl>
    <w:lvl w:ilvl="2" w:tplc="616A99B0">
      <w:start w:val="1"/>
      <w:numFmt w:val="bullet"/>
      <w:lvlText w:val=""/>
      <w:lvlJc w:val="left"/>
      <w:pPr>
        <w:ind w:left="2160" w:hanging="360"/>
      </w:pPr>
      <w:rPr>
        <w:rFonts w:ascii="Wingdings" w:hAnsi="Wingdings" w:hint="default"/>
      </w:rPr>
    </w:lvl>
    <w:lvl w:ilvl="3" w:tplc="645E0024">
      <w:start w:val="1"/>
      <w:numFmt w:val="bullet"/>
      <w:lvlText w:val=""/>
      <w:lvlJc w:val="left"/>
      <w:pPr>
        <w:ind w:left="2880" w:hanging="360"/>
      </w:pPr>
      <w:rPr>
        <w:rFonts w:ascii="Symbol" w:hAnsi="Symbol" w:hint="default"/>
      </w:rPr>
    </w:lvl>
    <w:lvl w:ilvl="4" w:tplc="E6222DCA">
      <w:start w:val="1"/>
      <w:numFmt w:val="bullet"/>
      <w:lvlText w:val="o"/>
      <w:lvlJc w:val="left"/>
      <w:pPr>
        <w:ind w:left="3600" w:hanging="360"/>
      </w:pPr>
      <w:rPr>
        <w:rFonts w:ascii="Courier New" w:hAnsi="Courier New" w:hint="default"/>
      </w:rPr>
    </w:lvl>
    <w:lvl w:ilvl="5" w:tplc="E48455E4">
      <w:start w:val="1"/>
      <w:numFmt w:val="bullet"/>
      <w:lvlText w:val=""/>
      <w:lvlJc w:val="left"/>
      <w:pPr>
        <w:ind w:left="4320" w:hanging="360"/>
      </w:pPr>
      <w:rPr>
        <w:rFonts w:ascii="Wingdings" w:hAnsi="Wingdings" w:hint="default"/>
      </w:rPr>
    </w:lvl>
    <w:lvl w:ilvl="6" w:tplc="60FACF96">
      <w:start w:val="1"/>
      <w:numFmt w:val="bullet"/>
      <w:lvlText w:val=""/>
      <w:lvlJc w:val="left"/>
      <w:pPr>
        <w:ind w:left="5040" w:hanging="360"/>
      </w:pPr>
      <w:rPr>
        <w:rFonts w:ascii="Symbol" w:hAnsi="Symbol" w:hint="default"/>
      </w:rPr>
    </w:lvl>
    <w:lvl w:ilvl="7" w:tplc="30E896EC">
      <w:start w:val="1"/>
      <w:numFmt w:val="bullet"/>
      <w:lvlText w:val="o"/>
      <w:lvlJc w:val="left"/>
      <w:pPr>
        <w:ind w:left="5760" w:hanging="360"/>
      </w:pPr>
      <w:rPr>
        <w:rFonts w:ascii="Courier New" w:hAnsi="Courier New" w:hint="default"/>
      </w:rPr>
    </w:lvl>
    <w:lvl w:ilvl="8" w:tplc="57BE71B4">
      <w:start w:val="1"/>
      <w:numFmt w:val="bullet"/>
      <w:lvlText w:val=""/>
      <w:lvlJc w:val="left"/>
      <w:pPr>
        <w:ind w:left="6480" w:hanging="360"/>
      </w:pPr>
      <w:rPr>
        <w:rFonts w:ascii="Wingdings" w:hAnsi="Wingdings" w:hint="default"/>
      </w:rPr>
    </w:lvl>
  </w:abstractNum>
  <w:abstractNum w:abstractNumId="16" w15:restartNumberingAfterBreak="0">
    <w:nsid w:val="2D1F30B9"/>
    <w:multiLevelType w:val="hybridMultilevel"/>
    <w:tmpl w:val="253CD09E"/>
    <w:lvl w:ilvl="0" w:tplc="397004A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1485E"/>
    <w:multiLevelType w:val="hybridMultilevel"/>
    <w:tmpl w:val="195A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85454A"/>
    <w:multiLevelType w:val="hybridMultilevel"/>
    <w:tmpl w:val="F6BA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F639E5"/>
    <w:multiLevelType w:val="hybridMultilevel"/>
    <w:tmpl w:val="EB467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84F33"/>
    <w:multiLevelType w:val="hybridMultilevel"/>
    <w:tmpl w:val="C0505C18"/>
    <w:lvl w:ilvl="0" w:tplc="AAE6CCA6">
      <w:numFmt w:val="bullet"/>
      <w:lvlText w:val="•"/>
      <w:lvlJc w:val="left"/>
      <w:pPr>
        <w:ind w:left="720" w:hanging="360"/>
      </w:pPr>
      <w:rPr>
        <w:rFonts w:ascii="Calibri" w:eastAsia="Calibri" w:hAnsi="Calibri" w:cs="Times-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67F24"/>
    <w:multiLevelType w:val="hybridMultilevel"/>
    <w:tmpl w:val="162E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653B6"/>
    <w:multiLevelType w:val="hybridMultilevel"/>
    <w:tmpl w:val="81E4AA4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3CC7702C"/>
    <w:multiLevelType w:val="hybridMultilevel"/>
    <w:tmpl w:val="4B8E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A05C8"/>
    <w:multiLevelType w:val="hybridMultilevel"/>
    <w:tmpl w:val="12605E24"/>
    <w:lvl w:ilvl="0" w:tplc="354886D4">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CE4FCC"/>
    <w:multiLevelType w:val="hybridMultilevel"/>
    <w:tmpl w:val="3F20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21F62"/>
    <w:multiLevelType w:val="hybridMultilevel"/>
    <w:tmpl w:val="A14EC5E8"/>
    <w:lvl w:ilvl="0" w:tplc="AC02590C">
      <w:numFmt w:val="bullet"/>
      <w:lvlText w:val="-"/>
      <w:lvlJc w:val="left"/>
      <w:pPr>
        <w:ind w:left="720" w:hanging="360"/>
      </w:pPr>
      <w:rPr>
        <w:rFonts w:ascii="Arial Narrow" w:eastAsia="Times New Roman" w:hAnsi="Arial Narrow"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70760"/>
    <w:multiLevelType w:val="hybridMultilevel"/>
    <w:tmpl w:val="D8885A24"/>
    <w:lvl w:ilvl="0" w:tplc="2C1A0001">
      <w:start w:val="1"/>
      <w:numFmt w:val="bullet"/>
      <w:lvlText w:val=""/>
      <w:lvlJc w:val="left"/>
      <w:pPr>
        <w:ind w:left="720" w:hanging="360"/>
      </w:pPr>
      <w:rPr>
        <w:rFonts w:ascii="Symbol" w:hAnsi="Symbol" w:hint="default"/>
      </w:rPr>
    </w:lvl>
    <w:lvl w:ilvl="1" w:tplc="6480E8C2">
      <w:numFmt w:val="bullet"/>
      <w:lvlText w:val="-"/>
      <w:lvlJc w:val="left"/>
      <w:pPr>
        <w:ind w:left="1440" w:hanging="360"/>
      </w:pPr>
      <w:rPr>
        <w:rFonts w:ascii="Arial" w:eastAsia="Calibri" w:hAnsi="Arial" w:cs="Aria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487212DB"/>
    <w:multiLevelType w:val="hybridMultilevel"/>
    <w:tmpl w:val="4176D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88511E"/>
    <w:multiLevelType w:val="hybridMultilevel"/>
    <w:tmpl w:val="48A40D72"/>
    <w:lvl w:ilvl="0" w:tplc="868C1688">
      <w:start w:val="1"/>
      <w:numFmt w:val="bullet"/>
      <w:lvlText w:val=""/>
      <w:lvlJc w:val="left"/>
      <w:pPr>
        <w:tabs>
          <w:tab w:val="num" w:pos="964"/>
        </w:tabs>
        <w:ind w:left="964" w:hanging="397"/>
      </w:pPr>
      <w:rPr>
        <w:rFonts w:ascii="Symbol" w:hAnsi="Symbol" w:hint="default"/>
        <w:sz w:val="20"/>
      </w:rPr>
    </w:lvl>
    <w:lvl w:ilvl="1" w:tplc="C91812EE">
      <w:start w:val="1"/>
      <w:numFmt w:val="bullet"/>
      <w:pStyle w:val="buliti-ja"/>
      <w:lvlText w:val=""/>
      <w:lvlJc w:val="left"/>
      <w:pPr>
        <w:tabs>
          <w:tab w:val="num" w:pos="1837"/>
        </w:tabs>
        <w:ind w:left="1837" w:hanging="360"/>
      </w:pPr>
      <w:rPr>
        <w:rFonts w:ascii="Symbol" w:hAnsi="Symbol" w:hint="default"/>
      </w:rPr>
    </w:lvl>
    <w:lvl w:ilvl="2" w:tplc="B322C9AE" w:tentative="1">
      <w:start w:val="1"/>
      <w:numFmt w:val="bullet"/>
      <w:lvlText w:val=""/>
      <w:lvlJc w:val="left"/>
      <w:pPr>
        <w:tabs>
          <w:tab w:val="num" w:pos="2557"/>
        </w:tabs>
        <w:ind w:left="2557" w:hanging="360"/>
      </w:pPr>
      <w:rPr>
        <w:rFonts w:ascii="Wingdings" w:hAnsi="Wingdings" w:hint="default"/>
      </w:rPr>
    </w:lvl>
    <w:lvl w:ilvl="3" w:tplc="BFACC3BA" w:tentative="1">
      <w:start w:val="1"/>
      <w:numFmt w:val="bullet"/>
      <w:lvlText w:val=""/>
      <w:lvlJc w:val="left"/>
      <w:pPr>
        <w:tabs>
          <w:tab w:val="num" w:pos="3277"/>
        </w:tabs>
        <w:ind w:left="3277" w:hanging="360"/>
      </w:pPr>
      <w:rPr>
        <w:rFonts w:ascii="Symbol" w:hAnsi="Symbol" w:hint="default"/>
      </w:rPr>
    </w:lvl>
    <w:lvl w:ilvl="4" w:tplc="46488E04" w:tentative="1">
      <w:start w:val="1"/>
      <w:numFmt w:val="bullet"/>
      <w:lvlText w:val="o"/>
      <w:lvlJc w:val="left"/>
      <w:pPr>
        <w:tabs>
          <w:tab w:val="num" w:pos="3997"/>
        </w:tabs>
        <w:ind w:left="3997" w:hanging="360"/>
      </w:pPr>
      <w:rPr>
        <w:rFonts w:ascii="Courier New" w:hAnsi="Courier New" w:hint="default"/>
      </w:rPr>
    </w:lvl>
    <w:lvl w:ilvl="5" w:tplc="D74048F4" w:tentative="1">
      <w:start w:val="1"/>
      <w:numFmt w:val="bullet"/>
      <w:lvlText w:val=""/>
      <w:lvlJc w:val="left"/>
      <w:pPr>
        <w:tabs>
          <w:tab w:val="num" w:pos="4717"/>
        </w:tabs>
        <w:ind w:left="4717" w:hanging="360"/>
      </w:pPr>
      <w:rPr>
        <w:rFonts w:ascii="Wingdings" w:hAnsi="Wingdings" w:hint="default"/>
      </w:rPr>
    </w:lvl>
    <w:lvl w:ilvl="6" w:tplc="1764D1D8" w:tentative="1">
      <w:start w:val="1"/>
      <w:numFmt w:val="bullet"/>
      <w:lvlText w:val=""/>
      <w:lvlJc w:val="left"/>
      <w:pPr>
        <w:tabs>
          <w:tab w:val="num" w:pos="5437"/>
        </w:tabs>
        <w:ind w:left="5437" w:hanging="360"/>
      </w:pPr>
      <w:rPr>
        <w:rFonts w:ascii="Symbol" w:hAnsi="Symbol" w:hint="default"/>
      </w:rPr>
    </w:lvl>
    <w:lvl w:ilvl="7" w:tplc="0588A060" w:tentative="1">
      <w:start w:val="1"/>
      <w:numFmt w:val="bullet"/>
      <w:lvlText w:val="o"/>
      <w:lvlJc w:val="left"/>
      <w:pPr>
        <w:tabs>
          <w:tab w:val="num" w:pos="6157"/>
        </w:tabs>
        <w:ind w:left="6157" w:hanging="360"/>
      </w:pPr>
      <w:rPr>
        <w:rFonts w:ascii="Courier New" w:hAnsi="Courier New" w:hint="default"/>
      </w:rPr>
    </w:lvl>
    <w:lvl w:ilvl="8" w:tplc="1E2E09EC" w:tentative="1">
      <w:start w:val="1"/>
      <w:numFmt w:val="bullet"/>
      <w:lvlText w:val=""/>
      <w:lvlJc w:val="left"/>
      <w:pPr>
        <w:tabs>
          <w:tab w:val="num" w:pos="6877"/>
        </w:tabs>
        <w:ind w:left="6877" w:hanging="360"/>
      </w:pPr>
      <w:rPr>
        <w:rFonts w:ascii="Wingdings" w:hAnsi="Wingdings" w:hint="default"/>
      </w:rPr>
    </w:lvl>
  </w:abstractNum>
  <w:abstractNum w:abstractNumId="30" w15:restartNumberingAfterBreak="0">
    <w:nsid w:val="48F46EE1"/>
    <w:multiLevelType w:val="hybridMultilevel"/>
    <w:tmpl w:val="F132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4B1E4A"/>
    <w:multiLevelType w:val="hybridMultilevel"/>
    <w:tmpl w:val="E0526FB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2" w15:restartNumberingAfterBreak="0">
    <w:nsid w:val="50D844E9"/>
    <w:multiLevelType w:val="hybridMultilevel"/>
    <w:tmpl w:val="682E2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8E01D2"/>
    <w:multiLevelType w:val="hybridMultilevel"/>
    <w:tmpl w:val="657C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D1117D"/>
    <w:multiLevelType w:val="hybridMultilevel"/>
    <w:tmpl w:val="EFF64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2E3043C"/>
    <w:multiLevelType w:val="hybridMultilevel"/>
    <w:tmpl w:val="286E5E6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6" w15:restartNumberingAfterBreak="0">
    <w:nsid w:val="5805072D"/>
    <w:multiLevelType w:val="hybridMultilevel"/>
    <w:tmpl w:val="0E205142"/>
    <w:lvl w:ilvl="0" w:tplc="9E22112A">
      <w:start w:val="1"/>
      <w:numFmt w:val="bullet"/>
      <w:lvlText w:val=""/>
      <w:lvlJc w:val="left"/>
      <w:pPr>
        <w:ind w:left="1094" w:hanging="360"/>
      </w:pPr>
      <w:rPr>
        <w:rFonts w:ascii="Wingdings" w:hAnsi="Wingdings" w:hint="default"/>
      </w:rPr>
    </w:lvl>
    <w:lvl w:ilvl="1" w:tplc="B70CE950" w:tentative="1">
      <w:start w:val="1"/>
      <w:numFmt w:val="bullet"/>
      <w:lvlText w:val="o"/>
      <w:lvlJc w:val="left"/>
      <w:pPr>
        <w:ind w:left="1814" w:hanging="360"/>
      </w:pPr>
      <w:rPr>
        <w:rFonts w:ascii="Courier New" w:hAnsi="Courier New" w:cs="Courier New" w:hint="default"/>
      </w:rPr>
    </w:lvl>
    <w:lvl w:ilvl="2" w:tplc="4204159A" w:tentative="1">
      <w:start w:val="1"/>
      <w:numFmt w:val="bullet"/>
      <w:lvlText w:val=""/>
      <w:lvlJc w:val="left"/>
      <w:pPr>
        <w:ind w:left="2534" w:hanging="360"/>
      </w:pPr>
      <w:rPr>
        <w:rFonts w:ascii="Wingdings" w:hAnsi="Wingdings" w:hint="default"/>
      </w:rPr>
    </w:lvl>
    <w:lvl w:ilvl="3" w:tplc="1C4A98F2" w:tentative="1">
      <w:start w:val="1"/>
      <w:numFmt w:val="bullet"/>
      <w:lvlText w:val=""/>
      <w:lvlJc w:val="left"/>
      <w:pPr>
        <w:ind w:left="3254" w:hanging="360"/>
      </w:pPr>
      <w:rPr>
        <w:rFonts w:ascii="Symbol" w:hAnsi="Symbol" w:hint="default"/>
      </w:rPr>
    </w:lvl>
    <w:lvl w:ilvl="4" w:tplc="174E7DD8" w:tentative="1">
      <w:start w:val="1"/>
      <w:numFmt w:val="bullet"/>
      <w:lvlText w:val="o"/>
      <w:lvlJc w:val="left"/>
      <w:pPr>
        <w:ind w:left="3974" w:hanging="360"/>
      </w:pPr>
      <w:rPr>
        <w:rFonts w:ascii="Courier New" w:hAnsi="Courier New" w:cs="Courier New" w:hint="default"/>
      </w:rPr>
    </w:lvl>
    <w:lvl w:ilvl="5" w:tplc="3EC0CE9E" w:tentative="1">
      <w:start w:val="1"/>
      <w:numFmt w:val="bullet"/>
      <w:lvlText w:val=""/>
      <w:lvlJc w:val="left"/>
      <w:pPr>
        <w:ind w:left="4694" w:hanging="360"/>
      </w:pPr>
      <w:rPr>
        <w:rFonts w:ascii="Wingdings" w:hAnsi="Wingdings" w:hint="default"/>
      </w:rPr>
    </w:lvl>
    <w:lvl w:ilvl="6" w:tplc="4234409E" w:tentative="1">
      <w:start w:val="1"/>
      <w:numFmt w:val="bullet"/>
      <w:lvlText w:val=""/>
      <w:lvlJc w:val="left"/>
      <w:pPr>
        <w:ind w:left="5414" w:hanging="360"/>
      </w:pPr>
      <w:rPr>
        <w:rFonts w:ascii="Symbol" w:hAnsi="Symbol" w:hint="default"/>
      </w:rPr>
    </w:lvl>
    <w:lvl w:ilvl="7" w:tplc="7FFA2CEC" w:tentative="1">
      <w:start w:val="1"/>
      <w:numFmt w:val="bullet"/>
      <w:lvlText w:val="o"/>
      <w:lvlJc w:val="left"/>
      <w:pPr>
        <w:ind w:left="6134" w:hanging="360"/>
      </w:pPr>
      <w:rPr>
        <w:rFonts w:ascii="Courier New" w:hAnsi="Courier New" w:cs="Courier New" w:hint="default"/>
      </w:rPr>
    </w:lvl>
    <w:lvl w:ilvl="8" w:tplc="A6048650" w:tentative="1">
      <w:start w:val="1"/>
      <w:numFmt w:val="bullet"/>
      <w:lvlText w:val=""/>
      <w:lvlJc w:val="left"/>
      <w:pPr>
        <w:ind w:left="6854" w:hanging="360"/>
      </w:pPr>
      <w:rPr>
        <w:rFonts w:ascii="Wingdings" w:hAnsi="Wingdings" w:hint="default"/>
      </w:rPr>
    </w:lvl>
  </w:abstractNum>
  <w:abstractNum w:abstractNumId="37" w15:restartNumberingAfterBreak="0">
    <w:nsid w:val="581F5310"/>
    <w:multiLevelType w:val="hybridMultilevel"/>
    <w:tmpl w:val="A4920838"/>
    <w:lvl w:ilvl="0" w:tplc="397004AA">
      <w:numFmt w:val="bullet"/>
      <w:lvlText w:val="-"/>
      <w:lvlJc w:val="left"/>
      <w:pPr>
        <w:ind w:left="780" w:hanging="360"/>
      </w:pPr>
      <w:rPr>
        <w:rFonts w:ascii="Arial" w:eastAsia="Calibr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5CA26B29"/>
    <w:multiLevelType w:val="hybridMultilevel"/>
    <w:tmpl w:val="52F87660"/>
    <w:lvl w:ilvl="0" w:tplc="2A44C462">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B75F5F"/>
    <w:multiLevelType w:val="hybridMultilevel"/>
    <w:tmpl w:val="24289082"/>
    <w:lvl w:ilvl="0" w:tplc="04090003">
      <w:start w:val="1"/>
      <w:numFmt w:val="bullet"/>
      <w:lvlText w:val="o"/>
      <w:lvlJc w:val="left"/>
      <w:pPr>
        <w:ind w:left="1480" w:hanging="360"/>
      </w:pPr>
      <w:rPr>
        <w:rFonts w:ascii="Courier New" w:hAnsi="Courier New" w:cs="Courier New"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40" w15:restartNumberingAfterBreak="0">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D400E09"/>
    <w:multiLevelType w:val="hybridMultilevel"/>
    <w:tmpl w:val="3BB86472"/>
    <w:lvl w:ilvl="0" w:tplc="397004AA">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9A0342F"/>
    <w:multiLevelType w:val="hybridMultilevel"/>
    <w:tmpl w:val="4BB49F62"/>
    <w:lvl w:ilvl="0" w:tplc="67A8193E">
      <w:numFmt w:val="bullet"/>
      <w:lvlText w:val="-"/>
      <w:lvlJc w:val="left"/>
      <w:pPr>
        <w:ind w:left="720" w:hanging="360"/>
      </w:pPr>
      <w:rPr>
        <w:rFonts w:ascii="Arial" w:eastAsia="Calibr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7E7D53C6"/>
    <w:multiLevelType w:val="hybridMultilevel"/>
    <w:tmpl w:val="1D80342A"/>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abstractNumId w:val="8"/>
  </w:num>
  <w:num w:numId="2">
    <w:abstractNumId w:val="15"/>
  </w:num>
  <w:num w:numId="3">
    <w:abstractNumId w:val="0"/>
  </w:num>
  <w:num w:numId="4">
    <w:abstractNumId w:val="40"/>
  </w:num>
  <w:num w:numId="5">
    <w:abstractNumId w:val="2"/>
  </w:num>
  <w:num w:numId="6">
    <w:abstractNumId w:val="22"/>
  </w:num>
  <w:num w:numId="7">
    <w:abstractNumId w:val="20"/>
  </w:num>
  <w:num w:numId="8">
    <w:abstractNumId w:val="39"/>
  </w:num>
  <w:num w:numId="9">
    <w:abstractNumId w:val="13"/>
  </w:num>
  <w:num w:numId="10">
    <w:abstractNumId w:val="6"/>
  </w:num>
  <w:num w:numId="11">
    <w:abstractNumId w:val="5"/>
    <w:lvlOverride w:ilvl="0">
      <w:lvl w:ilvl="0">
        <w:numFmt w:val="decimal"/>
        <w:pStyle w:val="Heading1"/>
        <w:lvlText w:val=""/>
        <w:lvlJc w:val="left"/>
      </w:lvl>
    </w:lvlOverride>
    <w:lvlOverride w:ilvl="1">
      <w:lvl w:ilvl="1">
        <w:numFmt w:val="decimal"/>
        <w:pStyle w:val="Heading2"/>
        <w:lvlText w:val=""/>
        <w:lvlJc w:val="left"/>
      </w:lvl>
    </w:lvlOverride>
    <w:lvlOverride w:ilvl="2">
      <w:lvl w:ilvl="2">
        <w:start w:val="1"/>
        <w:numFmt w:val="lowerLetter"/>
        <w:pStyle w:val="Heading3"/>
        <w:lvlText w:val="(%3)"/>
        <w:lvlJc w:val="left"/>
        <w:pPr>
          <w:tabs>
            <w:tab w:val="num" w:pos="1440"/>
          </w:tabs>
          <w:ind w:left="0" w:firstLine="0"/>
        </w:pPr>
        <w:rPr>
          <w:rFonts w:hint="default"/>
        </w:rPr>
      </w:lvl>
    </w:lvlOverride>
  </w:num>
  <w:num w:numId="12">
    <w:abstractNumId w:val="28"/>
  </w:num>
  <w:num w:numId="13">
    <w:abstractNumId w:val="10"/>
  </w:num>
  <w:num w:numId="14">
    <w:abstractNumId w:val="4"/>
  </w:num>
  <w:num w:numId="15">
    <w:abstractNumId w:val="14"/>
  </w:num>
  <w:num w:numId="16">
    <w:abstractNumId w:val="3"/>
  </w:num>
  <w:num w:numId="17">
    <w:abstractNumId w:val="26"/>
  </w:num>
  <w:num w:numId="18">
    <w:abstractNumId w:val="27"/>
  </w:num>
  <w:num w:numId="19">
    <w:abstractNumId w:val="42"/>
  </w:num>
  <w:num w:numId="20">
    <w:abstractNumId w:val="29"/>
  </w:num>
  <w:num w:numId="21">
    <w:abstractNumId w:val="36"/>
  </w:num>
  <w:num w:numId="22">
    <w:abstractNumId w:val="7"/>
  </w:num>
  <w:num w:numId="23">
    <w:abstractNumId w:val="1"/>
  </w:num>
  <w:num w:numId="24">
    <w:abstractNumId w:val="34"/>
  </w:num>
  <w:num w:numId="25">
    <w:abstractNumId w:val="25"/>
  </w:num>
  <w:num w:numId="26">
    <w:abstractNumId w:val="21"/>
  </w:num>
  <w:num w:numId="27">
    <w:abstractNumId w:val="17"/>
  </w:num>
  <w:num w:numId="28">
    <w:abstractNumId w:val="23"/>
  </w:num>
  <w:num w:numId="29">
    <w:abstractNumId w:val="35"/>
  </w:num>
  <w:num w:numId="30">
    <w:abstractNumId w:val="31"/>
  </w:num>
  <w:num w:numId="31">
    <w:abstractNumId w:val="9"/>
  </w:num>
  <w:num w:numId="32">
    <w:abstractNumId w:val="24"/>
  </w:num>
  <w:num w:numId="33">
    <w:abstractNumId w:val="32"/>
  </w:num>
  <w:num w:numId="34">
    <w:abstractNumId w:val="12"/>
  </w:num>
  <w:num w:numId="35">
    <w:abstractNumId w:val="19"/>
  </w:num>
  <w:num w:numId="36">
    <w:abstractNumId w:val="33"/>
  </w:num>
  <w:num w:numId="37">
    <w:abstractNumId w:val="18"/>
  </w:num>
  <w:num w:numId="38">
    <w:abstractNumId w:val="30"/>
  </w:num>
  <w:num w:numId="39">
    <w:abstractNumId w:val="38"/>
  </w:num>
  <w:num w:numId="40">
    <w:abstractNumId w:val="41"/>
  </w:num>
  <w:num w:numId="41">
    <w:abstractNumId w:val="37"/>
  </w:num>
  <w:num w:numId="42">
    <w:abstractNumId w:val="43"/>
  </w:num>
  <w:num w:numId="43">
    <w:abstractNumId w:val="16"/>
  </w:num>
  <w:num w:numId="44">
    <w:abstractNumId w:val="5"/>
  </w:num>
  <w:num w:numId="45">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9E"/>
    <w:rsid w:val="00001F71"/>
    <w:rsid w:val="000026A5"/>
    <w:rsid w:val="00003403"/>
    <w:rsid w:val="00004A0A"/>
    <w:rsid w:val="000121BD"/>
    <w:rsid w:val="000153B6"/>
    <w:rsid w:val="000153DA"/>
    <w:rsid w:val="00021F15"/>
    <w:rsid w:val="00023328"/>
    <w:rsid w:val="0002508C"/>
    <w:rsid w:val="000251E4"/>
    <w:rsid w:val="000254E0"/>
    <w:rsid w:val="00027786"/>
    <w:rsid w:val="0003555C"/>
    <w:rsid w:val="00037093"/>
    <w:rsid w:val="000402C0"/>
    <w:rsid w:val="000418E6"/>
    <w:rsid w:val="000422B9"/>
    <w:rsid w:val="0004398A"/>
    <w:rsid w:val="00044049"/>
    <w:rsid w:val="00044439"/>
    <w:rsid w:val="000475DD"/>
    <w:rsid w:val="00053AC5"/>
    <w:rsid w:val="00053EDC"/>
    <w:rsid w:val="00056FE0"/>
    <w:rsid w:val="000575CD"/>
    <w:rsid w:val="00057D01"/>
    <w:rsid w:val="0006097A"/>
    <w:rsid w:val="00061266"/>
    <w:rsid w:val="00061863"/>
    <w:rsid w:val="00064F3A"/>
    <w:rsid w:val="00070442"/>
    <w:rsid w:val="000710AD"/>
    <w:rsid w:val="00071C88"/>
    <w:rsid w:val="00077C2E"/>
    <w:rsid w:val="0008022B"/>
    <w:rsid w:val="00084CF4"/>
    <w:rsid w:val="00095128"/>
    <w:rsid w:val="000969FA"/>
    <w:rsid w:val="00096C2C"/>
    <w:rsid w:val="00096D8A"/>
    <w:rsid w:val="000A2640"/>
    <w:rsid w:val="000A28A7"/>
    <w:rsid w:val="000A60B1"/>
    <w:rsid w:val="000A6239"/>
    <w:rsid w:val="000A77D9"/>
    <w:rsid w:val="000B004C"/>
    <w:rsid w:val="000B0532"/>
    <w:rsid w:val="000B29B6"/>
    <w:rsid w:val="000B309C"/>
    <w:rsid w:val="000B5954"/>
    <w:rsid w:val="000C3839"/>
    <w:rsid w:val="000C3CEC"/>
    <w:rsid w:val="000D08B5"/>
    <w:rsid w:val="000D2FE2"/>
    <w:rsid w:val="000D407B"/>
    <w:rsid w:val="000D4BCB"/>
    <w:rsid w:val="000D6B3A"/>
    <w:rsid w:val="000E0093"/>
    <w:rsid w:val="000E20D4"/>
    <w:rsid w:val="000E37E0"/>
    <w:rsid w:val="000E59B8"/>
    <w:rsid w:val="000E5EA4"/>
    <w:rsid w:val="000E6A88"/>
    <w:rsid w:val="000E7A16"/>
    <w:rsid w:val="000F0378"/>
    <w:rsid w:val="000F14E3"/>
    <w:rsid w:val="000F2D76"/>
    <w:rsid w:val="000F37F2"/>
    <w:rsid w:val="00100595"/>
    <w:rsid w:val="001005DA"/>
    <w:rsid w:val="00103B05"/>
    <w:rsid w:val="00105903"/>
    <w:rsid w:val="001064DB"/>
    <w:rsid w:val="00107E20"/>
    <w:rsid w:val="00114C4C"/>
    <w:rsid w:val="001154A7"/>
    <w:rsid w:val="001172DC"/>
    <w:rsid w:val="00120361"/>
    <w:rsid w:val="001210F4"/>
    <w:rsid w:val="00121147"/>
    <w:rsid w:val="001239CF"/>
    <w:rsid w:val="001258E2"/>
    <w:rsid w:val="00125A0C"/>
    <w:rsid w:val="00131F84"/>
    <w:rsid w:val="00131FF9"/>
    <w:rsid w:val="00132FD0"/>
    <w:rsid w:val="00135132"/>
    <w:rsid w:val="001368A1"/>
    <w:rsid w:val="00137901"/>
    <w:rsid w:val="00140B29"/>
    <w:rsid w:val="00141142"/>
    <w:rsid w:val="00141E0D"/>
    <w:rsid w:val="00142A37"/>
    <w:rsid w:val="0014502C"/>
    <w:rsid w:val="001503E0"/>
    <w:rsid w:val="0015111B"/>
    <w:rsid w:val="001546BD"/>
    <w:rsid w:val="00155EFF"/>
    <w:rsid w:val="00156E21"/>
    <w:rsid w:val="001606E0"/>
    <w:rsid w:val="001657F6"/>
    <w:rsid w:val="001669EB"/>
    <w:rsid w:val="00166C87"/>
    <w:rsid w:val="00166E73"/>
    <w:rsid w:val="00167449"/>
    <w:rsid w:val="00167687"/>
    <w:rsid w:val="00167932"/>
    <w:rsid w:val="00167C96"/>
    <w:rsid w:val="00170934"/>
    <w:rsid w:val="0017190D"/>
    <w:rsid w:val="00173FA7"/>
    <w:rsid w:val="00173FF3"/>
    <w:rsid w:val="0017701F"/>
    <w:rsid w:val="00177E19"/>
    <w:rsid w:val="001802F2"/>
    <w:rsid w:val="00182236"/>
    <w:rsid w:val="00182B40"/>
    <w:rsid w:val="00183B13"/>
    <w:rsid w:val="00185017"/>
    <w:rsid w:val="001875BA"/>
    <w:rsid w:val="00187EAF"/>
    <w:rsid w:val="001969DC"/>
    <w:rsid w:val="00196C95"/>
    <w:rsid w:val="00197BD4"/>
    <w:rsid w:val="001A1845"/>
    <w:rsid w:val="001A382A"/>
    <w:rsid w:val="001A4777"/>
    <w:rsid w:val="001A4A6D"/>
    <w:rsid w:val="001A6083"/>
    <w:rsid w:val="001A7272"/>
    <w:rsid w:val="001B255C"/>
    <w:rsid w:val="001B2D87"/>
    <w:rsid w:val="001B3B6D"/>
    <w:rsid w:val="001B68CD"/>
    <w:rsid w:val="001B68D8"/>
    <w:rsid w:val="001B7A5B"/>
    <w:rsid w:val="001C2E97"/>
    <w:rsid w:val="001C5F23"/>
    <w:rsid w:val="001C73C1"/>
    <w:rsid w:val="001D1E9B"/>
    <w:rsid w:val="001D2BF2"/>
    <w:rsid w:val="001D5D62"/>
    <w:rsid w:val="001D6BCE"/>
    <w:rsid w:val="001D6FBD"/>
    <w:rsid w:val="001E0539"/>
    <w:rsid w:val="001E1B9C"/>
    <w:rsid w:val="001E1EEE"/>
    <w:rsid w:val="001E2E52"/>
    <w:rsid w:val="001E48AD"/>
    <w:rsid w:val="001E5DB1"/>
    <w:rsid w:val="001F21B9"/>
    <w:rsid w:val="001F464A"/>
    <w:rsid w:val="001F546B"/>
    <w:rsid w:val="001F7D9E"/>
    <w:rsid w:val="002014B1"/>
    <w:rsid w:val="00201A08"/>
    <w:rsid w:val="002026F2"/>
    <w:rsid w:val="00203D9F"/>
    <w:rsid w:val="002050A4"/>
    <w:rsid w:val="0021042B"/>
    <w:rsid w:val="00210448"/>
    <w:rsid w:val="00211F93"/>
    <w:rsid w:val="00212261"/>
    <w:rsid w:val="00212C4B"/>
    <w:rsid w:val="0021307A"/>
    <w:rsid w:val="002132A7"/>
    <w:rsid w:val="00217F31"/>
    <w:rsid w:val="00222A53"/>
    <w:rsid w:val="0022379B"/>
    <w:rsid w:val="002265EF"/>
    <w:rsid w:val="00226C5A"/>
    <w:rsid w:val="0023045E"/>
    <w:rsid w:val="00230A38"/>
    <w:rsid w:val="00231047"/>
    <w:rsid w:val="00231FAD"/>
    <w:rsid w:val="0023343E"/>
    <w:rsid w:val="0023475A"/>
    <w:rsid w:val="002406FE"/>
    <w:rsid w:val="002410DD"/>
    <w:rsid w:val="00241A69"/>
    <w:rsid w:val="00241DE9"/>
    <w:rsid w:val="0024431D"/>
    <w:rsid w:val="00245090"/>
    <w:rsid w:val="00252728"/>
    <w:rsid w:val="00260E62"/>
    <w:rsid w:val="002621D4"/>
    <w:rsid w:val="00262B2F"/>
    <w:rsid w:val="00264A87"/>
    <w:rsid w:val="0027075D"/>
    <w:rsid w:val="0027101B"/>
    <w:rsid w:val="00271518"/>
    <w:rsid w:val="00276F1A"/>
    <w:rsid w:val="002770BD"/>
    <w:rsid w:val="002772E3"/>
    <w:rsid w:val="002803FA"/>
    <w:rsid w:val="00281851"/>
    <w:rsid w:val="002829CA"/>
    <w:rsid w:val="00282C2A"/>
    <w:rsid w:val="0028451B"/>
    <w:rsid w:val="002853BE"/>
    <w:rsid w:val="002859EC"/>
    <w:rsid w:val="00286588"/>
    <w:rsid w:val="0029114A"/>
    <w:rsid w:val="0029344E"/>
    <w:rsid w:val="00293AB9"/>
    <w:rsid w:val="00293ECD"/>
    <w:rsid w:val="0029429D"/>
    <w:rsid w:val="00295169"/>
    <w:rsid w:val="00296830"/>
    <w:rsid w:val="00297682"/>
    <w:rsid w:val="002A52B6"/>
    <w:rsid w:val="002A5679"/>
    <w:rsid w:val="002A5B62"/>
    <w:rsid w:val="002A63D2"/>
    <w:rsid w:val="002A7FDD"/>
    <w:rsid w:val="002B273D"/>
    <w:rsid w:val="002B4760"/>
    <w:rsid w:val="002B5F67"/>
    <w:rsid w:val="002B6513"/>
    <w:rsid w:val="002C3A89"/>
    <w:rsid w:val="002C4ABC"/>
    <w:rsid w:val="002C4CC8"/>
    <w:rsid w:val="002C5E83"/>
    <w:rsid w:val="002C663C"/>
    <w:rsid w:val="002C6D05"/>
    <w:rsid w:val="002D210A"/>
    <w:rsid w:val="002D42B3"/>
    <w:rsid w:val="002D55A0"/>
    <w:rsid w:val="002D72E2"/>
    <w:rsid w:val="002E0DE3"/>
    <w:rsid w:val="002E6581"/>
    <w:rsid w:val="002F2B93"/>
    <w:rsid w:val="002F54FE"/>
    <w:rsid w:val="002F7BD4"/>
    <w:rsid w:val="003000B5"/>
    <w:rsid w:val="003012A0"/>
    <w:rsid w:val="00303FC0"/>
    <w:rsid w:val="003043F1"/>
    <w:rsid w:val="00305640"/>
    <w:rsid w:val="003069F7"/>
    <w:rsid w:val="00306D21"/>
    <w:rsid w:val="0031189C"/>
    <w:rsid w:val="00314E1F"/>
    <w:rsid w:val="00317F6B"/>
    <w:rsid w:val="00320257"/>
    <w:rsid w:val="0032027A"/>
    <w:rsid w:val="003212EE"/>
    <w:rsid w:val="003217DF"/>
    <w:rsid w:val="00322D01"/>
    <w:rsid w:val="00323986"/>
    <w:rsid w:val="00326666"/>
    <w:rsid w:val="003360BF"/>
    <w:rsid w:val="00336D42"/>
    <w:rsid w:val="003422EB"/>
    <w:rsid w:val="00343C8A"/>
    <w:rsid w:val="00345A70"/>
    <w:rsid w:val="00351AA3"/>
    <w:rsid w:val="00353F5E"/>
    <w:rsid w:val="0035517E"/>
    <w:rsid w:val="003552AB"/>
    <w:rsid w:val="00356529"/>
    <w:rsid w:val="003569DD"/>
    <w:rsid w:val="00360A52"/>
    <w:rsid w:val="00364760"/>
    <w:rsid w:val="003649A3"/>
    <w:rsid w:val="00367780"/>
    <w:rsid w:val="00371B79"/>
    <w:rsid w:val="00371CB9"/>
    <w:rsid w:val="003734ED"/>
    <w:rsid w:val="00373F27"/>
    <w:rsid w:val="00375E46"/>
    <w:rsid w:val="003770FA"/>
    <w:rsid w:val="00385F6D"/>
    <w:rsid w:val="0039273B"/>
    <w:rsid w:val="00394106"/>
    <w:rsid w:val="003A19FE"/>
    <w:rsid w:val="003A2580"/>
    <w:rsid w:val="003A4735"/>
    <w:rsid w:val="003B2A23"/>
    <w:rsid w:val="003B43A7"/>
    <w:rsid w:val="003B4759"/>
    <w:rsid w:val="003C0605"/>
    <w:rsid w:val="003C090C"/>
    <w:rsid w:val="003C1D62"/>
    <w:rsid w:val="003C2E4E"/>
    <w:rsid w:val="003C35F0"/>
    <w:rsid w:val="003C3792"/>
    <w:rsid w:val="003C7549"/>
    <w:rsid w:val="003D04A4"/>
    <w:rsid w:val="003D0EB3"/>
    <w:rsid w:val="003D2F03"/>
    <w:rsid w:val="003D5405"/>
    <w:rsid w:val="003D609B"/>
    <w:rsid w:val="003D766C"/>
    <w:rsid w:val="003E005E"/>
    <w:rsid w:val="003E2DD1"/>
    <w:rsid w:val="003E3A63"/>
    <w:rsid w:val="003E3F17"/>
    <w:rsid w:val="003E4DBA"/>
    <w:rsid w:val="003E5671"/>
    <w:rsid w:val="003E6166"/>
    <w:rsid w:val="003E7DE5"/>
    <w:rsid w:val="003F2F63"/>
    <w:rsid w:val="003F423F"/>
    <w:rsid w:val="003F5A01"/>
    <w:rsid w:val="003F61A3"/>
    <w:rsid w:val="003F7A04"/>
    <w:rsid w:val="00401E35"/>
    <w:rsid w:val="00401F68"/>
    <w:rsid w:val="00402B73"/>
    <w:rsid w:val="00403164"/>
    <w:rsid w:val="004045DD"/>
    <w:rsid w:val="00405694"/>
    <w:rsid w:val="00406228"/>
    <w:rsid w:val="004114A2"/>
    <w:rsid w:val="00411B80"/>
    <w:rsid w:val="00412FC4"/>
    <w:rsid w:val="004149AF"/>
    <w:rsid w:val="00421D0F"/>
    <w:rsid w:val="004228D1"/>
    <w:rsid w:val="00426CF4"/>
    <w:rsid w:val="0043258C"/>
    <w:rsid w:val="00432775"/>
    <w:rsid w:val="00433D9E"/>
    <w:rsid w:val="0043520E"/>
    <w:rsid w:val="00435AF2"/>
    <w:rsid w:val="00435E41"/>
    <w:rsid w:val="00436E8E"/>
    <w:rsid w:val="00436F23"/>
    <w:rsid w:val="00437F7F"/>
    <w:rsid w:val="0044244D"/>
    <w:rsid w:val="004424AD"/>
    <w:rsid w:val="004434D4"/>
    <w:rsid w:val="00445F58"/>
    <w:rsid w:val="00450632"/>
    <w:rsid w:val="004507A3"/>
    <w:rsid w:val="004526E8"/>
    <w:rsid w:val="0045504B"/>
    <w:rsid w:val="0045675C"/>
    <w:rsid w:val="00457096"/>
    <w:rsid w:val="004608D4"/>
    <w:rsid w:val="00463A9B"/>
    <w:rsid w:val="00464B57"/>
    <w:rsid w:val="00464D88"/>
    <w:rsid w:val="0047062A"/>
    <w:rsid w:val="00470C91"/>
    <w:rsid w:val="00471DD3"/>
    <w:rsid w:val="00472AF7"/>
    <w:rsid w:val="004743E7"/>
    <w:rsid w:val="0047602C"/>
    <w:rsid w:val="00476353"/>
    <w:rsid w:val="00476467"/>
    <w:rsid w:val="00476779"/>
    <w:rsid w:val="00482753"/>
    <w:rsid w:val="00482AA6"/>
    <w:rsid w:val="004837E2"/>
    <w:rsid w:val="0048436C"/>
    <w:rsid w:val="00486EA2"/>
    <w:rsid w:val="00487FB4"/>
    <w:rsid w:val="0049262F"/>
    <w:rsid w:val="00493BFD"/>
    <w:rsid w:val="004952E0"/>
    <w:rsid w:val="00497835"/>
    <w:rsid w:val="004A014A"/>
    <w:rsid w:val="004A4031"/>
    <w:rsid w:val="004A5455"/>
    <w:rsid w:val="004B35BC"/>
    <w:rsid w:val="004B4020"/>
    <w:rsid w:val="004B4322"/>
    <w:rsid w:val="004B4FB9"/>
    <w:rsid w:val="004B752F"/>
    <w:rsid w:val="004B7902"/>
    <w:rsid w:val="004C01D6"/>
    <w:rsid w:val="004C419C"/>
    <w:rsid w:val="004C78D5"/>
    <w:rsid w:val="004D0645"/>
    <w:rsid w:val="004D3768"/>
    <w:rsid w:val="004D3CC9"/>
    <w:rsid w:val="004D3D2F"/>
    <w:rsid w:val="004D6504"/>
    <w:rsid w:val="004D714E"/>
    <w:rsid w:val="004D7972"/>
    <w:rsid w:val="004E3168"/>
    <w:rsid w:val="004E4C51"/>
    <w:rsid w:val="004F504F"/>
    <w:rsid w:val="004F57D2"/>
    <w:rsid w:val="004F6B48"/>
    <w:rsid w:val="004F7C63"/>
    <w:rsid w:val="00500DEF"/>
    <w:rsid w:val="00506319"/>
    <w:rsid w:val="0051037F"/>
    <w:rsid w:val="0051194E"/>
    <w:rsid w:val="00512FA6"/>
    <w:rsid w:val="00514856"/>
    <w:rsid w:val="005201A8"/>
    <w:rsid w:val="005201FE"/>
    <w:rsid w:val="005217A4"/>
    <w:rsid w:val="00521D30"/>
    <w:rsid w:val="0052311B"/>
    <w:rsid w:val="00523322"/>
    <w:rsid w:val="0052592C"/>
    <w:rsid w:val="00525B8C"/>
    <w:rsid w:val="005266FD"/>
    <w:rsid w:val="00526BB0"/>
    <w:rsid w:val="005319B6"/>
    <w:rsid w:val="00532046"/>
    <w:rsid w:val="005329D7"/>
    <w:rsid w:val="0053769F"/>
    <w:rsid w:val="00542C31"/>
    <w:rsid w:val="00546912"/>
    <w:rsid w:val="00547097"/>
    <w:rsid w:val="005470D7"/>
    <w:rsid w:val="00547E31"/>
    <w:rsid w:val="00557AD3"/>
    <w:rsid w:val="00561137"/>
    <w:rsid w:val="00561162"/>
    <w:rsid w:val="005630F4"/>
    <w:rsid w:val="00563213"/>
    <w:rsid w:val="005658C4"/>
    <w:rsid w:val="00566783"/>
    <w:rsid w:val="00566859"/>
    <w:rsid w:val="0056769E"/>
    <w:rsid w:val="00573522"/>
    <w:rsid w:val="00573E0F"/>
    <w:rsid w:val="00575E63"/>
    <w:rsid w:val="00576137"/>
    <w:rsid w:val="0058378A"/>
    <w:rsid w:val="00584DD3"/>
    <w:rsid w:val="0058563C"/>
    <w:rsid w:val="00590C9B"/>
    <w:rsid w:val="00591DD7"/>
    <w:rsid w:val="00592D70"/>
    <w:rsid w:val="005940A1"/>
    <w:rsid w:val="00596F9E"/>
    <w:rsid w:val="005A1861"/>
    <w:rsid w:val="005A6398"/>
    <w:rsid w:val="005B2AD2"/>
    <w:rsid w:val="005B2C93"/>
    <w:rsid w:val="005B4096"/>
    <w:rsid w:val="005B43F8"/>
    <w:rsid w:val="005B58A2"/>
    <w:rsid w:val="005B7E04"/>
    <w:rsid w:val="005B7E3A"/>
    <w:rsid w:val="005C01D4"/>
    <w:rsid w:val="005C0ACF"/>
    <w:rsid w:val="005C0C44"/>
    <w:rsid w:val="005C1428"/>
    <w:rsid w:val="005C3A71"/>
    <w:rsid w:val="005C4819"/>
    <w:rsid w:val="005C63D4"/>
    <w:rsid w:val="005D3A3E"/>
    <w:rsid w:val="005D512C"/>
    <w:rsid w:val="005D59C3"/>
    <w:rsid w:val="005D5E79"/>
    <w:rsid w:val="005D66E7"/>
    <w:rsid w:val="005D6739"/>
    <w:rsid w:val="005D74CC"/>
    <w:rsid w:val="005D7F3A"/>
    <w:rsid w:val="005E018E"/>
    <w:rsid w:val="005E11A9"/>
    <w:rsid w:val="005E12A3"/>
    <w:rsid w:val="005E2EE5"/>
    <w:rsid w:val="005E2F26"/>
    <w:rsid w:val="005E3DD6"/>
    <w:rsid w:val="005E5AB4"/>
    <w:rsid w:val="005E64C4"/>
    <w:rsid w:val="005E6701"/>
    <w:rsid w:val="005E7999"/>
    <w:rsid w:val="005F00BE"/>
    <w:rsid w:val="005F0CB4"/>
    <w:rsid w:val="005F2288"/>
    <w:rsid w:val="005F2742"/>
    <w:rsid w:val="005F47A5"/>
    <w:rsid w:val="005F761E"/>
    <w:rsid w:val="00602573"/>
    <w:rsid w:val="00610CC6"/>
    <w:rsid w:val="00612C73"/>
    <w:rsid w:val="0061371B"/>
    <w:rsid w:val="00614460"/>
    <w:rsid w:val="0061461E"/>
    <w:rsid w:val="00614C15"/>
    <w:rsid w:val="00616714"/>
    <w:rsid w:val="00620083"/>
    <w:rsid w:val="006204C2"/>
    <w:rsid w:val="006214DB"/>
    <w:rsid w:val="0062206F"/>
    <w:rsid w:val="006239DA"/>
    <w:rsid w:val="006307B4"/>
    <w:rsid w:val="00630B11"/>
    <w:rsid w:val="006351E3"/>
    <w:rsid w:val="00635243"/>
    <w:rsid w:val="00635641"/>
    <w:rsid w:val="00641771"/>
    <w:rsid w:val="00642341"/>
    <w:rsid w:val="00644EAC"/>
    <w:rsid w:val="006521C3"/>
    <w:rsid w:val="00652BC8"/>
    <w:rsid w:val="0065532D"/>
    <w:rsid w:val="006554B7"/>
    <w:rsid w:val="00663C14"/>
    <w:rsid w:val="00663DF5"/>
    <w:rsid w:val="00663F7F"/>
    <w:rsid w:val="0066441D"/>
    <w:rsid w:val="006658D6"/>
    <w:rsid w:val="006668FF"/>
    <w:rsid w:val="006672FC"/>
    <w:rsid w:val="00667C1D"/>
    <w:rsid w:val="00670504"/>
    <w:rsid w:val="00670CEA"/>
    <w:rsid w:val="00672128"/>
    <w:rsid w:val="00673089"/>
    <w:rsid w:val="00673135"/>
    <w:rsid w:val="00674399"/>
    <w:rsid w:val="00675EB6"/>
    <w:rsid w:val="00681843"/>
    <w:rsid w:val="00683B45"/>
    <w:rsid w:val="00690777"/>
    <w:rsid w:val="006907EA"/>
    <w:rsid w:val="00690BFF"/>
    <w:rsid w:val="00690E9A"/>
    <w:rsid w:val="00692676"/>
    <w:rsid w:val="0069292F"/>
    <w:rsid w:val="006929B6"/>
    <w:rsid w:val="00692CFD"/>
    <w:rsid w:val="00693289"/>
    <w:rsid w:val="00694691"/>
    <w:rsid w:val="006A31A9"/>
    <w:rsid w:val="006A3D62"/>
    <w:rsid w:val="006A492C"/>
    <w:rsid w:val="006A525E"/>
    <w:rsid w:val="006A59C3"/>
    <w:rsid w:val="006A726F"/>
    <w:rsid w:val="006A7280"/>
    <w:rsid w:val="006A7536"/>
    <w:rsid w:val="006A75EC"/>
    <w:rsid w:val="006B0C94"/>
    <w:rsid w:val="006B327B"/>
    <w:rsid w:val="006B37F9"/>
    <w:rsid w:val="006B3BEC"/>
    <w:rsid w:val="006B3CE6"/>
    <w:rsid w:val="006B6BC8"/>
    <w:rsid w:val="006B77BE"/>
    <w:rsid w:val="006C16DF"/>
    <w:rsid w:val="006C252D"/>
    <w:rsid w:val="006C3A60"/>
    <w:rsid w:val="006C3C95"/>
    <w:rsid w:val="006C3CCA"/>
    <w:rsid w:val="006C3DA9"/>
    <w:rsid w:val="006C4113"/>
    <w:rsid w:val="006C44A9"/>
    <w:rsid w:val="006C4522"/>
    <w:rsid w:val="006C4730"/>
    <w:rsid w:val="006C51D1"/>
    <w:rsid w:val="006C522C"/>
    <w:rsid w:val="006C646B"/>
    <w:rsid w:val="006C6B5E"/>
    <w:rsid w:val="006C7336"/>
    <w:rsid w:val="006D1A77"/>
    <w:rsid w:val="006D2CD8"/>
    <w:rsid w:val="006D61D3"/>
    <w:rsid w:val="006D6A53"/>
    <w:rsid w:val="006D7CF7"/>
    <w:rsid w:val="006E0B83"/>
    <w:rsid w:val="006E17C3"/>
    <w:rsid w:val="006E2E87"/>
    <w:rsid w:val="006E5F9E"/>
    <w:rsid w:val="006E647A"/>
    <w:rsid w:val="006F1483"/>
    <w:rsid w:val="006F6BF5"/>
    <w:rsid w:val="006F70FF"/>
    <w:rsid w:val="00700739"/>
    <w:rsid w:val="00700C80"/>
    <w:rsid w:val="0070374B"/>
    <w:rsid w:val="00706BC2"/>
    <w:rsid w:val="00707B41"/>
    <w:rsid w:val="0071095F"/>
    <w:rsid w:val="00712671"/>
    <w:rsid w:val="007133DC"/>
    <w:rsid w:val="007136F2"/>
    <w:rsid w:val="0071376A"/>
    <w:rsid w:val="00714710"/>
    <w:rsid w:val="00714F5A"/>
    <w:rsid w:val="00716F11"/>
    <w:rsid w:val="00721C0A"/>
    <w:rsid w:val="00722DF4"/>
    <w:rsid w:val="00723015"/>
    <w:rsid w:val="00723040"/>
    <w:rsid w:val="0072576B"/>
    <w:rsid w:val="00727C5D"/>
    <w:rsid w:val="007317B4"/>
    <w:rsid w:val="00731AC1"/>
    <w:rsid w:val="00732476"/>
    <w:rsid w:val="00734F43"/>
    <w:rsid w:val="00737FE2"/>
    <w:rsid w:val="00743988"/>
    <w:rsid w:val="00744115"/>
    <w:rsid w:val="00745FA3"/>
    <w:rsid w:val="00747EE9"/>
    <w:rsid w:val="00751187"/>
    <w:rsid w:val="00755844"/>
    <w:rsid w:val="00756FAF"/>
    <w:rsid w:val="00757865"/>
    <w:rsid w:val="007607C6"/>
    <w:rsid w:val="007648BB"/>
    <w:rsid w:val="00772A43"/>
    <w:rsid w:val="00775AF1"/>
    <w:rsid w:val="00776524"/>
    <w:rsid w:val="007771F4"/>
    <w:rsid w:val="007806FD"/>
    <w:rsid w:val="00780DD6"/>
    <w:rsid w:val="007857ED"/>
    <w:rsid w:val="00790019"/>
    <w:rsid w:val="0079399C"/>
    <w:rsid w:val="00796065"/>
    <w:rsid w:val="007A07AD"/>
    <w:rsid w:val="007A3AC0"/>
    <w:rsid w:val="007A5B12"/>
    <w:rsid w:val="007A5CD6"/>
    <w:rsid w:val="007A62EA"/>
    <w:rsid w:val="007A70BF"/>
    <w:rsid w:val="007B020B"/>
    <w:rsid w:val="007B099B"/>
    <w:rsid w:val="007B3CF1"/>
    <w:rsid w:val="007B4DDA"/>
    <w:rsid w:val="007B4FC4"/>
    <w:rsid w:val="007C0AC8"/>
    <w:rsid w:val="007C314A"/>
    <w:rsid w:val="007C37F7"/>
    <w:rsid w:val="007C4138"/>
    <w:rsid w:val="007C5806"/>
    <w:rsid w:val="007C6A96"/>
    <w:rsid w:val="007D0691"/>
    <w:rsid w:val="007D14F5"/>
    <w:rsid w:val="007D282A"/>
    <w:rsid w:val="007D2D4D"/>
    <w:rsid w:val="007D4AE8"/>
    <w:rsid w:val="007D57F9"/>
    <w:rsid w:val="007D6889"/>
    <w:rsid w:val="007D6A42"/>
    <w:rsid w:val="007D7156"/>
    <w:rsid w:val="007E0AA6"/>
    <w:rsid w:val="007E2257"/>
    <w:rsid w:val="007E244F"/>
    <w:rsid w:val="007E4460"/>
    <w:rsid w:val="007E490F"/>
    <w:rsid w:val="007E4D3C"/>
    <w:rsid w:val="007E66BA"/>
    <w:rsid w:val="007E6D3D"/>
    <w:rsid w:val="007F02DF"/>
    <w:rsid w:val="007F0834"/>
    <w:rsid w:val="007F1D63"/>
    <w:rsid w:val="007F34C7"/>
    <w:rsid w:val="007F39F0"/>
    <w:rsid w:val="007F40F4"/>
    <w:rsid w:val="00800EE4"/>
    <w:rsid w:val="0080332A"/>
    <w:rsid w:val="008039F0"/>
    <w:rsid w:val="0080450A"/>
    <w:rsid w:val="00804EF1"/>
    <w:rsid w:val="00805237"/>
    <w:rsid w:val="00805253"/>
    <w:rsid w:val="00806EFD"/>
    <w:rsid w:val="00806F76"/>
    <w:rsid w:val="0080797E"/>
    <w:rsid w:val="00810CBC"/>
    <w:rsid w:val="0081569F"/>
    <w:rsid w:val="00815D23"/>
    <w:rsid w:val="00817F64"/>
    <w:rsid w:val="008216EA"/>
    <w:rsid w:val="00821870"/>
    <w:rsid w:val="00821919"/>
    <w:rsid w:val="00826347"/>
    <w:rsid w:val="00827A10"/>
    <w:rsid w:val="00832D64"/>
    <w:rsid w:val="00832DE1"/>
    <w:rsid w:val="00833ACF"/>
    <w:rsid w:val="008354B7"/>
    <w:rsid w:val="00837286"/>
    <w:rsid w:val="00837C83"/>
    <w:rsid w:val="00844567"/>
    <w:rsid w:val="00845421"/>
    <w:rsid w:val="00845456"/>
    <w:rsid w:val="00845863"/>
    <w:rsid w:val="0085006E"/>
    <w:rsid w:val="00855996"/>
    <w:rsid w:val="008600C3"/>
    <w:rsid w:val="00862F52"/>
    <w:rsid w:val="008644EF"/>
    <w:rsid w:val="00864ED4"/>
    <w:rsid w:val="008672BF"/>
    <w:rsid w:val="00871113"/>
    <w:rsid w:val="00871849"/>
    <w:rsid w:val="00872D66"/>
    <w:rsid w:val="00873045"/>
    <w:rsid w:val="00873563"/>
    <w:rsid w:val="00876E07"/>
    <w:rsid w:val="0088218B"/>
    <w:rsid w:val="008851A6"/>
    <w:rsid w:val="008860A9"/>
    <w:rsid w:val="00886A3E"/>
    <w:rsid w:val="008914BE"/>
    <w:rsid w:val="00891A8E"/>
    <w:rsid w:val="008939CA"/>
    <w:rsid w:val="008A06DF"/>
    <w:rsid w:val="008A0FAC"/>
    <w:rsid w:val="008A2746"/>
    <w:rsid w:val="008A4BF2"/>
    <w:rsid w:val="008A5543"/>
    <w:rsid w:val="008A63A8"/>
    <w:rsid w:val="008A65F1"/>
    <w:rsid w:val="008B3206"/>
    <w:rsid w:val="008B671F"/>
    <w:rsid w:val="008C03D2"/>
    <w:rsid w:val="008C1E26"/>
    <w:rsid w:val="008C252D"/>
    <w:rsid w:val="008C310D"/>
    <w:rsid w:val="008C33F8"/>
    <w:rsid w:val="008C4702"/>
    <w:rsid w:val="008C4F95"/>
    <w:rsid w:val="008C4FDB"/>
    <w:rsid w:val="008C73E3"/>
    <w:rsid w:val="008D1716"/>
    <w:rsid w:val="008D241E"/>
    <w:rsid w:val="008D31DD"/>
    <w:rsid w:val="008D399D"/>
    <w:rsid w:val="008D5F00"/>
    <w:rsid w:val="008D6903"/>
    <w:rsid w:val="008E0642"/>
    <w:rsid w:val="008E06D9"/>
    <w:rsid w:val="008E179E"/>
    <w:rsid w:val="008E1EF6"/>
    <w:rsid w:val="008E324A"/>
    <w:rsid w:val="008E3AF8"/>
    <w:rsid w:val="008E5430"/>
    <w:rsid w:val="008E62A3"/>
    <w:rsid w:val="008E70F3"/>
    <w:rsid w:val="008E72A5"/>
    <w:rsid w:val="008F01D3"/>
    <w:rsid w:val="008F0EB7"/>
    <w:rsid w:val="008F1B2B"/>
    <w:rsid w:val="008F1D54"/>
    <w:rsid w:val="008F2173"/>
    <w:rsid w:val="008F3D70"/>
    <w:rsid w:val="008F410F"/>
    <w:rsid w:val="008F6F86"/>
    <w:rsid w:val="008F78B9"/>
    <w:rsid w:val="00900C16"/>
    <w:rsid w:val="009016AF"/>
    <w:rsid w:val="00903C67"/>
    <w:rsid w:val="00905378"/>
    <w:rsid w:val="0090719F"/>
    <w:rsid w:val="00907263"/>
    <w:rsid w:val="00907532"/>
    <w:rsid w:val="00907DA8"/>
    <w:rsid w:val="0091045A"/>
    <w:rsid w:val="00911115"/>
    <w:rsid w:val="009128AF"/>
    <w:rsid w:val="00912E2E"/>
    <w:rsid w:val="00913884"/>
    <w:rsid w:val="00913976"/>
    <w:rsid w:val="00913AED"/>
    <w:rsid w:val="0091433D"/>
    <w:rsid w:val="00914395"/>
    <w:rsid w:val="00914B0E"/>
    <w:rsid w:val="009168CC"/>
    <w:rsid w:val="009176C8"/>
    <w:rsid w:val="0092013B"/>
    <w:rsid w:val="00921D88"/>
    <w:rsid w:val="009314BB"/>
    <w:rsid w:val="009339DF"/>
    <w:rsid w:val="009340AC"/>
    <w:rsid w:val="00935C9C"/>
    <w:rsid w:val="009361EE"/>
    <w:rsid w:val="00943010"/>
    <w:rsid w:val="009468B8"/>
    <w:rsid w:val="00947831"/>
    <w:rsid w:val="00950A1E"/>
    <w:rsid w:val="009529D4"/>
    <w:rsid w:val="00953505"/>
    <w:rsid w:val="00953B12"/>
    <w:rsid w:val="009548EA"/>
    <w:rsid w:val="00955D23"/>
    <w:rsid w:val="00955D6F"/>
    <w:rsid w:val="00955EE7"/>
    <w:rsid w:val="009605DF"/>
    <w:rsid w:val="0096303D"/>
    <w:rsid w:val="00963F53"/>
    <w:rsid w:val="009705C9"/>
    <w:rsid w:val="009714AE"/>
    <w:rsid w:val="00972AE6"/>
    <w:rsid w:val="009753A8"/>
    <w:rsid w:val="009755CF"/>
    <w:rsid w:val="009775C9"/>
    <w:rsid w:val="00977CBC"/>
    <w:rsid w:val="00982C4E"/>
    <w:rsid w:val="00983437"/>
    <w:rsid w:val="00983A30"/>
    <w:rsid w:val="009862C1"/>
    <w:rsid w:val="009922F8"/>
    <w:rsid w:val="00995785"/>
    <w:rsid w:val="009958FF"/>
    <w:rsid w:val="009A0F67"/>
    <w:rsid w:val="009A2DA2"/>
    <w:rsid w:val="009A4347"/>
    <w:rsid w:val="009A51EC"/>
    <w:rsid w:val="009A7887"/>
    <w:rsid w:val="009B018A"/>
    <w:rsid w:val="009B1B00"/>
    <w:rsid w:val="009B271D"/>
    <w:rsid w:val="009B32FC"/>
    <w:rsid w:val="009B3BD8"/>
    <w:rsid w:val="009B5E40"/>
    <w:rsid w:val="009B5FDB"/>
    <w:rsid w:val="009B60C3"/>
    <w:rsid w:val="009B7C74"/>
    <w:rsid w:val="009C0622"/>
    <w:rsid w:val="009C07D6"/>
    <w:rsid w:val="009C0E0E"/>
    <w:rsid w:val="009C18D3"/>
    <w:rsid w:val="009C18E9"/>
    <w:rsid w:val="009C2BEC"/>
    <w:rsid w:val="009C6995"/>
    <w:rsid w:val="009C6C14"/>
    <w:rsid w:val="009C75A6"/>
    <w:rsid w:val="009C7643"/>
    <w:rsid w:val="009D21D6"/>
    <w:rsid w:val="009D433A"/>
    <w:rsid w:val="009D4484"/>
    <w:rsid w:val="009D59B8"/>
    <w:rsid w:val="009D6617"/>
    <w:rsid w:val="009E0E85"/>
    <w:rsid w:val="009E1482"/>
    <w:rsid w:val="009E16AA"/>
    <w:rsid w:val="009E1CE0"/>
    <w:rsid w:val="009E689E"/>
    <w:rsid w:val="009F15A3"/>
    <w:rsid w:val="009F2A2B"/>
    <w:rsid w:val="009F48BE"/>
    <w:rsid w:val="009F4BF7"/>
    <w:rsid w:val="009F4E92"/>
    <w:rsid w:val="009F551A"/>
    <w:rsid w:val="009F5654"/>
    <w:rsid w:val="009F61C5"/>
    <w:rsid w:val="009F7879"/>
    <w:rsid w:val="00A0053B"/>
    <w:rsid w:val="00A005C5"/>
    <w:rsid w:val="00A00C89"/>
    <w:rsid w:val="00A0796A"/>
    <w:rsid w:val="00A10A3F"/>
    <w:rsid w:val="00A11512"/>
    <w:rsid w:val="00A129B6"/>
    <w:rsid w:val="00A13AD6"/>
    <w:rsid w:val="00A204FD"/>
    <w:rsid w:val="00A231CE"/>
    <w:rsid w:val="00A2618E"/>
    <w:rsid w:val="00A26B8A"/>
    <w:rsid w:val="00A30FA2"/>
    <w:rsid w:val="00A324D0"/>
    <w:rsid w:val="00A329F0"/>
    <w:rsid w:val="00A35959"/>
    <w:rsid w:val="00A35F29"/>
    <w:rsid w:val="00A374FF"/>
    <w:rsid w:val="00A40F11"/>
    <w:rsid w:val="00A415AF"/>
    <w:rsid w:val="00A41CA9"/>
    <w:rsid w:val="00A4471C"/>
    <w:rsid w:val="00A45679"/>
    <w:rsid w:val="00A45996"/>
    <w:rsid w:val="00A45C7D"/>
    <w:rsid w:val="00A47FBB"/>
    <w:rsid w:val="00A504D1"/>
    <w:rsid w:val="00A5077A"/>
    <w:rsid w:val="00A507C5"/>
    <w:rsid w:val="00A5106F"/>
    <w:rsid w:val="00A51B14"/>
    <w:rsid w:val="00A5361E"/>
    <w:rsid w:val="00A56E42"/>
    <w:rsid w:val="00A60AB3"/>
    <w:rsid w:val="00A60E93"/>
    <w:rsid w:val="00A743F1"/>
    <w:rsid w:val="00A74E04"/>
    <w:rsid w:val="00A76981"/>
    <w:rsid w:val="00A7721A"/>
    <w:rsid w:val="00A81F33"/>
    <w:rsid w:val="00A85892"/>
    <w:rsid w:val="00A87709"/>
    <w:rsid w:val="00A90EE3"/>
    <w:rsid w:val="00A92A52"/>
    <w:rsid w:val="00A92BA7"/>
    <w:rsid w:val="00A93CDB"/>
    <w:rsid w:val="00A953E9"/>
    <w:rsid w:val="00A97FDF"/>
    <w:rsid w:val="00AA05E6"/>
    <w:rsid w:val="00AA2E23"/>
    <w:rsid w:val="00AA3174"/>
    <w:rsid w:val="00AA3964"/>
    <w:rsid w:val="00AA4680"/>
    <w:rsid w:val="00AA4B73"/>
    <w:rsid w:val="00AA4FD7"/>
    <w:rsid w:val="00AA6A43"/>
    <w:rsid w:val="00AA72C8"/>
    <w:rsid w:val="00AB0F3F"/>
    <w:rsid w:val="00AB2E0A"/>
    <w:rsid w:val="00AB31DA"/>
    <w:rsid w:val="00AB3359"/>
    <w:rsid w:val="00AB44B6"/>
    <w:rsid w:val="00AB4BE5"/>
    <w:rsid w:val="00AB59F7"/>
    <w:rsid w:val="00AB6285"/>
    <w:rsid w:val="00AC0A3D"/>
    <w:rsid w:val="00AC135A"/>
    <w:rsid w:val="00AC24E6"/>
    <w:rsid w:val="00AC3A58"/>
    <w:rsid w:val="00AC5C0F"/>
    <w:rsid w:val="00AC678B"/>
    <w:rsid w:val="00AC73A4"/>
    <w:rsid w:val="00AD09F2"/>
    <w:rsid w:val="00AD0CA0"/>
    <w:rsid w:val="00AD0CD2"/>
    <w:rsid w:val="00AD22B8"/>
    <w:rsid w:val="00AD2F1F"/>
    <w:rsid w:val="00AD78AC"/>
    <w:rsid w:val="00AE3CFA"/>
    <w:rsid w:val="00AE40F4"/>
    <w:rsid w:val="00AE4725"/>
    <w:rsid w:val="00AE4A0F"/>
    <w:rsid w:val="00AE4CEB"/>
    <w:rsid w:val="00AE5ED2"/>
    <w:rsid w:val="00AE60FB"/>
    <w:rsid w:val="00AE6692"/>
    <w:rsid w:val="00AF264C"/>
    <w:rsid w:val="00AF27E3"/>
    <w:rsid w:val="00AF2905"/>
    <w:rsid w:val="00AF302E"/>
    <w:rsid w:val="00AF4B57"/>
    <w:rsid w:val="00AF7B62"/>
    <w:rsid w:val="00B01262"/>
    <w:rsid w:val="00B02F02"/>
    <w:rsid w:val="00B034D6"/>
    <w:rsid w:val="00B03E98"/>
    <w:rsid w:val="00B048E1"/>
    <w:rsid w:val="00B04E1D"/>
    <w:rsid w:val="00B063FD"/>
    <w:rsid w:val="00B10990"/>
    <w:rsid w:val="00B11640"/>
    <w:rsid w:val="00B11865"/>
    <w:rsid w:val="00B13187"/>
    <w:rsid w:val="00B164D7"/>
    <w:rsid w:val="00B21A4B"/>
    <w:rsid w:val="00B2271F"/>
    <w:rsid w:val="00B23819"/>
    <w:rsid w:val="00B23CE8"/>
    <w:rsid w:val="00B25CAE"/>
    <w:rsid w:val="00B25E39"/>
    <w:rsid w:val="00B27302"/>
    <w:rsid w:val="00B273C9"/>
    <w:rsid w:val="00B2778E"/>
    <w:rsid w:val="00B305F9"/>
    <w:rsid w:val="00B30C0C"/>
    <w:rsid w:val="00B30F8F"/>
    <w:rsid w:val="00B34D6C"/>
    <w:rsid w:val="00B35D78"/>
    <w:rsid w:val="00B365B8"/>
    <w:rsid w:val="00B4042A"/>
    <w:rsid w:val="00B411DE"/>
    <w:rsid w:val="00B41491"/>
    <w:rsid w:val="00B41F6F"/>
    <w:rsid w:val="00B43E0B"/>
    <w:rsid w:val="00B54F33"/>
    <w:rsid w:val="00B5570A"/>
    <w:rsid w:val="00B55905"/>
    <w:rsid w:val="00B603AE"/>
    <w:rsid w:val="00B61137"/>
    <w:rsid w:val="00B6352A"/>
    <w:rsid w:val="00B6390F"/>
    <w:rsid w:val="00B6469A"/>
    <w:rsid w:val="00B66D43"/>
    <w:rsid w:val="00B66E26"/>
    <w:rsid w:val="00B66EE6"/>
    <w:rsid w:val="00B708F8"/>
    <w:rsid w:val="00B71443"/>
    <w:rsid w:val="00B72071"/>
    <w:rsid w:val="00B72B9F"/>
    <w:rsid w:val="00B72D05"/>
    <w:rsid w:val="00B7667E"/>
    <w:rsid w:val="00B77EA4"/>
    <w:rsid w:val="00B807AC"/>
    <w:rsid w:val="00B81341"/>
    <w:rsid w:val="00B81686"/>
    <w:rsid w:val="00B82CDE"/>
    <w:rsid w:val="00B857A6"/>
    <w:rsid w:val="00B85B88"/>
    <w:rsid w:val="00B919DE"/>
    <w:rsid w:val="00B973F9"/>
    <w:rsid w:val="00BA03CF"/>
    <w:rsid w:val="00BA0C4A"/>
    <w:rsid w:val="00BA15BD"/>
    <w:rsid w:val="00BA3069"/>
    <w:rsid w:val="00BA3549"/>
    <w:rsid w:val="00BA5964"/>
    <w:rsid w:val="00BB0C0D"/>
    <w:rsid w:val="00BB192F"/>
    <w:rsid w:val="00BB1DBD"/>
    <w:rsid w:val="00BB214A"/>
    <w:rsid w:val="00BB52F2"/>
    <w:rsid w:val="00BC1A58"/>
    <w:rsid w:val="00BC348A"/>
    <w:rsid w:val="00BC3A95"/>
    <w:rsid w:val="00BC46BE"/>
    <w:rsid w:val="00BC46DF"/>
    <w:rsid w:val="00BC4A9E"/>
    <w:rsid w:val="00BC4D1D"/>
    <w:rsid w:val="00BC65E4"/>
    <w:rsid w:val="00BD0FFA"/>
    <w:rsid w:val="00BD2C50"/>
    <w:rsid w:val="00BD2F8D"/>
    <w:rsid w:val="00BD3FE7"/>
    <w:rsid w:val="00BD532D"/>
    <w:rsid w:val="00BD66AE"/>
    <w:rsid w:val="00BD78BB"/>
    <w:rsid w:val="00BE0228"/>
    <w:rsid w:val="00BE0424"/>
    <w:rsid w:val="00BE3535"/>
    <w:rsid w:val="00BE406C"/>
    <w:rsid w:val="00BE58DD"/>
    <w:rsid w:val="00BE7733"/>
    <w:rsid w:val="00BF122B"/>
    <w:rsid w:val="00BF42BB"/>
    <w:rsid w:val="00C00369"/>
    <w:rsid w:val="00C01018"/>
    <w:rsid w:val="00C023D3"/>
    <w:rsid w:val="00C02EDF"/>
    <w:rsid w:val="00C02F55"/>
    <w:rsid w:val="00C05BFF"/>
    <w:rsid w:val="00C05E09"/>
    <w:rsid w:val="00C10317"/>
    <w:rsid w:val="00C11AC4"/>
    <w:rsid w:val="00C1357A"/>
    <w:rsid w:val="00C137D1"/>
    <w:rsid w:val="00C14311"/>
    <w:rsid w:val="00C156E6"/>
    <w:rsid w:val="00C20067"/>
    <w:rsid w:val="00C21B56"/>
    <w:rsid w:val="00C238CC"/>
    <w:rsid w:val="00C241AE"/>
    <w:rsid w:val="00C25C46"/>
    <w:rsid w:val="00C26B79"/>
    <w:rsid w:val="00C321EE"/>
    <w:rsid w:val="00C3294E"/>
    <w:rsid w:val="00C364CF"/>
    <w:rsid w:val="00C37F72"/>
    <w:rsid w:val="00C4430F"/>
    <w:rsid w:val="00C44920"/>
    <w:rsid w:val="00C47478"/>
    <w:rsid w:val="00C508C3"/>
    <w:rsid w:val="00C52AA9"/>
    <w:rsid w:val="00C53341"/>
    <w:rsid w:val="00C541C6"/>
    <w:rsid w:val="00C562EF"/>
    <w:rsid w:val="00C57755"/>
    <w:rsid w:val="00C60A8F"/>
    <w:rsid w:val="00C60F3E"/>
    <w:rsid w:val="00C62670"/>
    <w:rsid w:val="00C635C9"/>
    <w:rsid w:val="00C656E1"/>
    <w:rsid w:val="00C6629E"/>
    <w:rsid w:val="00C66DA5"/>
    <w:rsid w:val="00C70DE9"/>
    <w:rsid w:val="00C743A1"/>
    <w:rsid w:val="00C74626"/>
    <w:rsid w:val="00C75CAD"/>
    <w:rsid w:val="00C76F31"/>
    <w:rsid w:val="00C836AD"/>
    <w:rsid w:val="00C83DF1"/>
    <w:rsid w:val="00C86492"/>
    <w:rsid w:val="00C90DD5"/>
    <w:rsid w:val="00C91A3F"/>
    <w:rsid w:val="00C91C71"/>
    <w:rsid w:val="00C94068"/>
    <w:rsid w:val="00C94B49"/>
    <w:rsid w:val="00C964A2"/>
    <w:rsid w:val="00C96EEB"/>
    <w:rsid w:val="00CA2798"/>
    <w:rsid w:val="00CA2879"/>
    <w:rsid w:val="00CA391C"/>
    <w:rsid w:val="00CA4D68"/>
    <w:rsid w:val="00CA53FC"/>
    <w:rsid w:val="00CA55D2"/>
    <w:rsid w:val="00CB0BE4"/>
    <w:rsid w:val="00CB0CD6"/>
    <w:rsid w:val="00CB21D4"/>
    <w:rsid w:val="00CB67E6"/>
    <w:rsid w:val="00CB7CAE"/>
    <w:rsid w:val="00CC0AC0"/>
    <w:rsid w:val="00CC1E32"/>
    <w:rsid w:val="00CC4B58"/>
    <w:rsid w:val="00CC71F7"/>
    <w:rsid w:val="00CD0614"/>
    <w:rsid w:val="00CD087B"/>
    <w:rsid w:val="00CD1177"/>
    <w:rsid w:val="00CD24FD"/>
    <w:rsid w:val="00CD41F3"/>
    <w:rsid w:val="00CD4BB1"/>
    <w:rsid w:val="00CD57CC"/>
    <w:rsid w:val="00CE297F"/>
    <w:rsid w:val="00CE6A73"/>
    <w:rsid w:val="00CE6DF3"/>
    <w:rsid w:val="00CF05E6"/>
    <w:rsid w:val="00CF287D"/>
    <w:rsid w:val="00CF3376"/>
    <w:rsid w:val="00CF744E"/>
    <w:rsid w:val="00D0232D"/>
    <w:rsid w:val="00D02EE8"/>
    <w:rsid w:val="00D04002"/>
    <w:rsid w:val="00D0702F"/>
    <w:rsid w:val="00D10C84"/>
    <w:rsid w:val="00D12290"/>
    <w:rsid w:val="00D12A41"/>
    <w:rsid w:val="00D1601F"/>
    <w:rsid w:val="00D16A15"/>
    <w:rsid w:val="00D22168"/>
    <w:rsid w:val="00D2361B"/>
    <w:rsid w:val="00D23C63"/>
    <w:rsid w:val="00D24A40"/>
    <w:rsid w:val="00D25C5D"/>
    <w:rsid w:val="00D27409"/>
    <w:rsid w:val="00D30862"/>
    <w:rsid w:val="00D309C2"/>
    <w:rsid w:val="00D31179"/>
    <w:rsid w:val="00D3362A"/>
    <w:rsid w:val="00D4074B"/>
    <w:rsid w:val="00D41AEA"/>
    <w:rsid w:val="00D41E7B"/>
    <w:rsid w:val="00D42CB0"/>
    <w:rsid w:val="00D435F0"/>
    <w:rsid w:val="00D437CE"/>
    <w:rsid w:val="00D4415F"/>
    <w:rsid w:val="00D45359"/>
    <w:rsid w:val="00D46EE8"/>
    <w:rsid w:val="00D55D86"/>
    <w:rsid w:val="00D569C8"/>
    <w:rsid w:val="00D57752"/>
    <w:rsid w:val="00D60424"/>
    <w:rsid w:val="00D6443E"/>
    <w:rsid w:val="00D65AA2"/>
    <w:rsid w:val="00D65D7D"/>
    <w:rsid w:val="00D667AF"/>
    <w:rsid w:val="00D66987"/>
    <w:rsid w:val="00D67FCC"/>
    <w:rsid w:val="00D70634"/>
    <w:rsid w:val="00D70F17"/>
    <w:rsid w:val="00D710A2"/>
    <w:rsid w:val="00D7117F"/>
    <w:rsid w:val="00D73EAF"/>
    <w:rsid w:val="00D759FA"/>
    <w:rsid w:val="00D76024"/>
    <w:rsid w:val="00D8003F"/>
    <w:rsid w:val="00D809B1"/>
    <w:rsid w:val="00D80A8D"/>
    <w:rsid w:val="00D80D3C"/>
    <w:rsid w:val="00D81273"/>
    <w:rsid w:val="00D82502"/>
    <w:rsid w:val="00D83190"/>
    <w:rsid w:val="00D84496"/>
    <w:rsid w:val="00D91FB3"/>
    <w:rsid w:val="00D97C25"/>
    <w:rsid w:val="00DA0F4B"/>
    <w:rsid w:val="00DA1678"/>
    <w:rsid w:val="00DA1AAF"/>
    <w:rsid w:val="00DA2DB1"/>
    <w:rsid w:val="00DA6246"/>
    <w:rsid w:val="00DB12D9"/>
    <w:rsid w:val="00DB5880"/>
    <w:rsid w:val="00DB738B"/>
    <w:rsid w:val="00DC17CC"/>
    <w:rsid w:val="00DC6250"/>
    <w:rsid w:val="00DC7ACE"/>
    <w:rsid w:val="00DD13B5"/>
    <w:rsid w:val="00DD4A94"/>
    <w:rsid w:val="00DD5E40"/>
    <w:rsid w:val="00DE04FD"/>
    <w:rsid w:val="00DE3AB7"/>
    <w:rsid w:val="00DE3C0A"/>
    <w:rsid w:val="00DE71C1"/>
    <w:rsid w:val="00DE7FDF"/>
    <w:rsid w:val="00DF0DD2"/>
    <w:rsid w:val="00DF12D0"/>
    <w:rsid w:val="00E01FF9"/>
    <w:rsid w:val="00E02118"/>
    <w:rsid w:val="00E04694"/>
    <w:rsid w:val="00E05D58"/>
    <w:rsid w:val="00E1302B"/>
    <w:rsid w:val="00E13DEB"/>
    <w:rsid w:val="00E142A7"/>
    <w:rsid w:val="00E168FB"/>
    <w:rsid w:val="00E17414"/>
    <w:rsid w:val="00E176AA"/>
    <w:rsid w:val="00E17F51"/>
    <w:rsid w:val="00E2068F"/>
    <w:rsid w:val="00E222B0"/>
    <w:rsid w:val="00E24A18"/>
    <w:rsid w:val="00E250E4"/>
    <w:rsid w:val="00E305C9"/>
    <w:rsid w:val="00E30FF6"/>
    <w:rsid w:val="00E326C3"/>
    <w:rsid w:val="00E32B15"/>
    <w:rsid w:val="00E34207"/>
    <w:rsid w:val="00E36688"/>
    <w:rsid w:val="00E41200"/>
    <w:rsid w:val="00E419E6"/>
    <w:rsid w:val="00E42972"/>
    <w:rsid w:val="00E42D45"/>
    <w:rsid w:val="00E43DD1"/>
    <w:rsid w:val="00E43F90"/>
    <w:rsid w:val="00E44473"/>
    <w:rsid w:val="00E44B35"/>
    <w:rsid w:val="00E44C63"/>
    <w:rsid w:val="00E46DCB"/>
    <w:rsid w:val="00E50858"/>
    <w:rsid w:val="00E50FBF"/>
    <w:rsid w:val="00E52985"/>
    <w:rsid w:val="00E54027"/>
    <w:rsid w:val="00E55E30"/>
    <w:rsid w:val="00E5673E"/>
    <w:rsid w:val="00E57C5F"/>
    <w:rsid w:val="00E619B7"/>
    <w:rsid w:val="00E621DE"/>
    <w:rsid w:val="00E622CB"/>
    <w:rsid w:val="00E739B5"/>
    <w:rsid w:val="00E742B0"/>
    <w:rsid w:val="00E75D52"/>
    <w:rsid w:val="00E76671"/>
    <w:rsid w:val="00E77D64"/>
    <w:rsid w:val="00E82679"/>
    <w:rsid w:val="00E86D30"/>
    <w:rsid w:val="00E92258"/>
    <w:rsid w:val="00E93B96"/>
    <w:rsid w:val="00E94C65"/>
    <w:rsid w:val="00E95CE1"/>
    <w:rsid w:val="00E968D5"/>
    <w:rsid w:val="00E9755F"/>
    <w:rsid w:val="00EA09CA"/>
    <w:rsid w:val="00EA185E"/>
    <w:rsid w:val="00EA3F8D"/>
    <w:rsid w:val="00EA4D22"/>
    <w:rsid w:val="00EA4F4D"/>
    <w:rsid w:val="00EA6A82"/>
    <w:rsid w:val="00EB00A0"/>
    <w:rsid w:val="00EB190F"/>
    <w:rsid w:val="00EB2AFB"/>
    <w:rsid w:val="00EB382E"/>
    <w:rsid w:val="00EB41DB"/>
    <w:rsid w:val="00EB5D29"/>
    <w:rsid w:val="00EC1781"/>
    <w:rsid w:val="00EC2231"/>
    <w:rsid w:val="00EC4C61"/>
    <w:rsid w:val="00EC5B43"/>
    <w:rsid w:val="00EC7F62"/>
    <w:rsid w:val="00ED5665"/>
    <w:rsid w:val="00EE0017"/>
    <w:rsid w:val="00EE07A2"/>
    <w:rsid w:val="00EE07CD"/>
    <w:rsid w:val="00EE0B7A"/>
    <w:rsid w:val="00EE2322"/>
    <w:rsid w:val="00EE2B50"/>
    <w:rsid w:val="00EE34E5"/>
    <w:rsid w:val="00EE57D9"/>
    <w:rsid w:val="00EE756C"/>
    <w:rsid w:val="00EF1B49"/>
    <w:rsid w:val="00EF2394"/>
    <w:rsid w:val="00EF4803"/>
    <w:rsid w:val="00EF4BA7"/>
    <w:rsid w:val="00EF6256"/>
    <w:rsid w:val="00EF7189"/>
    <w:rsid w:val="00F01D5F"/>
    <w:rsid w:val="00F02461"/>
    <w:rsid w:val="00F050D9"/>
    <w:rsid w:val="00F12FBC"/>
    <w:rsid w:val="00F145EC"/>
    <w:rsid w:val="00F14D61"/>
    <w:rsid w:val="00F159A9"/>
    <w:rsid w:val="00F15A1E"/>
    <w:rsid w:val="00F15A97"/>
    <w:rsid w:val="00F235B5"/>
    <w:rsid w:val="00F23A80"/>
    <w:rsid w:val="00F25D80"/>
    <w:rsid w:val="00F30405"/>
    <w:rsid w:val="00F30D1C"/>
    <w:rsid w:val="00F3116C"/>
    <w:rsid w:val="00F33D64"/>
    <w:rsid w:val="00F356F4"/>
    <w:rsid w:val="00F3744F"/>
    <w:rsid w:val="00F374E6"/>
    <w:rsid w:val="00F37B15"/>
    <w:rsid w:val="00F37D95"/>
    <w:rsid w:val="00F41FEC"/>
    <w:rsid w:val="00F42446"/>
    <w:rsid w:val="00F42467"/>
    <w:rsid w:val="00F42479"/>
    <w:rsid w:val="00F428F7"/>
    <w:rsid w:val="00F449EF"/>
    <w:rsid w:val="00F450B6"/>
    <w:rsid w:val="00F46BE3"/>
    <w:rsid w:val="00F46C86"/>
    <w:rsid w:val="00F504B0"/>
    <w:rsid w:val="00F50B21"/>
    <w:rsid w:val="00F5344D"/>
    <w:rsid w:val="00F535A3"/>
    <w:rsid w:val="00F539BD"/>
    <w:rsid w:val="00F5514B"/>
    <w:rsid w:val="00F5562A"/>
    <w:rsid w:val="00F556F9"/>
    <w:rsid w:val="00F56350"/>
    <w:rsid w:val="00F63521"/>
    <w:rsid w:val="00F6373A"/>
    <w:rsid w:val="00F65790"/>
    <w:rsid w:val="00F6714D"/>
    <w:rsid w:val="00F6765B"/>
    <w:rsid w:val="00F678C3"/>
    <w:rsid w:val="00F7060D"/>
    <w:rsid w:val="00F70D50"/>
    <w:rsid w:val="00F74A2D"/>
    <w:rsid w:val="00F75D15"/>
    <w:rsid w:val="00F77593"/>
    <w:rsid w:val="00F7767A"/>
    <w:rsid w:val="00F80148"/>
    <w:rsid w:val="00F8036F"/>
    <w:rsid w:val="00F80C42"/>
    <w:rsid w:val="00F826CF"/>
    <w:rsid w:val="00F837ED"/>
    <w:rsid w:val="00F8563B"/>
    <w:rsid w:val="00F877AC"/>
    <w:rsid w:val="00F902AF"/>
    <w:rsid w:val="00F9187D"/>
    <w:rsid w:val="00F92995"/>
    <w:rsid w:val="00F9376A"/>
    <w:rsid w:val="00F93D16"/>
    <w:rsid w:val="00F96187"/>
    <w:rsid w:val="00F96D34"/>
    <w:rsid w:val="00FA2DAE"/>
    <w:rsid w:val="00FA3835"/>
    <w:rsid w:val="00FA3E3E"/>
    <w:rsid w:val="00FB0BFD"/>
    <w:rsid w:val="00FB3AB5"/>
    <w:rsid w:val="00FB4357"/>
    <w:rsid w:val="00FB6284"/>
    <w:rsid w:val="00FD1BAF"/>
    <w:rsid w:val="00FD2C88"/>
    <w:rsid w:val="00FD332B"/>
    <w:rsid w:val="00FD5DD7"/>
    <w:rsid w:val="00FE12F9"/>
    <w:rsid w:val="00FE1448"/>
    <w:rsid w:val="00FE2F15"/>
    <w:rsid w:val="00FE3ED3"/>
    <w:rsid w:val="00FE4A4B"/>
    <w:rsid w:val="00FE4AB7"/>
    <w:rsid w:val="00FF0664"/>
    <w:rsid w:val="00FF1156"/>
    <w:rsid w:val="00FF4178"/>
    <w:rsid w:val="00FF48CA"/>
    <w:rsid w:val="00FF4F29"/>
    <w:rsid w:val="00FF502E"/>
    <w:rsid w:val="00FF5907"/>
    <w:rsid w:val="2966677B"/>
    <w:rsid w:val="3B4348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72689"/>
  <w15:docId w15:val="{06A7C23F-1236-44C5-A50F-F343284D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F15"/>
    <w:pPr>
      <w:spacing w:after="200" w:line="276" w:lineRule="auto"/>
    </w:pPr>
    <w:rPr>
      <w:sz w:val="22"/>
      <w:szCs w:val="22"/>
    </w:rPr>
  </w:style>
  <w:style w:type="paragraph" w:styleId="Heading1">
    <w:name w:val="heading 1"/>
    <w:basedOn w:val="Normal"/>
    <w:next w:val="Normal"/>
    <w:link w:val="Heading1Char"/>
    <w:uiPriority w:val="9"/>
    <w:qFormat/>
    <w:rsid w:val="00F15A97"/>
    <w:pPr>
      <w:keepNext/>
      <w:keepLines/>
      <w:numPr>
        <w:numId w:val="11"/>
      </w:numPr>
      <w:spacing w:before="480" w:after="0"/>
      <w:outlineLvl w:val="0"/>
    </w:pPr>
    <w:rPr>
      <w:rFonts w:ascii="Arial" w:eastAsia="Times New Roman" w:hAnsi="Arial"/>
      <w:b/>
      <w:bCs/>
      <w:sz w:val="24"/>
      <w:szCs w:val="28"/>
    </w:rPr>
  </w:style>
  <w:style w:type="paragraph" w:styleId="Heading2">
    <w:name w:val="heading 2"/>
    <w:basedOn w:val="Normal"/>
    <w:next w:val="Normal"/>
    <w:link w:val="Heading2Char"/>
    <w:uiPriority w:val="9"/>
    <w:qFormat/>
    <w:rsid w:val="00E77D64"/>
    <w:pPr>
      <w:keepNext/>
      <w:keepLines/>
      <w:numPr>
        <w:ilvl w:val="1"/>
        <w:numId w:val="11"/>
      </w:numPr>
      <w:spacing w:before="200" w:after="0"/>
      <w:outlineLvl w:val="1"/>
    </w:pPr>
    <w:rPr>
      <w:rFonts w:ascii="Arial" w:eastAsia="Times New Roman" w:hAnsi="Arial"/>
      <w:b/>
      <w:bCs/>
      <w:sz w:val="24"/>
      <w:szCs w:val="26"/>
    </w:rPr>
  </w:style>
  <w:style w:type="paragraph" w:styleId="Heading3">
    <w:name w:val="heading 3"/>
    <w:basedOn w:val="Normal"/>
    <w:next w:val="Normal"/>
    <w:link w:val="Heading3Char"/>
    <w:uiPriority w:val="9"/>
    <w:qFormat/>
    <w:rsid w:val="00E77D64"/>
    <w:pPr>
      <w:keepNext/>
      <w:keepLines/>
      <w:numPr>
        <w:ilvl w:val="2"/>
        <w:numId w:val="11"/>
      </w:numPr>
      <w:spacing w:before="200" w:after="0"/>
      <w:outlineLvl w:val="2"/>
    </w:pPr>
    <w:rPr>
      <w:rFonts w:ascii="Arial" w:eastAsia="Times New Roman" w:hAnsi="Arial"/>
      <w:b/>
      <w:bCs/>
      <w:sz w:val="24"/>
    </w:rPr>
  </w:style>
  <w:style w:type="paragraph" w:styleId="Heading4">
    <w:name w:val="heading 4"/>
    <w:next w:val="Body"/>
    <w:link w:val="Heading4Char"/>
    <w:uiPriority w:val="9"/>
    <w:qFormat/>
    <w:rsid w:val="00E77D64"/>
    <w:pPr>
      <w:keepNext/>
      <w:keepLines/>
      <w:numPr>
        <w:ilvl w:val="3"/>
        <w:numId w:val="11"/>
      </w:numPr>
      <w:spacing w:before="40" w:line="276" w:lineRule="auto"/>
      <w:outlineLvl w:val="3"/>
    </w:pPr>
    <w:rPr>
      <w:rFonts w:ascii="Cambria" w:eastAsia="Times New Roman" w:hAnsi="Cambria"/>
      <w:b/>
      <w:iCs/>
      <w:color w:val="000000"/>
      <w:sz w:val="24"/>
      <w:szCs w:val="22"/>
    </w:rPr>
  </w:style>
  <w:style w:type="paragraph" w:styleId="Heading5">
    <w:name w:val="heading 5"/>
    <w:basedOn w:val="Normal"/>
    <w:next w:val="Normal"/>
    <w:link w:val="Heading5Char"/>
    <w:uiPriority w:val="9"/>
    <w:qFormat/>
    <w:rsid w:val="00E77D64"/>
    <w:pPr>
      <w:keepNext/>
      <w:keepLines/>
      <w:numPr>
        <w:ilvl w:val="4"/>
        <w:numId w:val="11"/>
      </w:numPr>
      <w:spacing w:before="40" w:after="0"/>
      <w:outlineLvl w:val="4"/>
    </w:pPr>
    <w:rPr>
      <w:rFonts w:ascii="Cambria" w:eastAsia="Times New Roman" w:hAnsi="Cambria"/>
      <w:color w:val="365F91"/>
      <w:sz w:val="20"/>
      <w:szCs w:val="20"/>
    </w:rPr>
  </w:style>
  <w:style w:type="paragraph" w:styleId="Heading6">
    <w:name w:val="heading 6"/>
    <w:basedOn w:val="Normal"/>
    <w:next w:val="Normal"/>
    <w:link w:val="Heading6Char"/>
    <w:uiPriority w:val="9"/>
    <w:qFormat/>
    <w:rsid w:val="00E77D64"/>
    <w:pPr>
      <w:keepNext/>
      <w:keepLines/>
      <w:numPr>
        <w:ilvl w:val="5"/>
        <w:numId w:val="11"/>
      </w:numPr>
      <w:spacing w:before="40" w:after="0"/>
      <w:outlineLvl w:val="5"/>
    </w:pPr>
    <w:rPr>
      <w:rFonts w:ascii="Cambria" w:eastAsia="Times New Roman" w:hAnsi="Cambria"/>
      <w:color w:val="243F60"/>
      <w:sz w:val="20"/>
      <w:szCs w:val="20"/>
    </w:rPr>
  </w:style>
  <w:style w:type="paragraph" w:styleId="Heading7">
    <w:name w:val="heading 7"/>
    <w:basedOn w:val="Normal"/>
    <w:next w:val="Normal"/>
    <w:link w:val="Heading7Char"/>
    <w:uiPriority w:val="9"/>
    <w:qFormat/>
    <w:rsid w:val="00E77D64"/>
    <w:pPr>
      <w:keepNext/>
      <w:keepLines/>
      <w:numPr>
        <w:ilvl w:val="6"/>
        <w:numId w:val="11"/>
      </w:numPr>
      <w:spacing w:before="40" w:after="0"/>
      <w:outlineLvl w:val="6"/>
    </w:pPr>
    <w:rPr>
      <w:rFonts w:ascii="Cambria" w:eastAsia="Times New Roman" w:hAnsi="Cambria"/>
      <w:i/>
      <w:iCs/>
      <w:color w:val="243F60"/>
      <w:sz w:val="20"/>
      <w:szCs w:val="20"/>
    </w:rPr>
  </w:style>
  <w:style w:type="paragraph" w:styleId="Heading8">
    <w:name w:val="heading 8"/>
    <w:basedOn w:val="Normal"/>
    <w:next w:val="Normal"/>
    <w:link w:val="Heading8Char"/>
    <w:uiPriority w:val="9"/>
    <w:qFormat/>
    <w:rsid w:val="00E77D64"/>
    <w:pPr>
      <w:keepNext/>
      <w:keepLines/>
      <w:numPr>
        <w:ilvl w:val="7"/>
        <w:numId w:val="11"/>
      </w:numPr>
      <w:spacing w:before="40" w:after="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E77D64"/>
    <w:pPr>
      <w:keepNext/>
      <w:keepLines/>
      <w:numPr>
        <w:ilvl w:val="8"/>
        <w:numId w:val="11"/>
      </w:numPr>
      <w:spacing w:before="40" w:after="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5F6D"/>
    <w:pPr>
      <w:autoSpaceDE w:val="0"/>
      <w:autoSpaceDN w:val="0"/>
      <w:adjustRightInd w:val="0"/>
    </w:pPr>
    <w:rPr>
      <w:rFonts w:ascii="Arial Narrow" w:hAnsi="Arial Narrow" w:cs="Arial Narrow"/>
      <w:color w:val="000000"/>
      <w:sz w:val="24"/>
      <w:szCs w:val="24"/>
    </w:rPr>
  </w:style>
  <w:style w:type="character" w:customStyle="1" w:styleId="Heading1Char">
    <w:name w:val="Heading 1 Char"/>
    <w:link w:val="Heading1"/>
    <w:uiPriority w:val="9"/>
    <w:rsid w:val="00F15A97"/>
    <w:rPr>
      <w:rFonts w:ascii="Arial" w:eastAsia="Times New Roman" w:hAnsi="Arial"/>
      <w:b/>
      <w:bCs/>
      <w:sz w:val="24"/>
      <w:szCs w:val="28"/>
    </w:rPr>
  </w:style>
  <w:style w:type="paragraph" w:customStyle="1" w:styleId="T30X">
    <w:name w:val="T30X"/>
    <w:basedOn w:val="Normal"/>
    <w:uiPriority w:val="99"/>
    <w:rsid w:val="0048436C"/>
    <w:pPr>
      <w:autoSpaceDE w:val="0"/>
      <w:autoSpaceDN w:val="0"/>
      <w:adjustRightInd w:val="0"/>
      <w:spacing w:before="60" w:after="60" w:line="240" w:lineRule="auto"/>
      <w:ind w:firstLine="283"/>
      <w:jc w:val="both"/>
    </w:pPr>
    <w:rPr>
      <w:rFonts w:ascii="Times New Roman" w:eastAsia="Times New Roman" w:hAnsi="Times New Roman"/>
      <w:color w:val="000000"/>
    </w:rPr>
  </w:style>
  <w:style w:type="character" w:styleId="CommentReference">
    <w:name w:val="annotation reference"/>
    <w:uiPriority w:val="99"/>
    <w:semiHidden/>
    <w:unhideWhenUsed/>
    <w:rsid w:val="00EB41DB"/>
    <w:rPr>
      <w:sz w:val="16"/>
      <w:szCs w:val="16"/>
    </w:rPr>
  </w:style>
  <w:style w:type="paragraph" w:styleId="CommentText">
    <w:name w:val="annotation text"/>
    <w:basedOn w:val="Normal"/>
    <w:link w:val="CommentTextChar"/>
    <w:uiPriority w:val="99"/>
    <w:unhideWhenUsed/>
    <w:rsid w:val="00EB41DB"/>
    <w:pPr>
      <w:spacing w:line="240" w:lineRule="auto"/>
    </w:pPr>
    <w:rPr>
      <w:sz w:val="20"/>
      <w:szCs w:val="20"/>
    </w:rPr>
  </w:style>
  <w:style w:type="character" w:customStyle="1" w:styleId="CommentTextChar">
    <w:name w:val="Comment Text Char"/>
    <w:link w:val="CommentText"/>
    <w:uiPriority w:val="99"/>
    <w:rsid w:val="00EB41DB"/>
    <w:rPr>
      <w:sz w:val="20"/>
      <w:szCs w:val="20"/>
    </w:rPr>
  </w:style>
  <w:style w:type="paragraph" w:styleId="CommentSubject">
    <w:name w:val="annotation subject"/>
    <w:basedOn w:val="CommentText"/>
    <w:next w:val="CommentText"/>
    <w:link w:val="CommentSubjectChar"/>
    <w:uiPriority w:val="99"/>
    <w:semiHidden/>
    <w:unhideWhenUsed/>
    <w:rsid w:val="00EB41DB"/>
    <w:rPr>
      <w:b/>
      <w:bCs/>
    </w:rPr>
  </w:style>
  <w:style w:type="character" w:customStyle="1" w:styleId="CommentSubjectChar">
    <w:name w:val="Comment Subject Char"/>
    <w:link w:val="CommentSubject"/>
    <w:uiPriority w:val="99"/>
    <w:semiHidden/>
    <w:rsid w:val="00EB41DB"/>
    <w:rPr>
      <w:b/>
      <w:bCs/>
      <w:sz w:val="20"/>
      <w:szCs w:val="20"/>
    </w:rPr>
  </w:style>
  <w:style w:type="paragraph" w:styleId="BalloonText">
    <w:name w:val="Balloon Text"/>
    <w:basedOn w:val="Normal"/>
    <w:link w:val="BalloonTextChar"/>
    <w:uiPriority w:val="99"/>
    <w:semiHidden/>
    <w:unhideWhenUsed/>
    <w:rsid w:val="00EB41D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B41DB"/>
    <w:rPr>
      <w:rFonts w:ascii="Tahoma" w:hAnsi="Tahoma" w:cs="Tahoma"/>
      <w:sz w:val="16"/>
      <w:szCs w:val="16"/>
    </w:rPr>
  </w:style>
  <w:style w:type="paragraph" w:customStyle="1" w:styleId="ColorfulList-Accent11">
    <w:name w:val="Colorful List - Accent 11"/>
    <w:basedOn w:val="Normal"/>
    <w:uiPriority w:val="34"/>
    <w:qFormat/>
    <w:rsid w:val="00E619B7"/>
    <w:pPr>
      <w:ind w:left="720"/>
      <w:contextualSpacing/>
    </w:pPr>
  </w:style>
  <w:style w:type="character" w:customStyle="1" w:styleId="Heading2Char">
    <w:name w:val="Heading 2 Char"/>
    <w:link w:val="Heading2"/>
    <w:uiPriority w:val="9"/>
    <w:rsid w:val="00E77D64"/>
    <w:rPr>
      <w:rFonts w:ascii="Arial" w:eastAsia="Times New Roman" w:hAnsi="Arial"/>
      <w:b/>
      <w:bCs/>
      <w:sz w:val="24"/>
      <w:szCs w:val="26"/>
    </w:rPr>
  </w:style>
  <w:style w:type="character" w:styleId="Strong">
    <w:name w:val="Strong"/>
    <w:uiPriority w:val="22"/>
    <w:qFormat/>
    <w:rsid w:val="00375E46"/>
    <w:rPr>
      <w:b/>
      <w:bCs/>
    </w:rPr>
  </w:style>
  <w:style w:type="paragraph" w:styleId="NormalWeb">
    <w:name w:val="Normal (Web)"/>
    <w:basedOn w:val="Normal"/>
    <w:uiPriority w:val="99"/>
    <w:unhideWhenUsed/>
    <w:rsid w:val="00F92995"/>
    <w:pPr>
      <w:spacing w:before="100" w:beforeAutospacing="1" w:after="100" w:afterAutospacing="1" w:line="240" w:lineRule="auto"/>
    </w:pPr>
    <w:rPr>
      <w:rFonts w:ascii="Times New Roman" w:eastAsia="Times New Roman" w:hAnsi="Times New Roman"/>
      <w:sz w:val="24"/>
      <w:szCs w:val="24"/>
    </w:rPr>
  </w:style>
  <w:style w:type="paragraph" w:customStyle="1" w:styleId="C30X">
    <w:name w:val="C30X"/>
    <w:basedOn w:val="Normal"/>
    <w:uiPriority w:val="99"/>
    <w:rsid w:val="00F37D95"/>
    <w:pPr>
      <w:autoSpaceDE w:val="0"/>
      <w:autoSpaceDN w:val="0"/>
      <w:adjustRightInd w:val="0"/>
      <w:spacing w:before="200" w:after="60" w:line="240" w:lineRule="auto"/>
      <w:jc w:val="center"/>
    </w:pPr>
    <w:rPr>
      <w:rFonts w:ascii="Times New Roman" w:eastAsia="Times New Roman" w:hAnsi="Times New Roman"/>
      <w:b/>
      <w:bCs/>
      <w:color w:val="000000"/>
      <w:sz w:val="24"/>
      <w:szCs w:val="24"/>
    </w:rPr>
  </w:style>
  <w:style w:type="character" w:customStyle="1" w:styleId="Heading3Char">
    <w:name w:val="Heading 3 Char"/>
    <w:link w:val="Heading3"/>
    <w:uiPriority w:val="9"/>
    <w:rsid w:val="00E77D64"/>
    <w:rPr>
      <w:rFonts w:ascii="Arial" w:eastAsia="Times New Roman" w:hAnsi="Arial"/>
      <w:b/>
      <w:bCs/>
      <w:sz w:val="24"/>
      <w:szCs w:val="22"/>
    </w:rPr>
  </w:style>
  <w:style w:type="paragraph" w:styleId="FootnoteText">
    <w:name w:val="footnote text"/>
    <w:aliases w:val="Fußnote,Fußnotentextf,Fußnotentextr,stile 1,Footnote,Footnote1,Footnote2,Footnote3,Footnote4,Footnote5,Footnote6,Footnote7,Footnote8,Footnote9,Footnote10,Footnote11,Footnote21,Footnote31,Footnote41,Footnote51,Footnote61,Footnote71,f,Geneva"/>
    <w:basedOn w:val="Normal"/>
    <w:link w:val="FootnoteTextChar"/>
    <w:uiPriority w:val="99"/>
    <w:unhideWhenUsed/>
    <w:qFormat/>
    <w:rsid w:val="007D57F9"/>
    <w:pPr>
      <w:spacing w:after="0" w:line="240" w:lineRule="auto"/>
    </w:pPr>
    <w:rPr>
      <w:sz w:val="20"/>
      <w:szCs w:val="20"/>
    </w:rPr>
  </w:style>
  <w:style w:type="character" w:customStyle="1" w:styleId="FootnoteTextChar">
    <w:name w:val="Footnote Text Char"/>
    <w:aliases w:val="Fußnote Char,Fußnotentextf Char,Fußnotentextr Char,stile 1 Char,Footnote Char,Footnote1 Char,Footnote2 Char,Footnote3 Char,Footnote4 Char,Footnote5 Char,Footnote6 Char,Footnote7 Char,Footnote8 Char,Footnote9 Char,Footnote10 Char"/>
    <w:link w:val="FootnoteText"/>
    <w:uiPriority w:val="99"/>
    <w:rsid w:val="007D57F9"/>
    <w:rPr>
      <w:sz w:val="20"/>
      <w:szCs w:val="20"/>
    </w:rPr>
  </w:style>
  <w:style w:type="character" w:styleId="FootnoteReference">
    <w:name w:val="footnote reference"/>
    <w:aliases w:val="BVI fnr,Überschrift 4 Zchn1,Título 4 Car Zchn,Heading 4 Char1 Car Zchn,no vale 2 Zchn,no vale 2 Car Zchn,ftref,Footnote symbol,-E Fußnotenzeichen,ESPON Footnote No,Footnote call,Odwołanie przypisu,Voetnootverwijzing,Fußnotenzeichen2"/>
    <w:uiPriority w:val="99"/>
    <w:unhideWhenUsed/>
    <w:qFormat/>
    <w:rsid w:val="007D57F9"/>
    <w:rPr>
      <w:vertAlign w:val="superscript"/>
    </w:rPr>
  </w:style>
  <w:style w:type="paragraph" w:styleId="BodyText">
    <w:name w:val="Body Text"/>
    <w:aliases w:val="uvlaka 3,uvlaka 2,Body Text Indent 21,Body Text Indent 31"/>
    <w:basedOn w:val="Normal"/>
    <w:link w:val="BodyTextChar"/>
    <w:uiPriority w:val="99"/>
    <w:qFormat/>
    <w:rsid w:val="00027786"/>
    <w:pPr>
      <w:spacing w:after="280" w:line="280" w:lineRule="atLeast"/>
    </w:pPr>
    <w:rPr>
      <w:rFonts w:ascii="Arial" w:eastAsia="Times New Roman" w:hAnsi="Arial"/>
      <w:sz w:val="20"/>
      <w:szCs w:val="20"/>
      <w:lang w:val="en-GB" w:eastAsia="da-DK"/>
    </w:rPr>
  </w:style>
  <w:style w:type="character" w:customStyle="1" w:styleId="BodyTextChar">
    <w:name w:val="Body Text Char"/>
    <w:aliases w:val="uvlaka 3 Char,uvlaka 2 Char,Body Text Indent 21 Char,Body Text Indent 31 Char"/>
    <w:link w:val="BodyText"/>
    <w:uiPriority w:val="99"/>
    <w:rsid w:val="00027786"/>
    <w:rPr>
      <w:rFonts w:ascii="Arial" w:eastAsia="Times New Roman" w:hAnsi="Arial" w:cs="Arial"/>
      <w:sz w:val="20"/>
      <w:szCs w:val="20"/>
      <w:lang w:val="en-GB" w:eastAsia="da-DK"/>
    </w:rPr>
  </w:style>
  <w:style w:type="paragraph" w:styleId="Caption">
    <w:name w:val="caption"/>
    <w:aliases w:val="Caption Tablica,Tablica1,Caption-slika,Map Char,Map Char Char,Map Char Char Char Char Char,Map Char Char Char,Map,Caption Char Char Car Car,Caption Char Char Car Car Car,Map Char Char Char Car Car,Caption Char Char,Caption Char Char Char Char"/>
    <w:basedOn w:val="Normal"/>
    <w:next w:val="BodyText"/>
    <w:link w:val="CaptionChar"/>
    <w:uiPriority w:val="35"/>
    <w:qFormat/>
    <w:rsid w:val="00027786"/>
    <w:pPr>
      <w:spacing w:before="140" w:after="140" w:line="240" w:lineRule="atLeast"/>
      <w:ind w:left="1276" w:hanging="1276"/>
    </w:pPr>
    <w:rPr>
      <w:rFonts w:ascii="Arial" w:eastAsia="Times New Roman" w:hAnsi="Arial"/>
      <w:i/>
      <w:sz w:val="17"/>
      <w:szCs w:val="20"/>
      <w:lang w:val="en-GB" w:eastAsia="da-DK"/>
    </w:rPr>
  </w:style>
  <w:style w:type="paragraph" w:customStyle="1" w:styleId="TableTextNoSpace">
    <w:name w:val="Table Text NoSpace"/>
    <w:basedOn w:val="Normal"/>
    <w:uiPriority w:val="7"/>
    <w:qFormat/>
    <w:rsid w:val="00027786"/>
    <w:pPr>
      <w:spacing w:after="0" w:line="220" w:lineRule="atLeast"/>
    </w:pPr>
    <w:rPr>
      <w:rFonts w:ascii="Arial" w:eastAsia="Times New Roman" w:hAnsi="Arial" w:cs="Arial"/>
      <w:sz w:val="16"/>
      <w:szCs w:val="23"/>
      <w:lang w:val="en-GB" w:eastAsia="da-DK"/>
    </w:rPr>
  </w:style>
  <w:style w:type="table" w:customStyle="1" w:styleId="ListTable3-Accent11">
    <w:name w:val="List Table 3 - Accent 11"/>
    <w:basedOn w:val="TableNormal"/>
    <w:uiPriority w:val="48"/>
    <w:rsid w:val="00027786"/>
    <w:rPr>
      <w:rFonts w:ascii="Times New Roman" w:eastAsia="Times New Roman" w:hAnsi="Times New Roman"/>
      <w:lang w:val="da-DK" w:eastAsia="da-DK"/>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CaptionChar">
    <w:name w:val="Caption Char"/>
    <w:aliases w:val="Caption Tablica Char,Tablica1 Char,Caption-slika Char,Map Char Char1,Map Char Char Char1,Map Char Char Char Char Char Char,Map Char Char Char Char,Map Char1,Caption Char Char Car Car Char,Caption Char Char Car Car Car Char"/>
    <w:link w:val="Caption"/>
    <w:uiPriority w:val="35"/>
    <w:locked/>
    <w:rsid w:val="00027786"/>
    <w:rPr>
      <w:rFonts w:ascii="Arial" w:eastAsia="Times New Roman" w:hAnsi="Arial" w:cs="Arial"/>
      <w:i/>
      <w:sz w:val="17"/>
      <w:szCs w:val="20"/>
      <w:lang w:val="en-GB" w:eastAsia="da-DK"/>
    </w:rPr>
  </w:style>
  <w:style w:type="character" w:customStyle="1" w:styleId="Heading4Char">
    <w:name w:val="Heading 4 Char"/>
    <w:link w:val="Heading4"/>
    <w:uiPriority w:val="9"/>
    <w:rsid w:val="00E77D64"/>
    <w:rPr>
      <w:rFonts w:ascii="Cambria" w:eastAsia="Times New Roman" w:hAnsi="Cambria"/>
      <w:b/>
      <w:iCs/>
      <w:color w:val="000000"/>
      <w:sz w:val="24"/>
      <w:szCs w:val="22"/>
      <w:lang w:bidi="ar-SA"/>
    </w:rPr>
  </w:style>
  <w:style w:type="character" w:customStyle="1" w:styleId="Heading5Char">
    <w:name w:val="Heading 5 Char"/>
    <w:link w:val="Heading5"/>
    <w:uiPriority w:val="9"/>
    <w:rsid w:val="00E77D64"/>
    <w:rPr>
      <w:rFonts w:ascii="Cambria" w:eastAsia="Times New Roman" w:hAnsi="Cambria"/>
      <w:color w:val="365F91"/>
    </w:rPr>
  </w:style>
  <w:style w:type="numbering" w:customStyle="1" w:styleId="CowiTableBulletList">
    <w:name w:val="CowiTableBulletList"/>
    <w:basedOn w:val="NoList"/>
    <w:uiPriority w:val="99"/>
    <w:rsid w:val="00167932"/>
    <w:pPr>
      <w:numPr>
        <w:numId w:val="4"/>
      </w:numPr>
    </w:pPr>
  </w:style>
  <w:style w:type="paragraph" w:customStyle="1" w:styleId="TableBullet">
    <w:name w:val="Table Bullet"/>
    <w:basedOn w:val="TableText"/>
    <w:uiPriority w:val="7"/>
    <w:qFormat/>
    <w:rsid w:val="00167932"/>
    <w:pPr>
      <w:numPr>
        <w:numId w:val="4"/>
      </w:numPr>
    </w:pPr>
  </w:style>
  <w:style w:type="paragraph" w:customStyle="1" w:styleId="TableBullet2">
    <w:name w:val="Table Bullet 2"/>
    <w:basedOn w:val="TableBullet"/>
    <w:uiPriority w:val="7"/>
    <w:qFormat/>
    <w:rsid w:val="00167932"/>
    <w:pPr>
      <w:numPr>
        <w:ilvl w:val="1"/>
      </w:numPr>
    </w:pPr>
  </w:style>
  <w:style w:type="paragraph" w:customStyle="1" w:styleId="TableBulletNoSpace">
    <w:name w:val="Table Bullet NoSpace"/>
    <w:basedOn w:val="TableBullet"/>
    <w:uiPriority w:val="7"/>
    <w:qFormat/>
    <w:rsid w:val="00167932"/>
    <w:pPr>
      <w:spacing w:after="0"/>
    </w:pPr>
  </w:style>
  <w:style w:type="paragraph" w:customStyle="1" w:styleId="TableBullet3">
    <w:name w:val="Table Bullet 3"/>
    <w:basedOn w:val="TableBullet2"/>
    <w:uiPriority w:val="7"/>
    <w:qFormat/>
    <w:rsid w:val="00167932"/>
    <w:pPr>
      <w:numPr>
        <w:ilvl w:val="2"/>
      </w:numPr>
    </w:pPr>
  </w:style>
  <w:style w:type="paragraph" w:customStyle="1" w:styleId="TableText">
    <w:name w:val="Table Text"/>
    <w:basedOn w:val="Normal"/>
    <w:uiPriority w:val="7"/>
    <w:qFormat/>
    <w:rsid w:val="00167932"/>
    <w:pPr>
      <w:spacing w:after="120" w:line="220" w:lineRule="atLeast"/>
    </w:pPr>
    <w:rPr>
      <w:rFonts w:ascii="Arial" w:eastAsia="Times New Roman" w:hAnsi="Arial" w:cs="Arial"/>
      <w:sz w:val="16"/>
      <w:szCs w:val="23"/>
      <w:lang w:val="en-GB" w:eastAsia="da-DK"/>
    </w:rPr>
  </w:style>
  <w:style w:type="table" w:styleId="TableGrid">
    <w:name w:val="Table Grid"/>
    <w:basedOn w:val="TableNormal"/>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TableNormal"/>
    <w:uiPriority w:val="46"/>
    <w:rsid w:val="00953505"/>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m6135419827625913450msolistparagraph">
    <w:name w:val="m_6135419827625913450msolistparagraph"/>
    <w:basedOn w:val="Normal"/>
    <w:rsid w:val="00AA2E23"/>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0C3CEC"/>
    <w:rPr>
      <w:rFonts w:ascii="Times New Roman" w:hAnsi="Times New Roman"/>
      <w:sz w:val="24"/>
      <w:szCs w:val="24"/>
    </w:rPr>
  </w:style>
  <w:style w:type="paragraph" w:customStyle="1" w:styleId="Heading0">
    <w:name w:val="Heading 0"/>
    <w:basedOn w:val="Normal"/>
    <w:autoRedefine/>
    <w:qFormat/>
    <w:rsid w:val="006907EA"/>
    <w:pPr>
      <w:keepNext/>
      <w:keepLines/>
      <w:numPr>
        <w:numId w:val="9"/>
      </w:numPr>
      <w:pBdr>
        <w:top w:val="nil"/>
        <w:left w:val="nil"/>
        <w:bottom w:val="nil"/>
        <w:right w:val="nil"/>
        <w:between w:val="nil"/>
        <w:bar w:val="nil"/>
      </w:pBdr>
      <w:spacing w:before="120" w:after="240"/>
      <w:jc w:val="both"/>
    </w:pPr>
    <w:rPr>
      <w:rFonts w:eastAsia="Arial Unicode MS"/>
      <w:b/>
      <w:bCs/>
      <w:caps/>
      <w:sz w:val="32"/>
      <w:szCs w:val="32"/>
      <w:bdr w:val="nil"/>
      <w:lang w:val="hr-HR"/>
    </w:rPr>
  </w:style>
  <w:style w:type="paragraph" w:customStyle="1" w:styleId="Body">
    <w:name w:val="Body"/>
    <w:rsid w:val="006907EA"/>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6907EA"/>
    <w:pPr>
      <w:pBdr>
        <w:top w:val="nil"/>
        <w:left w:val="nil"/>
        <w:bottom w:val="nil"/>
        <w:right w:val="nil"/>
        <w:between w:val="nil"/>
        <w:bar w:val="nil"/>
      </w:pBdr>
    </w:pPr>
    <w:rPr>
      <w:rFonts w:ascii="Helvetica" w:eastAsia="Arial Unicode MS" w:hAnsi="Arial Unicode MS" w:cs="Arial Unicode MS"/>
      <w:color w:val="000000"/>
      <w:u w:color="000000"/>
      <w:bdr w:val="nil"/>
      <w:lang w:val="sl-SI"/>
    </w:rPr>
  </w:style>
  <w:style w:type="paragraph" w:customStyle="1" w:styleId="Normal1">
    <w:name w:val="Normal1"/>
    <w:basedOn w:val="Normal"/>
    <w:link w:val="Normal1Char"/>
    <w:qFormat/>
    <w:rsid w:val="00B6390F"/>
    <w:pPr>
      <w:spacing w:after="0" w:line="240" w:lineRule="auto"/>
      <w:jc w:val="both"/>
    </w:pPr>
    <w:rPr>
      <w:rFonts w:ascii="Arial" w:eastAsia="Times New Roman" w:hAnsi="Arial"/>
      <w:sz w:val="24"/>
      <w:szCs w:val="20"/>
    </w:rPr>
  </w:style>
  <w:style w:type="character" w:customStyle="1" w:styleId="Normal1Char">
    <w:name w:val="Normal1 Char"/>
    <w:link w:val="Normal1"/>
    <w:rsid w:val="00B6390F"/>
    <w:rPr>
      <w:rFonts w:ascii="Arial" w:eastAsia="Times New Roman" w:hAnsi="Arial"/>
      <w:sz w:val="24"/>
    </w:rPr>
  </w:style>
  <w:style w:type="paragraph" w:styleId="Footer">
    <w:name w:val="footer"/>
    <w:basedOn w:val="Normal"/>
    <w:link w:val="FooterChar"/>
    <w:uiPriority w:val="99"/>
    <w:unhideWhenUsed/>
    <w:rsid w:val="006907EA"/>
    <w:pPr>
      <w:tabs>
        <w:tab w:val="center" w:pos="4680"/>
        <w:tab w:val="right" w:pos="9360"/>
      </w:tabs>
      <w:spacing w:after="0" w:line="240" w:lineRule="auto"/>
    </w:pPr>
    <w:rPr>
      <w:sz w:val="24"/>
      <w:szCs w:val="24"/>
      <w:lang w:val="en-GB"/>
    </w:rPr>
  </w:style>
  <w:style w:type="character" w:customStyle="1" w:styleId="FooterChar">
    <w:name w:val="Footer Char"/>
    <w:link w:val="Footer"/>
    <w:uiPriority w:val="99"/>
    <w:rsid w:val="006907EA"/>
    <w:rPr>
      <w:sz w:val="24"/>
      <w:szCs w:val="24"/>
      <w:lang w:val="en-GB"/>
    </w:rPr>
  </w:style>
  <w:style w:type="character" w:styleId="PageNumber">
    <w:name w:val="page number"/>
    <w:basedOn w:val="DefaultParagraphFont"/>
    <w:uiPriority w:val="99"/>
    <w:semiHidden/>
    <w:unhideWhenUsed/>
    <w:rsid w:val="006907EA"/>
  </w:style>
  <w:style w:type="paragraph" w:styleId="Header">
    <w:name w:val="header"/>
    <w:basedOn w:val="Normal"/>
    <w:link w:val="HeaderChar"/>
    <w:uiPriority w:val="99"/>
    <w:unhideWhenUsed/>
    <w:rsid w:val="00F01D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D5F"/>
  </w:style>
  <w:style w:type="table" w:styleId="TableGrid8">
    <w:name w:val="Table Grid 8"/>
    <w:basedOn w:val="TableNormal"/>
    <w:rsid w:val="002D72E2"/>
    <w:pPr>
      <w:spacing w:line="270" w:lineRule="atLeast"/>
    </w:pPr>
    <w:rPr>
      <w:rFonts w:ascii="Times New Roman" w:eastAsia="Times New Roman" w:hAnsi="Times New Roman"/>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EB5D29"/>
    <w:pPr>
      <w:spacing w:line="270" w:lineRule="atLeast"/>
    </w:pPr>
    <w:rPr>
      <w:rFonts w:ascii="Times New Roman" w:eastAsia="Times New Roman" w:hAnsi="Times New Roman"/>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Continue2NoSpace">
    <w:name w:val="List Continue 2 NoSpace"/>
    <w:basedOn w:val="ListContinue2"/>
    <w:uiPriority w:val="6"/>
    <w:rsid w:val="00EB5D29"/>
    <w:pPr>
      <w:spacing w:after="0" w:line="280" w:lineRule="atLeast"/>
      <w:ind w:left="851"/>
      <w:contextualSpacing w:val="0"/>
    </w:pPr>
    <w:rPr>
      <w:rFonts w:ascii="Arial" w:eastAsia="Times New Roman" w:hAnsi="Arial" w:cs="Arial"/>
      <w:sz w:val="20"/>
      <w:szCs w:val="20"/>
      <w:lang w:val="en-GB" w:eastAsia="da-DK"/>
    </w:rPr>
  </w:style>
  <w:style w:type="paragraph" w:styleId="ListContinue2">
    <w:name w:val="List Continue 2"/>
    <w:basedOn w:val="Normal"/>
    <w:uiPriority w:val="99"/>
    <w:semiHidden/>
    <w:unhideWhenUsed/>
    <w:rsid w:val="00EB5D29"/>
    <w:pPr>
      <w:spacing w:after="120"/>
      <w:ind w:left="566"/>
      <w:contextualSpacing/>
    </w:pPr>
  </w:style>
  <w:style w:type="character" w:customStyle="1" w:styleId="Heading6Char">
    <w:name w:val="Heading 6 Char"/>
    <w:link w:val="Heading6"/>
    <w:uiPriority w:val="9"/>
    <w:rsid w:val="00E77D64"/>
    <w:rPr>
      <w:rFonts w:ascii="Cambria" w:eastAsia="Times New Roman" w:hAnsi="Cambria"/>
      <w:color w:val="243F60"/>
    </w:rPr>
  </w:style>
  <w:style w:type="character" w:customStyle="1" w:styleId="Heading7Char">
    <w:name w:val="Heading 7 Char"/>
    <w:link w:val="Heading7"/>
    <w:uiPriority w:val="9"/>
    <w:rsid w:val="00E77D64"/>
    <w:rPr>
      <w:rFonts w:ascii="Cambria" w:eastAsia="Times New Roman" w:hAnsi="Cambria"/>
      <w:i/>
      <w:iCs/>
      <w:color w:val="243F60"/>
    </w:rPr>
  </w:style>
  <w:style w:type="character" w:customStyle="1" w:styleId="Heading8Char">
    <w:name w:val="Heading 8 Char"/>
    <w:link w:val="Heading8"/>
    <w:uiPriority w:val="9"/>
    <w:rsid w:val="00E77D64"/>
    <w:rPr>
      <w:rFonts w:ascii="Cambria" w:eastAsia="Times New Roman" w:hAnsi="Cambria"/>
      <w:color w:val="272727"/>
      <w:sz w:val="21"/>
      <w:szCs w:val="21"/>
    </w:rPr>
  </w:style>
  <w:style w:type="character" w:customStyle="1" w:styleId="Heading9Char">
    <w:name w:val="Heading 9 Char"/>
    <w:link w:val="Heading9"/>
    <w:uiPriority w:val="9"/>
    <w:rsid w:val="00E77D64"/>
    <w:rPr>
      <w:rFonts w:ascii="Cambria" w:eastAsia="Times New Roman" w:hAnsi="Cambria"/>
      <w:i/>
      <w:iCs/>
      <w:color w:val="272727"/>
      <w:sz w:val="21"/>
      <w:szCs w:val="21"/>
    </w:rPr>
  </w:style>
  <w:style w:type="numbering" w:styleId="ArticleSection">
    <w:name w:val="Outline List 3"/>
    <w:aliases w:val="1.1."/>
    <w:basedOn w:val="NoList"/>
    <w:rsid w:val="00E77D64"/>
    <w:pPr>
      <w:numPr>
        <w:numId w:val="44"/>
      </w:numPr>
    </w:pPr>
  </w:style>
  <w:style w:type="character" w:styleId="Hyperlink">
    <w:name w:val="Hyperlink"/>
    <w:uiPriority w:val="99"/>
    <w:unhideWhenUsed/>
    <w:rsid w:val="00AB3359"/>
    <w:rPr>
      <w:color w:val="0000FF"/>
      <w:u w:val="single"/>
    </w:rPr>
  </w:style>
  <w:style w:type="table" w:customStyle="1" w:styleId="5-11">
    <w:name w:val="Πίνακας 5 με σκούρο πλέγμα - Έμφαση 11"/>
    <w:basedOn w:val="TableNormal"/>
    <w:uiPriority w:val="50"/>
    <w:rsid w:val="002853BE"/>
    <w:rPr>
      <w:rFonts w:eastAsia="Times New Roman"/>
      <w:lang w:val="el-GR" w:eastAsia="el-G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1tekst">
    <w:name w:val="1tekst"/>
    <w:basedOn w:val="Normal"/>
    <w:rsid w:val="00211F93"/>
    <w:pPr>
      <w:spacing w:before="100" w:beforeAutospacing="1" w:after="100" w:afterAutospacing="1" w:line="240" w:lineRule="auto"/>
      <w:ind w:firstLine="240"/>
      <w:jc w:val="both"/>
    </w:pPr>
    <w:rPr>
      <w:rFonts w:ascii="Arial" w:eastAsia="Times New Roman" w:hAnsi="Arial" w:cs="Arial"/>
      <w:sz w:val="20"/>
      <w:szCs w:val="24"/>
      <w:lang w:val="en-GB"/>
    </w:rPr>
  </w:style>
  <w:style w:type="paragraph" w:customStyle="1" w:styleId="buliti-ja">
    <w:name w:val="buliti-ja"/>
    <w:basedOn w:val="Normal"/>
    <w:rsid w:val="00211F93"/>
    <w:pPr>
      <w:numPr>
        <w:ilvl w:val="1"/>
        <w:numId w:val="20"/>
      </w:numPr>
      <w:spacing w:after="40" w:line="240" w:lineRule="exact"/>
      <w:jc w:val="both"/>
    </w:pPr>
    <w:rPr>
      <w:rFonts w:ascii="YUSwissL" w:eastAsia="Times New Roman" w:hAnsi="YUSwissL"/>
      <w:b/>
      <w:sz w:val="19"/>
      <w:szCs w:val="24"/>
    </w:rPr>
  </w:style>
  <w:style w:type="character" w:customStyle="1" w:styleId="spelle">
    <w:name w:val="spelle"/>
    <w:rsid w:val="00314E1F"/>
  </w:style>
  <w:style w:type="paragraph" w:styleId="ListParagraph">
    <w:name w:val="List Paragraph"/>
    <w:basedOn w:val="Normal"/>
    <w:uiPriority w:val="34"/>
    <w:qFormat/>
    <w:rsid w:val="00E77D64"/>
    <w:pPr>
      <w:ind w:left="720"/>
    </w:pPr>
  </w:style>
  <w:style w:type="paragraph" w:styleId="TOC1">
    <w:name w:val="toc 1"/>
    <w:basedOn w:val="Normal"/>
    <w:next w:val="Normal"/>
    <w:autoRedefine/>
    <w:uiPriority w:val="39"/>
    <w:unhideWhenUsed/>
    <w:rsid w:val="006B3CE6"/>
  </w:style>
  <w:style w:type="paragraph" w:styleId="TOC3">
    <w:name w:val="toc 3"/>
    <w:basedOn w:val="Normal"/>
    <w:next w:val="Normal"/>
    <w:autoRedefine/>
    <w:uiPriority w:val="39"/>
    <w:unhideWhenUsed/>
    <w:rsid w:val="006B3CE6"/>
    <w:pPr>
      <w:ind w:left="440"/>
    </w:pPr>
  </w:style>
  <w:style w:type="paragraph" w:styleId="TOC2">
    <w:name w:val="toc 2"/>
    <w:basedOn w:val="Normal"/>
    <w:next w:val="Normal"/>
    <w:autoRedefine/>
    <w:uiPriority w:val="39"/>
    <w:unhideWhenUsed/>
    <w:rsid w:val="006B3CE6"/>
    <w:pPr>
      <w:ind w:left="220"/>
    </w:pPr>
  </w:style>
  <w:style w:type="paragraph" w:customStyle="1" w:styleId="tabele">
    <w:name w:val="tabele"/>
    <w:basedOn w:val="Normal"/>
    <w:rsid w:val="00714F5A"/>
    <w:pPr>
      <w:spacing w:before="40" w:after="40" w:line="240" w:lineRule="auto"/>
      <w:jc w:val="center"/>
    </w:pPr>
    <w:rPr>
      <w:rFonts w:ascii="Book Antiqua" w:eastAsia="Times New Roman" w:hAnsi="Book Antiqua"/>
      <w:sz w:val="20"/>
      <w:szCs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6820">
      <w:bodyDiv w:val="1"/>
      <w:marLeft w:val="0"/>
      <w:marRight w:val="0"/>
      <w:marTop w:val="0"/>
      <w:marBottom w:val="0"/>
      <w:divBdr>
        <w:top w:val="none" w:sz="0" w:space="0" w:color="auto"/>
        <w:left w:val="none" w:sz="0" w:space="0" w:color="auto"/>
        <w:bottom w:val="none" w:sz="0" w:space="0" w:color="auto"/>
        <w:right w:val="none" w:sz="0" w:space="0" w:color="auto"/>
      </w:divBdr>
    </w:div>
    <w:div w:id="421683315">
      <w:bodyDiv w:val="1"/>
      <w:marLeft w:val="0"/>
      <w:marRight w:val="0"/>
      <w:marTop w:val="0"/>
      <w:marBottom w:val="0"/>
      <w:divBdr>
        <w:top w:val="none" w:sz="0" w:space="0" w:color="auto"/>
        <w:left w:val="none" w:sz="0" w:space="0" w:color="auto"/>
        <w:bottom w:val="none" w:sz="0" w:space="0" w:color="auto"/>
        <w:right w:val="none" w:sz="0" w:space="0" w:color="auto"/>
      </w:divBdr>
    </w:div>
    <w:div w:id="591087943">
      <w:bodyDiv w:val="1"/>
      <w:marLeft w:val="0"/>
      <w:marRight w:val="0"/>
      <w:marTop w:val="0"/>
      <w:marBottom w:val="0"/>
      <w:divBdr>
        <w:top w:val="none" w:sz="0" w:space="0" w:color="auto"/>
        <w:left w:val="none" w:sz="0" w:space="0" w:color="auto"/>
        <w:bottom w:val="none" w:sz="0" w:space="0" w:color="auto"/>
        <w:right w:val="none" w:sz="0" w:space="0" w:color="auto"/>
      </w:divBdr>
    </w:div>
    <w:div w:id="781149522">
      <w:bodyDiv w:val="1"/>
      <w:marLeft w:val="0"/>
      <w:marRight w:val="0"/>
      <w:marTop w:val="0"/>
      <w:marBottom w:val="0"/>
      <w:divBdr>
        <w:top w:val="none" w:sz="0" w:space="0" w:color="auto"/>
        <w:left w:val="none" w:sz="0" w:space="0" w:color="auto"/>
        <w:bottom w:val="none" w:sz="0" w:space="0" w:color="auto"/>
        <w:right w:val="none" w:sz="0" w:space="0" w:color="auto"/>
      </w:divBdr>
    </w:div>
    <w:div w:id="827791469">
      <w:bodyDiv w:val="1"/>
      <w:marLeft w:val="0"/>
      <w:marRight w:val="0"/>
      <w:marTop w:val="0"/>
      <w:marBottom w:val="0"/>
      <w:divBdr>
        <w:top w:val="none" w:sz="0" w:space="0" w:color="auto"/>
        <w:left w:val="none" w:sz="0" w:space="0" w:color="auto"/>
        <w:bottom w:val="none" w:sz="0" w:space="0" w:color="auto"/>
        <w:right w:val="none" w:sz="0" w:space="0" w:color="auto"/>
      </w:divBdr>
    </w:div>
    <w:div w:id="885340652">
      <w:bodyDiv w:val="1"/>
      <w:marLeft w:val="0"/>
      <w:marRight w:val="0"/>
      <w:marTop w:val="0"/>
      <w:marBottom w:val="0"/>
      <w:divBdr>
        <w:top w:val="none" w:sz="0" w:space="0" w:color="auto"/>
        <w:left w:val="none" w:sz="0" w:space="0" w:color="auto"/>
        <w:bottom w:val="none" w:sz="0" w:space="0" w:color="auto"/>
        <w:right w:val="none" w:sz="0" w:space="0" w:color="auto"/>
      </w:divBdr>
    </w:div>
    <w:div w:id="955675092">
      <w:bodyDiv w:val="1"/>
      <w:marLeft w:val="0"/>
      <w:marRight w:val="0"/>
      <w:marTop w:val="0"/>
      <w:marBottom w:val="0"/>
      <w:divBdr>
        <w:top w:val="none" w:sz="0" w:space="0" w:color="auto"/>
        <w:left w:val="none" w:sz="0" w:space="0" w:color="auto"/>
        <w:bottom w:val="none" w:sz="0" w:space="0" w:color="auto"/>
        <w:right w:val="none" w:sz="0" w:space="0" w:color="auto"/>
      </w:divBdr>
    </w:div>
    <w:div w:id="1115104113">
      <w:bodyDiv w:val="1"/>
      <w:marLeft w:val="0"/>
      <w:marRight w:val="0"/>
      <w:marTop w:val="0"/>
      <w:marBottom w:val="0"/>
      <w:divBdr>
        <w:top w:val="none" w:sz="0" w:space="0" w:color="auto"/>
        <w:left w:val="none" w:sz="0" w:space="0" w:color="auto"/>
        <w:bottom w:val="none" w:sz="0" w:space="0" w:color="auto"/>
        <w:right w:val="none" w:sz="0" w:space="0" w:color="auto"/>
      </w:divBdr>
    </w:div>
    <w:div w:id="1248424852">
      <w:bodyDiv w:val="1"/>
      <w:marLeft w:val="0"/>
      <w:marRight w:val="0"/>
      <w:marTop w:val="0"/>
      <w:marBottom w:val="0"/>
      <w:divBdr>
        <w:top w:val="none" w:sz="0" w:space="0" w:color="auto"/>
        <w:left w:val="none" w:sz="0" w:space="0" w:color="auto"/>
        <w:bottom w:val="none" w:sz="0" w:space="0" w:color="auto"/>
        <w:right w:val="none" w:sz="0" w:space="0" w:color="auto"/>
      </w:divBdr>
    </w:div>
    <w:div w:id="146757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e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jpeg"/><Relationship Id="rId55" Type="http://schemas.openxmlformats.org/officeDocument/2006/relationships/image" Target="media/image4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emf"/><Relationship Id="rId41" Type="http://schemas.openxmlformats.org/officeDocument/2006/relationships/image" Target="media/image33.emf"/><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png"/><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png"/><Relationship Id="rId57" Type="http://schemas.openxmlformats.org/officeDocument/2006/relationships/header" Target="header2.xml"/><Relationship Id="rId61"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8" Type="http://schemas.openxmlformats.org/officeDocument/2006/relationships/image" Target="media/image2.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384D5-D266-44CC-A06D-CF2A0E0D9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187</Pages>
  <Words>51665</Words>
  <Characters>294497</Characters>
  <Application>Microsoft Office Word</Application>
  <DocSecurity>0</DocSecurity>
  <Lines>2454</Lines>
  <Paragraphs>690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345472</CharactersWithSpaces>
  <SharedDoc>false</SharedDoc>
  <HLinks>
    <vt:vector size="366" baseType="variant">
      <vt:variant>
        <vt:i4>1835058</vt:i4>
      </vt:variant>
      <vt:variant>
        <vt:i4>362</vt:i4>
      </vt:variant>
      <vt:variant>
        <vt:i4>0</vt:i4>
      </vt:variant>
      <vt:variant>
        <vt:i4>5</vt:i4>
      </vt:variant>
      <vt:variant>
        <vt:lpwstr/>
      </vt:variant>
      <vt:variant>
        <vt:lpwstr>_Toc533009413</vt:lpwstr>
      </vt:variant>
      <vt:variant>
        <vt:i4>1835058</vt:i4>
      </vt:variant>
      <vt:variant>
        <vt:i4>356</vt:i4>
      </vt:variant>
      <vt:variant>
        <vt:i4>0</vt:i4>
      </vt:variant>
      <vt:variant>
        <vt:i4>5</vt:i4>
      </vt:variant>
      <vt:variant>
        <vt:lpwstr/>
      </vt:variant>
      <vt:variant>
        <vt:lpwstr>_Toc533009412</vt:lpwstr>
      </vt:variant>
      <vt:variant>
        <vt:i4>1835058</vt:i4>
      </vt:variant>
      <vt:variant>
        <vt:i4>350</vt:i4>
      </vt:variant>
      <vt:variant>
        <vt:i4>0</vt:i4>
      </vt:variant>
      <vt:variant>
        <vt:i4>5</vt:i4>
      </vt:variant>
      <vt:variant>
        <vt:lpwstr/>
      </vt:variant>
      <vt:variant>
        <vt:lpwstr>_Toc533009411</vt:lpwstr>
      </vt:variant>
      <vt:variant>
        <vt:i4>1835058</vt:i4>
      </vt:variant>
      <vt:variant>
        <vt:i4>344</vt:i4>
      </vt:variant>
      <vt:variant>
        <vt:i4>0</vt:i4>
      </vt:variant>
      <vt:variant>
        <vt:i4>5</vt:i4>
      </vt:variant>
      <vt:variant>
        <vt:lpwstr/>
      </vt:variant>
      <vt:variant>
        <vt:lpwstr>_Toc533009410</vt:lpwstr>
      </vt:variant>
      <vt:variant>
        <vt:i4>1900594</vt:i4>
      </vt:variant>
      <vt:variant>
        <vt:i4>338</vt:i4>
      </vt:variant>
      <vt:variant>
        <vt:i4>0</vt:i4>
      </vt:variant>
      <vt:variant>
        <vt:i4>5</vt:i4>
      </vt:variant>
      <vt:variant>
        <vt:lpwstr/>
      </vt:variant>
      <vt:variant>
        <vt:lpwstr>_Toc533009409</vt:lpwstr>
      </vt:variant>
      <vt:variant>
        <vt:i4>1900594</vt:i4>
      </vt:variant>
      <vt:variant>
        <vt:i4>332</vt:i4>
      </vt:variant>
      <vt:variant>
        <vt:i4>0</vt:i4>
      </vt:variant>
      <vt:variant>
        <vt:i4>5</vt:i4>
      </vt:variant>
      <vt:variant>
        <vt:lpwstr/>
      </vt:variant>
      <vt:variant>
        <vt:lpwstr>_Toc533009408</vt:lpwstr>
      </vt:variant>
      <vt:variant>
        <vt:i4>1900594</vt:i4>
      </vt:variant>
      <vt:variant>
        <vt:i4>326</vt:i4>
      </vt:variant>
      <vt:variant>
        <vt:i4>0</vt:i4>
      </vt:variant>
      <vt:variant>
        <vt:i4>5</vt:i4>
      </vt:variant>
      <vt:variant>
        <vt:lpwstr/>
      </vt:variant>
      <vt:variant>
        <vt:lpwstr>_Toc533009407</vt:lpwstr>
      </vt:variant>
      <vt:variant>
        <vt:i4>1900594</vt:i4>
      </vt:variant>
      <vt:variant>
        <vt:i4>320</vt:i4>
      </vt:variant>
      <vt:variant>
        <vt:i4>0</vt:i4>
      </vt:variant>
      <vt:variant>
        <vt:i4>5</vt:i4>
      </vt:variant>
      <vt:variant>
        <vt:lpwstr/>
      </vt:variant>
      <vt:variant>
        <vt:lpwstr>_Toc533009406</vt:lpwstr>
      </vt:variant>
      <vt:variant>
        <vt:i4>1900594</vt:i4>
      </vt:variant>
      <vt:variant>
        <vt:i4>314</vt:i4>
      </vt:variant>
      <vt:variant>
        <vt:i4>0</vt:i4>
      </vt:variant>
      <vt:variant>
        <vt:i4>5</vt:i4>
      </vt:variant>
      <vt:variant>
        <vt:lpwstr/>
      </vt:variant>
      <vt:variant>
        <vt:lpwstr>_Toc533009405</vt:lpwstr>
      </vt:variant>
      <vt:variant>
        <vt:i4>1900594</vt:i4>
      </vt:variant>
      <vt:variant>
        <vt:i4>308</vt:i4>
      </vt:variant>
      <vt:variant>
        <vt:i4>0</vt:i4>
      </vt:variant>
      <vt:variant>
        <vt:i4>5</vt:i4>
      </vt:variant>
      <vt:variant>
        <vt:lpwstr/>
      </vt:variant>
      <vt:variant>
        <vt:lpwstr>_Toc533009404</vt:lpwstr>
      </vt:variant>
      <vt:variant>
        <vt:i4>1900594</vt:i4>
      </vt:variant>
      <vt:variant>
        <vt:i4>302</vt:i4>
      </vt:variant>
      <vt:variant>
        <vt:i4>0</vt:i4>
      </vt:variant>
      <vt:variant>
        <vt:i4>5</vt:i4>
      </vt:variant>
      <vt:variant>
        <vt:lpwstr/>
      </vt:variant>
      <vt:variant>
        <vt:lpwstr>_Toc533009403</vt:lpwstr>
      </vt:variant>
      <vt:variant>
        <vt:i4>1900594</vt:i4>
      </vt:variant>
      <vt:variant>
        <vt:i4>296</vt:i4>
      </vt:variant>
      <vt:variant>
        <vt:i4>0</vt:i4>
      </vt:variant>
      <vt:variant>
        <vt:i4>5</vt:i4>
      </vt:variant>
      <vt:variant>
        <vt:lpwstr/>
      </vt:variant>
      <vt:variant>
        <vt:lpwstr>_Toc533009402</vt:lpwstr>
      </vt:variant>
      <vt:variant>
        <vt:i4>1900594</vt:i4>
      </vt:variant>
      <vt:variant>
        <vt:i4>290</vt:i4>
      </vt:variant>
      <vt:variant>
        <vt:i4>0</vt:i4>
      </vt:variant>
      <vt:variant>
        <vt:i4>5</vt:i4>
      </vt:variant>
      <vt:variant>
        <vt:lpwstr/>
      </vt:variant>
      <vt:variant>
        <vt:lpwstr>_Toc533009401</vt:lpwstr>
      </vt:variant>
      <vt:variant>
        <vt:i4>1900594</vt:i4>
      </vt:variant>
      <vt:variant>
        <vt:i4>284</vt:i4>
      </vt:variant>
      <vt:variant>
        <vt:i4>0</vt:i4>
      </vt:variant>
      <vt:variant>
        <vt:i4>5</vt:i4>
      </vt:variant>
      <vt:variant>
        <vt:lpwstr/>
      </vt:variant>
      <vt:variant>
        <vt:lpwstr>_Toc533009400</vt:lpwstr>
      </vt:variant>
      <vt:variant>
        <vt:i4>1310773</vt:i4>
      </vt:variant>
      <vt:variant>
        <vt:i4>278</vt:i4>
      </vt:variant>
      <vt:variant>
        <vt:i4>0</vt:i4>
      </vt:variant>
      <vt:variant>
        <vt:i4>5</vt:i4>
      </vt:variant>
      <vt:variant>
        <vt:lpwstr/>
      </vt:variant>
      <vt:variant>
        <vt:lpwstr>_Toc533009399</vt:lpwstr>
      </vt:variant>
      <vt:variant>
        <vt:i4>1310773</vt:i4>
      </vt:variant>
      <vt:variant>
        <vt:i4>272</vt:i4>
      </vt:variant>
      <vt:variant>
        <vt:i4>0</vt:i4>
      </vt:variant>
      <vt:variant>
        <vt:i4>5</vt:i4>
      </vt:variant>
      <vt:variant>
        <vt:lpwstr/>
      </vt:variant>
      <vt:variant>
        <vt:lpwstr>_Toc533009398</vt:lpwstr>
      </vt:variant>
      <vt:variant>
        <vt:i4>1310773</vt:i4>
      </vt:variant>
      <vt:variant>
        <vt:i4>266</vt:i4>
      </vt:variant>
      <vt:variant>
        <vt:i4>0</vt:i4>
      </vt:variant>
      <vt:variant>
        <vt:i4>5</vt:i4>
      </vt:variant>
      <vt:variant>
        <vt:lpwstr/>
      </vt:variant>
      <vt:variant>
        <vt:lpwstr>_Toc533009397</vt:lpwstr>
      </vt:variant>
      <vt:variant>
        <vt:i4>1310773</vt:i4>
      </vt:variant>
      <vt:variant>
        <vt:i4>260</vt:i4>
      </vt:variant>
      <vt:variant>
        <vt:i4>0</vt:i4>
      </vt:variant>
      <vt:variant>
        <vt:i4>5</vt:i4>
      </vt:variant>
      <vt:variant>
        <vt:lpwstr/>
      </vt:variant>
      <vt:variant>
        <vt:lpwstr>_Toc533009396</vt:lpwstr>
      </vt:variant>
      <vt:variant>
        <vt:i4>1310773</vt:i4>
      </vt:variant>
      <vt:variant>
        <vt:i4>254</vt:i4>
      </vt:variant>
      <vt:variant>
        <vt:i4>0</vt:i4>
      </vt:variant>
      <vt:variant>
        <vt:i4>5</vt:i4>
      </vt:variant>
      <vt:variant>
        <vt:lpwstr/>
      </vt:variant>
      <vt:variant>
        <vt:lpwstr>_Toc533009395</vt:lpwstr>
      </vt:variant>
      <vt:variant>
        <vt:i4>1310773</vt:i4>
      </vt:variant>
      <vt:variant>
        <vt:i4>248</vt:i4>
      </vt:variant>
      <vt:variant>
        <vt:i4>0</vt:i4>
      </vt:variant>
      <vt:variant>
        <vt:i4>5</vt:i4>
      </vt:variant>
      <vt:variant>
        <vt:lpwstr/>
      </vt:variant>
      <vt:variant>
        <vt:lpwstr>_Toc533009394</vt:lpwstr>
      </vt:variant>
      <vt:variant>
        <vt:i4>1310773</vt:i4>
      </vt:variant>
      <vt:variant>
        <vt:i4>242</vt:i4>
      </vt:variant>
      <vt:variant>
        <vt:i4>0</vt:i4>
      </vt:variant>
      <vt:variant>
        <vt:i4>5</vt:i4>
      </vt:variant>
      <vt:variant>
        <vt:lpwstr/>
      </vt:variant>
      <vt:variant>
        <vt:lpwstr>_Toc533009393</vt:lpwstr>
      </vt:variant>
      <vt:variant>
        <vt:i4>1310773</vt:i4>
      </vt:variant>
      <vt:variant>
        <vt:i4>236</vt:i4>
      </vt:variant>
      <vt:variant>
        <vt:i4>0</vt:i4>
      </vt:variant>
      <vt:variant>
        <vt:i4>5</vt:i4>
      </vt:variant>
      <vt:variant>
        <vt:lpwstr/>
      </vt:variant>
      <vt:variant>
        <vt:lpwstr>_Toc533009392</vt:lpwstr>
      </vt:variant>
      <vt:variant>
        <vt:i4>1310773</vt:i4>
      </vt:variant>
      <vt:variant>
        <vt:i4>230</vt:i4>
      </vt:variant>
      <vt:variant>
        <vt:i4>0</vt:i4>
      </vt:variant>
      <vt:variant>
        <vt:i4>5</vt:i4>
      </vt:variant>
      <vt:variant>
        <vt:lpwstr/>
      </vt:variant>
      <vt:variant>
        <vt:lpwstr>_Toc533009391</vt:lpwstr>
      </vt:variant>
      <vt:variant>
        <vt:i4>1310773</vt:i4>
      </vt:variant>
      <vt:variant>
        <vt:i4>224</vt:i4>
      </vt:variant>
      <vt:variant>
        <vt:i4>0</vt:i4>
      </vt:variant>
      <vt:variant>
        <vt:i4>5</vt:i4>
      </vt:variant>
      <vt:variant>
        <vt:lpwstr/>
      </vt:variant>
      <vt:variant>
        <vt:lpwstr>_Toc533009390</vt:lpwstr>
      </vt:variant>
      <vt:variant>
        <vt:i4>1376309</vt:i4>
      </vt:variant>
      <vt:variant>
        <vt:i4>218</vt:i4>
      </vt:variant>
      <vt:variant>
        <vt:i4>0</vt:i4>
      </vt:variant>
      <vt:variant>
        <vt:i4>5</vt:i4>
      </vt:variant>
      <vt:variant>
        <vt:lpwstr/>
      </vt:variant>
      <vt:variant>
        <vt:lpwstr>_Toc533009389</vt:lpwstr>
      </vt:variant>
      <vt:variant>
        <vt:i4>1376309</vt:i4>
      </vt:variant>
      <vt:variant>
        <vt:i4>212</vt:i4>
      </vt:variant>
      <vt:variant>
        <vt:i4>0</vt:i4>
      </vt:variant>
      <vt:variant>
        <vt:i4>5</vt:i4>
      </vt:variant>
      <vt:variant>
        <vt:lpwstr/>
      </vt:variant>
      <vt:variant>
        <vt:lpwstr>_Toc533009388</vt:lpwstr>
      </vt:variant>
      <vt:variant>
        <vt:i4>1376309</vt:i4>
      </vt:variant>
      <vt:variant>
        <vt:i4>206</vt:i4>
      </vt:variant>
      <vt:variant>
        <vt:i4>0</vt:i4>
      </vt:variant>
      <vt:variant>
        <vt:i4>5</vt:i4>
      </vt:variant>
      <vt:variant>
        <vt:lpwstr/>
      </vt:variant>
      <vt:variant>
        <vt:lpwstr>_Toc533009387</vt:lpwstr>
      </vt:variant>
      <vt:variant>
        <vt:i4>1376309</vt:i4>
      </vt:variant>
      <vt:variant>
        <vt:i4>200</vt:i4>
      </vt:variant>
      <vt:variant>
        <vt:i4>0</vt:i4>
      </vt:variant>
      <vt:variant>
        <vt:i4>5</vt:i4>
      </vt:variant>
      <vt:variant>
        <vt:lpwstr/>
      </vt:variant>
      <vt:variant>
        <vt:lpwstr>_Toc533009386</vt:lpwstr>
      </vt:variant>
      <vt:variant>
        <vt:i4>1376309</vt:i4>
      </vt:variant>
      <vt:variant>
        <vt:i4>194</vt:i4>
      </vt:variant>
      <vt:variant>
        <vt:i4>0</vt:i4>
      </vt:variant>
      <vt:variant>
        <vt:i4>5</vt:i4>
      </vt:variant>
      <vt:variant>
        <vt:lpwstr/>
      </vt:variant>
      <vt:variant>
        <vt:lpwstr>_Toc533009385</vt:lpwstr>
      </vt:variant>
      <vt:variant>
        <vt:i4>1376309</vt:i4>
      </vt:variant>
      <vt:variant>
        <vt:i4>188</vt:i4>
      </vt:variant>
      <vt:variant>
        <vt:i4>0</vt:i4>
      </vt:variant>
      <vt:variant>
        <vt:i4>5</vt:i4>
      </vt:variant>
      <vt:variant>
        <vt:lpwstr/>
      </vt:variant>
      <vt:variant>
        <vt:lpwstr>_Toc533009384</vt:lpwstr>
      </vt:variant>
      <vt:variant>
        <vt:i4>1376309</vt:i4>
      </vt:variant>
      <vt:variant>
        <vt:i4>182</vt:i4>
      </vt:variant>
      <vt:variant>
        <vt:i4>0</vt:i4>
      </vt:variant>
      <vt:variant>
        <vt:i4>5</vt:i4>
      </vt:variant>
      <vt:variant>
        <vt:lpwstr/>
      </vt:variant>
      <vt:variant>
        <vt:lpwstr>_Toc533009383</vt:lpwstr>
      </vt:variant>
      <vt:variant>
        <vt:i4>1376309</vt:i4>
      </vt:variant>
      <vt:variant>
        <vt:i4>176</vt:i4>
      </vt:variant>
      <vt:variant>
        <vt:i4>0</vt:i4>
      </vt:variant>
      <vt:variant>
        <vt:i4>5</vt:i4>
      </vt:variant>
      <vt:variant>
        <vt:lpwstr/>
      </vt:variant>
      <vt:variant>
        <vt:lpwstr>_Toc533009382</vt:lpwstr>
      </vt:variant>
      <vt:variant>
        <vt:i4>1376309</vt:i4>
      </vt:variant>
      <vt:variant>
        <vt:i4>170</vt:i4>
      </vt:variant>
      <vt:variant>
        <vt:i4>0</vt:i4>
      </vt:variant>
      <vt:variant>
        <vt:i4>5</vt:i4>
      </vt:variant>
      <vt:variant>
        <vt:lpwstr/>
      </vt:variant>
      <vt:variant>
        <vt:lpwstr>_Toc533009381</vt:lpwstr>
      </vt:variant>
      <vt:variant>
        <vt:i4>1376309</vt:i4>
      </vt:variant>
      <vt:variant>
        <vt:i4>164</vt:i4>
      </vt:variant>
      <vt:variant>
        <vt:i4>0</vt:i4>
      </vt:variant>
      <vt:variant>
        <vt:i4>5</vt:i4>
      </vt:variant>
      <vt:variant>
        <vt:lpwstr/>
      </vt:variant>
      <vt:variant>
        <vt:lpwstr>_Toc533009380</vt:lpwstr>
      </vt:variant>
      <vt:variant>
        <vt:i4>1703989</vt:i4>
      </vt:variant>
      <vt:variant>
        <vt:i4>158</vt:i4>
      </vt:variant>
      <vt:variant>
        <vt:i4>0</vt:i4>
      </vt:variant>
      <vt:variant>
        <vt:i4>5</vt:i4>
      </vt:variant>
      <vt:variant>
        <vt:lpwstr/>
      </vt:variant>
      <vt:variant>
        <vt:lpwstr>_Toc533009379</vt:lpwstr>
      </vt:variant>
      <vt:variant>
        <vt:i4>1703989</vt:i4>
      </vt:variant>
      <vt:variant>
        <vt:i4>152</vt:i4>
      </vt:variant>
      <vt:variant>
        <vt:i4>0</vt:i4>
      </vt:variant>
      <vt:variant>
        <vt:i4>5</vt:i4>
      </vt:variant>
      <vt:variant>
        <vt:lpwstr/>
      </vt:variant>
      <vt:variant>
        <vt:lpwstr>_Toc533009378</vt:lpwstr>
      </vt:variant>
      <vt:variant>
        <vt:i4>1703989</vt:i4>
      </vt:variant>
      <vt:variant>
        <vt:i4>146</vt:i4>
      </vt:variant>
      <vt:variant>
        <vt:i4>0</vt:i4>
      </vt:variant>
      <vt:variant>
        <vt:i4>5</vt:i4>
      </vt:variant>
      <vt:variant>
        <vt:lpwstr/>
      </vt:variant>
      <vt:variant>
        <vt:lpwstr>_Toc533009377</vt:lpwstr>
      </vt:variant>
      <vt:variant>
        <vt:i4>1703989</vt:i4>
      </vt:variant>
      <vt:variant>
        <vt:i4>140</vt:i4>
      </vt:variant>
      <vt:variant>
        <vt:i4>0</vt:i4>
      </vt:variant>
      <vt:variant>
        <vt:i4>5</vt:i4>
      </vt:variant>
      <vt:variant>
        <vt:lpwstr/>
      </vt:variant>
      <vt:variant>
        <vt:lpwstr>_Toc533009376</vt:lpwstr>
      </vt:variant>
      <vt:variant>
        <vt:i4>1703989</vt:i4>
      </vt:variant>
      <vt:variant>
        <vt:i4>134</vt:i4>
      </vt:variant>
      <vt:variant>
        <vt:i4>0</vt:i4>
      </vt:variant>
      <vt:variant>
        <vt:i4>5</vt:i4>
      </vt:variant>
      <vt:variant>
        <vt:lpwstr/>
      </vt:variant>
      <vt:variant>
        <vt:lpwstr>_Toc533009375</vt:lpwstr>
      </vt:variant>
      <vt:variant>
        <vt:i4>1703989</vt:i4>
      </vt:variant>
      <vt:variant>
        <vt:i4>128</vt:i4>
      </vt:variant>
      <vt:variant>
        <vt:i4>0</vt:i4>
      </vt:variant>
      <vt:variant>
        <vt:i4>5</vt:i4>
      </vt:variant>
      <vt:variant>
        <vt:lpwstr/>
      </vt:variant>
      <vt:variant>
        <vt:lpwstr>_Toc533009374</vt:lpwstr>
      </vt:variant>
      <vt:variant>
        <vt:i4>1703989</vt:i4>
      </vt:variant>
      <vt:variant>
        <vt:i4>122</vt:i4>
      </vt:variant>
      <vt:variant>
        <vt:i4>0</vt:i4>
      </vt:variant>
      <vt:variant>
        <vt:i4>5</vt:i4>
      </vt:variant>
      <vt:variant>
        <vt:lpwstr/>
      </vt:variant>
      <vt:variant>
        <vt:lpwstr>_Toc533009373</vt:lpwstr>
      </vt:variant>
      <vt:variant>
        <vt:i4>1703989</vt:i4>
      </vt:variant>
      <vt:variant>
        <vt:i4>116</vt:i4>
      </vt:variant>
      <vt:variant>
        <vt:i4>0</vt:i4>
      </vt:variant>
      <vt:variant>
        <vt:i4>5</vt:i4>
      </vt:variant>
      <vt:variant>
        <vt:lpwstr/>
      </vt:variant>
      <vt:variant>
        <vt:lpwstr>_Toc533009372</vt:lpwstr>
      </vt:variant>
      <vt:variant>
        <vt:i4>1703989</vt:i4>
      </vt:variant>
      <vt:variant>
        <vt:i4>110</vt:i4>
      </vt:variant>
      <vt:variant>
        <vt:i4>0</vt:i4>
      </vt:variant>
      <vt:variant>
        <vt:i4>5</vt:i4>
      </vt:variant>
      <vt:variant>
        <vt:lpwstr/>
      </vt:variant>
      <vt:variant>
        <vt:lpwstr>_Toc533009371</vt:lpwstr>
      </vt:variant>
      <vt:variant>
        <vt:i4>1703989</vt:i4>
      </vt:variant>
      <vt:variant>
        <vt:i4>104</vt:i4>
      </vt:variant>
      <vt:variant>
        <vt:i4>0</vt:i4>
      </vt:variant>
      <vt:variant>
        <vt:i4>5</vt:i4>
      </vt:variant>
      <vt:variant>
        <vt:lpwstr/>
      </vt:variant>
      <vt:variant>
        <vt:lpwstr>_Toc533009370</vt:lpwstr>
      </vt:variant>
      <vt:variant>
        <vt:i4>1769525</vt:i4>
      </vt:variant>
      <vt:variant>
        <vt:i4>98</vt:i4>
      </vt:variant>
      <vt:variant>
        <vt:i4>0</vt:i4>
      </vt:variant>
      <vt:variant>
        <vt:i4>5</vt:i4>
      </vt:variant>
      <vt:variant>
        <vt:lpwstr/>
      </vt:variant>
      <vt:variant>
        <vt:lpwstr>_Toc533009369</vt:lpwstr>
      </vt:variant>
      <vt:variant>
        <vt:i4>1769525</vt:i4>
      </vt:variant>
      <vt:variant>
        <vt:i4>92</vt:i4>
      </vt:variant>
      <vt:variant>
        <vt:i4>0</vt:i4>
      </vt:variant>
      <vt:variant>
        <vt:i4>5</vt:i4>
      </vt:variant>
      <vt:variant>
        <vt:lpwstr/>
      </vt:variant>
      <vt:variant>
        <vt:lpwstr>_Toc533009368</vt:lpwstr>
      </vt:variant>
      <vt:variant>
        <vt:i4>1769525</vt:i4>
      </vt:variant>
      <vt:variant>
        <vt:i4>86</vt:i4>
      </vt:variant>
      <vt:variant>
        <vt:i4>0</vt:i4>
      </vt:variant>
      <vt:variant>
        <vt:i4>5</vt:i4>
      </vt:variant>
      <vt:variant>
        <vt:lpwstr/>
      </vt:variant>
      <vt:variant>
        <vt:lpwstr>_Toc533009367</vt:lpwstr>
      </vt:variant>
      <vt:variant>
        <vt:i4>1769525</vt:i4>
      </vt:variant>
      <vt:variant>
        <vt:i4>80</vt:i4>
      </vt:variant>
      <vt:variant>
        <vt:i4>0</vt:i4>
      </vt:variant>
      <vt:variant>
        <vt:i4>5</vt:i4>
      </vt:variant>
      <vt:variant>
        <vt:lpwstr/>
      </vt:variant>
      <vt:variant>
        <vt:lpwstr>_Toc533009366</vt:lpwstr>
      </vt:variant>
      <vt:variant>
        <vt:i4>1769525</vt:i4>
      </vt:variant>
      <vt:variant>
        <vt:i4>74</vt:i4>
      </vt:variant>
      <vt:variant>
        <vt:i4>0</vt:i4>
      </vt:variant>
      <vt:variant>
        <vt:i4>5</vt:i4>
      </vt:variant>
      <vt:variant>
        <vt:lpwstr/>
      </vt:variant>
      <vt:variant>
        <vt:lpwstr>_Toc533009365</vt:lpwstr>
      </vt:variant>
      <vt:variant>
        <vt:i4>1769525</vt:i4>
      </vt:variant>
      <vt:variant>
        <vt:i4>68</vt:i4>
      </vt:variant>
      <vt:variant>
        <vt:i4>0</vt:i4>
      </vt:variant>
      <vt:variant>
        <vt:i4>5</vt:i4>
      </vt:variant>
      <vt:variant>
        <vt:lpwstr/>
      </vt:variant>
      <vt:variant>
        <vt:lpwstr>_Toc533009364</vt:lpwstr>
      </vt:variant>
      <vt:variant>
        <vt:i4>1769525</vt:i4>
      </vt:variant>
      <vt:variant>
        <vt:i4>62</vt:i4>
      </vt:variant>
      <vt:variant>
        <vt:i4>0</vt:i4>
      </vt:variant>
      <vt:variant>
        <vt:i4>5</vt:i4>
      </vt:variant>
      <vt:variant>
        <vt:lpwstr/>
      </vt:variant>
      <vt:variant>
        <vt:lpwstr>_Toc533009363</vt:lpwstr>
      </vt:variant>
      <vt:variant>
        <vt:i4>1769525</vt:i4>
      </vt:variant>
      <vt:variant>
        <vt:i4>56</vt:i4>
      </vt:variant>
      <vt:variant>
        <vt:i4>0</vt:i4>
      </vt:variant>
      <vt:variant>
        <vt:i4>5</vt:i4>
      </vt:variant>
      <vt:variant>
        <vt:lpwstr/>
      </vt:variant>
      <vt:variant>
        <vt:lpwstr>_Toc533009362</vt:lpwstr>
      </vt:variant>
      <vt:variant>
        <vt:i4>1769525</vt:i4>
      </vt:variant>
      <vt:variant>
        <vt:i4>50</vt:i4>
      </vt:variant>
      <vt:variant>
        <vt:i4>0</vt:i4>
      </vt:variant>
      <vt:variant>
        <vt:i4>5</vt:i4>
      </vt:variant>
      <vt:variant>
        <vt:lpwstr/>
      </vt:variant>
      <vt:variant>
        <vt:lpwstr>_Toc533009361</vt:lpwstr>
      </vt:variant>
      <vt:variant>
        <vt:i4>1769525</vt:i4>
      </vt:variant>
      <vt:variant>
        <vt:i4>44</vt:i4>
      </vt:variant>
      <vt:variant>
        <vt:i4>0</vt:i4>
      </vt:variant>
      <vt:variant>
        <vt:i4>5</vt:i4>
      </vt:variant>
      <vt:variant>
        <vt:lpwstr/>
      </vt:variant>
      <vt:variant>
        <vt:lpwstr>_Toc533009360</vt:lpwstr>
      </vt:variant>
      <vt:variant>
        <vt:i4>1572917</vt:i4>
      </vt:variant>
      <vt:variant>
        <vt:i4>38</vt:i4>
      </vt:variant>
      <vt:variant>
        <vt:i4>0</vt:i4>
      </vt:variant>
      <vt:variant>
        <vt:i4>5</vt:i4>
      </vt:variant>
      <vt:variant>
        <vt:lpwstr/>
      </vt:variant>
      <vt:variant>
        <vt:lpwstr>_Toc533009359</vt:lpwstr>
      </vt:variant>
      <vt:variant>
        <vt:i4>1572917</vt:i4>
      </vt:variant>
      <vt:variant>
        <vt:i4>32</vt:i4>
      </vt:variant>
      <vt:variant>
        <vt:i4>0</vt:i4>
      </vt:variant>
      <vt:variant>
        <vt:i4>5</vt:i4>
      </vt:variant>
      <vt:variant>
        <vt:lpwstr/>
      </vt:variant>
      <vt:variant>
        <vt:lpwstr>_Toc533009358</vt:lpwstr>
      </vt:variant>
      <vt:variant>
        <vt:i4>1572917</vt:i4>
      </vt:variant>
      <vt:variant>
        <vt:i4>26</vt:i4>
      </vt:variant>
      <vt:variant>
        <vt:i4>0</vt:i4>
      </vt:variant>
      <vt:variant>
        <vt:i4>5</vt:i4>
      </vt:variant>
      <vt:variant>
        <vt:lpwstr/>
      </vt:variant>
      <vt:variant>
        <vt:lpwstr>_Toc533009357</vt:lpwstr>
      </vt:variant>
      <vt:variant>
        <vt:i4>1572917</vt:i4>
      </vt:variant>
      <vt:variant>
        <vt:i4>20</vt:i4>
      </vt:variant>
      <vt:variant>
        <vt:i4>0</vt:i4>
      </vt:variant>
      <vt:variant>
        <vt:i4>5</vt:i4>
      </vt:variant>
      <vt:variant>
        <vt:lpwstr/>
      </vt:variant>
      <vt:variant>
        <vt:lpwstr>_Toc533009356</vt:lpwstr>
      </vt:variant>
      <vt:variant>
        <vt:i4>1572917</vt:i4>
      </vt:variant>
      <vt:variant>
        <vt:i4>14</vt:i4>
      </vt:variant>
      <vt:variant>
        <vt:i4>0</vt:i4>
      </vt:variant>
      <vt:variant>
        <vt:i4>5</vt:i4>
      </vt:variant>
      <vt:variant>
        <vt:lpwstr/>
      </vt:variant>
      <vt:variant>
        <vt:lpwstr>_Toc533009355</vt:lpwstr>
      </vt:variant>
      <vt:variant>
        <vt:i4>1572917</vt:i4>
      </vt:variant>
      <vt:variant>
        <vt:i4>8</vt:i4>
      </vt:variant>
      <vt:variant>
        <vt:i4>0</vt:i4>
      </vt:variant>
      <vt:variant>
        <vt:i4>5</vt:i4>
      </vt:variant>
      <vt:variant>
        <vt:lpwstr/>
      </vt:variant>
      <vt:variant>
        <vt:lpwstr>_Toc533009354</vt:lpwstr>
      </vt:variant>
      <vt:variant>
        <vt:i4>1572917</vt:i4>
      </vt:variant>
      <vt:variant>
        <vt:i4>2</vt:i4>
      </vt:variant>
      <vt:variant>
        <vt:i4>0</vt:i4>
      </vt:variant>
      <vt:variant>
        <vt:i4>5</vt:i4>
      </vt:variant>
      <vt:variant>
        <vt:lpwstr/>
      </vt:variant>
      <vt:variant>
        <vt:lpwstr>_Toc533009353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Rasho</dc:creator>
  <cp:lastModifiedBy>Biljana Jestrovic</cp:lastModifiedBy>
  <cp:revision>4</cp:revision>
  <cp:lastPrinted>2017-12-27T12:34:00Z</cp:lastPrinted>
  <dcterms:created xsi:type="dcterms:W3CDTF">2019-04-16T07:02:00Z</dcterms:created>
  <dcterms:modified xsi:type="dcterms:W3CDTF">2019-04-16T07:05:00Z</dcterms:modified>
</cp:coreProperties>
</file>