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2A4F" w14:textId="77777777" w:rsidR="00B95977" w:rsidRPr="0019535E" w:rsidRDefault="00B95977" w:rsidP="00B959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A20788" w:rsidRPr="0019535E" w14:paraId="7D6CFC94" w14:textId="77777777" w:rsidTr="00581694">
        <w:trPr>
          <w:trHeight w:val="1843"/>
        </w:trPr>
        <w:tc>
          <w:tcPr>
            <w:tcW w:w="1320" w:type="dxa"/>
            <w:shd w:val="clear" w:color="auto" w:fill="auto"/>
          </w:tcPr>
          <w:p w14:paraId="47A32377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5D74DFE" wp14:editId="1FD7C990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94755B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EUROPEAN UNION – MONTENEGRO</w:t>
            </w:r>
          </w:p>
          <w:p w14:paraId="5266F7D4" w14:textId="77777777" w:rsidR="00B95977" w:rsidRPr="0019535E" w:rsidRDefault="00B95977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Stabilisation and Association Agreement</w:t>
            </w: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Special group</w:t>
            </w:r>
          </w:p>
          <w:p w14:paraId="533E5CB3" w14:textId="77777777" w:rsidR="00B95977" w:rsidRPr="0019535E" w:rsidRDefault="00B95977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Public Administration Reform (PAR)</w:t>
            </w:r>
          </w:p>
          <w:p w14:paraId="1A773352" w14:textId="1231FF1B" w:rsidR="00CE4E0B" w:rsidRPr="0019535E" w:rsidRDefault="00CE4E0B" w:rsidP="00CE4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9F880AA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45C6D4F" wp14:editId="58DA3AED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788" w:rsidRPr="0019535E" w14:paraId="6DCA245F" w14:textId="77777777" w:rsidTr="00581694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9E746" w14:textId="7CC601B1" w:rsidR="00B95977" w:rsidRPr="0019535E" w:rsidRDefault="00CE4E0B" w:rsidP="00CE4E0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95977"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5977"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EE23656" w14:textId="77777777" w:rsidR="00B95977" w:rsidRPr="0019535E" w:rsidRDefault="00B95977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4B7BC0" w14:textId="2063CD6F" w:rsidR="00B95977" w:rsidRPr="0019535E" w:rsidRDefault="00B95977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535E">
        <w:rPr>
          <w:rFonts w:ascii="Times New Roman" w:hAnsi="Times New Roman" w:cs="Times New Roman"/>
          <w:b/>
          <w:sz w:val="24"/>
          <w:szCs w:val="24"/>
        </w:rPr>
        <w:t>OPERATIONAL CONCLUSIONS</w:t>
      </w:r>
      <w:r w:rsidR="00CE4E0B">
        <w:rPr>
          <w:rFonts w:ascii="Times New Roman" w:hAnsi="Times New Roman" w:cs="Times New Roman"/>
          <w:b/>
          <w:sz w:val="24"/>
          <w:szCs w:val="24"/>
        </w:rPr>
        <w:t xml:space="preserve"> - PUBLIC FINANCE MANAGEMENT</w:t>
      </w:r>
    </w:p>
    <w:p w14:paraId="59438A68" w14:textId="23136460" w:rsidR="007F2ABB" w:rsidRPr="0019535E" w:rsidRDefault="007F2ABB" w:rsidP="00B95977">
      <w:pPr>
        <w:spacing w:before="4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69F28D" w14:textId="77777777" w:rsidR="00CE4E0B" w:rsidRPr="00CE4E0B" w:rsidRDefault="00CE4E0B" w:rsidP="00CE4E0B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  <w:lang w:val="en-GB"/>
        </w:rPr>
        <w:t>Montenegro will adopt the updated PFM Reform Programme and Action Plan 2025-2026 </w:t>
      </w:r>
      <w:proofErr w:type="gramStart"/>
      <w:r>
        <w:rPr>
          <w:rStyle w:val="normaltextrun"/>
          <w:lang w:val="en-GB"/>
        </w:rPr>
        <w:t>taking into account</w:t>
      </w:r>
      <w:proofErr w:type="gramEnd"/>
      <w:r>
        <w:rPr>
          <w:rStyle w:val="normaltextrun"/>
          <w:lang w:val="en-GB"/>
        </w:rPr>
        <w:t xml:space="preserve"> the findings and recommendations of the latest SIGMA monitoring assessment and take measures to increase the implementation rate. The annual implementation report will be prepared by end March 2025.  </w:t>
      </w:r>
    </w:p>
    <w:p w14:paraId="1B1641C8" w14:textId="3A47A3F6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E65D96" w14:textId="77777777" w:rsidR="00CE4E0B" w:rsidRPr="00CE4E0B" w:rsidRDefault="00CE4E0B" w:rsidP="00CE4E0B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lang w:val="en-GB"/>
        </w:rPr>
        <w:t xml:space="preserve">Montenegro will prepare and adopt </w:t>
      </w:r>
      <w:r>
        <w:rPr>
          <w:rStyle w:val="normaltextrun"/>
          <w:color w:val="212121"/>
          <w:lang w:val="en-GB"/>
        </w:rPr>
        <w:t>a new methodology for appraisal of capital projects in line with PIMA recommendations and best international practices. </w:t>
      </w:r>
      <w:r>
        <w:rPr>
          <w:rStyle w:val="eop"/>
          <w:color w:val="212121"/>
        </w:rPr>
        <w:t> </w:t>
      </w:r>
    </w:p>
    <w:p w14:paraId="0D5CB326" w14:textId="77777777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</w:p>
    <w:p w14:paraId="03A12BB9" w14:textId="77777777" w:rsidR="00CE4E0B" w:rsidRDefault="00CE4E0B" w:rsidP="00CE4E0B">
      <w:pPr>
        <w:pStyle w:val="paragraph"/>
        <w:numPr>
          <w:ilvl w:val="0"/>
          <w:numId w:val="5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lang w:val="en-GB"/>
        </w:rPr>
        <w:t xml:space="preserve">Montenegro will </w:t>
      </w:r>
      <w:r>
        <w:rPr>
          <w:rStyle w:val="normaltextrun"/>
          <w:color w:val="212121"/>
          <w:lang w:val="en-GB"/>
        </w:rPr>
        <w:t>adopt amendments to the Law on budget and fiscal responsibility allowing</w:t>
      </w:r>
      <w:r>
        <w:rPr>
          <w:rStyle w:val="normaltextrun"/>
          <w:lang w:val="en-GB"/>
        </w:rPr>
        <w:t xml:space="preserve"> the full introduction of the mid-term budgetary framework. A medium-term debt management strategy will be adopted. </w:t>
      </w:r>
      <w:r>
        <w:rPr>
          <w:rStyle w:val="eop"/>
        </w:rPr>
        <w:t> </w:t>
      </w:r>
    </w:p>
    <w:p w14:paraId="2837E65F" w14:textId="77777777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</w:p>
    <w:p w14:paraId="5916FEB8" w14:textId="77777777" w:rsidR="00CE4E0B" w:rsidRDefault="00CE4E0B" w:rsidP="00CE4E0B">
      <w:pPr>
        <w:pStyle w:val="paragraph"/>
        <w:numPr>
          <w:ilvl w:val="0"/>
          <w:numId w:val="6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lang w:val="en-GB"/>
        </w:rPr>
        <w:t>Montenegro will take all necessary steps to strengthen fiscal risks monitoring and allowing full functioning of the Fiscal Council as an independent body and adopt a new law on the State-Owned Enterprises (SOE), and an ownership policy and a strategy for the SOEs in line with best international practices.</w:t>
      </w:r>
      <w:r>
        <w:rPr>
          <w:rStyle w:val="eop"/>
        </w:rPr>
        <w:t> </w:t>
      </w:r>
    </w:p>
    <w:p w14:paraId="56C46763" w14:textId="77777777" w:rsidR="00D10313" w:rsidRPr="0019535E" w:rsidRDefault="00D10313" w:rsidP="00CE4E0B">
      <w:pPr>
        <w:spacing w:before="40" w:after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10313" w:rsidRPr="00195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4393A" w14:textId="77777777" w:rsidR="00A83665" w:rsidRDefault="00A83665" w:rsidP="007D1AB3">
      <w:pPr>
        <w:spacing w:after="0" w:line="240" w:lineRule="auto"/>
      </w:pPr>
      <w:r>
        <w:separator/>
      </w:r>
    </w:p>
  </w:endnote>
  <w:endnote w:type="continuationSeparator" w:id="0">
    <w:p w14:paraId="1786E7DB" w14:textId="77777777" w:rsidR="00A83665" w:rsidRDefault="00A83665" w:rsidP="007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8441" w14:textId="77777777" w:rsidR="00225154" w:rsidRDefault="0022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668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3A0C3" w14:textId="0C4672A4" w:rsidR="00225154" w:rsidRDefault="00225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36D45" w14:textId="77777777" w:rsidR="00225154" w:rsidRDefault="0022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1DAF" w14:textId="77777777" w:rsidR="00225154" w:rsidRDefault="0022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F3B6C" w14:textId="77777777" w:rsidR="00A83665" w:rsidRDefault="00A83665" w:rsidP="007D1AB3">
      <w:pPr>
        <w:spacing w:after="0" w:line="240" w:lineRule="auto"/>
      </w:pPr>
      <w:r>
        <w:separator/>
      </w:r>
    </w:p>
  </w:footnote>
  <w:footnote w:type="continuationSeparator" w:id="0">
    <w:p w14:paraId="228B9CA5" w14:textId="77777777" w:rsidR="00A83665" w:rsidRDefault="00A83665" w:rsidP="007D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F356" w14:textId="77777777" w:rsidR="00225154" w:rsidRDefault="0022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3AAC" w14:textId="77777777" w:rsidR="00225154" w:rsidRDefault="00225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F938" w14:textId="77777777" w:rsidR="00225154" w:rsidRDefault="0022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00361"/>
    <w:multiLevelType w:val="multilevel"/>
    <w:tmpl w:val="8B6A0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A07D3"/>
    <w:multiLevelType w:val="multilevel"/>
    <w:tmpl w:val="9B1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527C8"/>
    <w:multiLevelType w:val="multilevel"/>
    <w:tmpl w:val="AA46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A2895"/>
    <w:multiLevelType w:val="hybridMultilevel"/>
    <w:tmpl w:val="79401D22"/>
    <w:lvl w:ilvl="0" w:tplc="0809000F">
      <w:start w:val="1"/>
      <w:numFmt w:val="decimal"/>
      <w:lvlText w:val="%1."/>
      <w:lvlJc w:val="left"/>
      <w:pPr>
        <w:ind w:left="20" w:hanging="360"/>
      </w:pPr>
    </w:lvl>
    <w:lvl w:ilvl="1" w:tplc="08090019">
      <w:start w:val="1"/>
      <w:numFmt w:val="lowerLetter"/>
      <w:lvlText w:val="%2."/>
      <w:lvlJc w:val="left"/>
      <w:pPr>
        <w:ind w:left="740" w:hanging="360"/>
      </w:pPr>
    </w:lvl>
    <w:lvl w:ilvl="2" w:tplc="0809001B" w:tentative="1">
      <w:start w:val="1"/>
      <w:numFmt w:val="lowerRoman"/>
      <w:lvlText w:val="%3."/>
      <w:lvlJc w:val="right"/>
      <w:pPr>
        <w:ind w:left="1460" w:hanging="180"/>
      </w:pPr>
    </w:lvl>
    <w:lvl w:ilvl="3" w:tplc="0809000F" w:tentative="1">
      <w:start w:val="1"/>
      <w:numFmt w:val="decimal"/>
      <w:lvlText w:val="%4."/>
      <w:lvlJc w:val="left"/>
      <w:pPr>
        <w:ind w:left="2180" w:hanging="360"/>
      </w:pPr>
    </w:lvl>
    <w:lvl w:ilvl="4" w:tplc="08090019" w:tentative="1">
      <w:start w:val="1"/>
      <w:numFmt w:val="lowerLetter"/>
      <w:lvlText w:val="%5."/>
      <w:lvlJc w:val="left"/>
      <w:pPr>
        <w:ind w:left="2900" w:hanging="360"/>
      </w:pPr>
    </w:lvl>
    <w:lvl w:ilvl="5" w:tplc="0809001B" w:tentative="1">
      <w:start w:val="1"/>
      <w:numFmt w:val="lowerRoman"/>
      <w:lvlText w:val="%6."/>
      <w:lvlJc w:val="right"/>
      <w:pPr>
        <w:ind w:left="3620" w:hanging="180"/>
      </w:pPr>
    </w:lvl>
    <w:lvl w:ilvl="6" w:tplc="0809000F" w:tentative="1">
      <w:start w:val="1"/>
      <w:numFmt w:val="decimal"/>
      <w:lvlText w:val="%7."/>
      <w:lvlJc w:val="left"/>
      <w:pPr>
        <w:ind w:left="4340" w:hanging="360"/>
      </w:pPr>
    </w:lvl>
    <w:lvl w:ilvl="7" w:tplc="08090019" w:tentative="1">
      <w:start w:val="1"/>
      <w:numFmt w:val="lowerLetter"/>
      <w:lvlText w:val="%8."/>
      <w:lvlJc w:val="left"/>
      <w:pPr>
        <w:ind w:left="5060" w:hanging="360"/>
      </w:pPr>
    </w:lvl>
    <w:lvl w:ilvl="8" w:tplc="08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76602593"/>
    <w:multiLevelType w:val="hybridMultilevel"/>
    <w:tmpl w:val="17B26D1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E013E"/>
    <w:multiLevelType w:val="multilevel"/>
    <w:tmpl w:val="A0F6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903664">
    <w:abstractNumId w:val="3"/>
  </w:num>
  <w:num w:numId="2" w16cid:durableId="922371565">
    <w:abstractNumId w:val="4"/>
  </w:num>
  <w:num w:numId="3" w16cid:durableId="794835909">
    <w:abstractNumId w:val="1"/>
  </w:num>
  <w:num w:numId="4" w16cid:durableId="1777868453">
    <w:abstractNumId w:val="5"/>
  </w:num>
  <w:num w:numId="5" w16cid:durableId="1618753152">
    <w:abstractNumId w:val="0"/>
  </w:num>
  <w:num w:numId="6" w16cid:durableId="17874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F2ABB"/>
    <w:rsid w:val="0000046C"/>
    <w:rsid w:val="00021232"/>
    <w:rsid w:val="000803DA"/>
    <w:rsid w:val="000A1C01"/>
    <w:rsid w:val="000A597D"/>
    <w:rsid w:val="000B1734"/>
    <w:rsid w:val="001048D6"/>
    <w:rsid w:val="001300F1"/>
    <w:rsid w:val="00134044"/>
    <w:rsid w:val="00136A60"/>
    <w:rsid w:val="0019535E"/>
    <w:rsid w:val="001B6ACE"/>
    <w:rsid w:val="001C288E"/>
    <w:rsid w:val="001D3B80"/>
    <w:rsid w:val="001E5347"/>
    <w:rsid w:val="001F115E"/>
    <w:rsid w:val="001F58C0"/>
    <w:rsid w:val="00225154"/>
    <w:rsid w:val="00282371"/>
    <w:rsid w:val="00283924"/>
    <w:rsid w:val="00297AD2"/>
    <w:rsid w:val="002C5EA8"/>
    <w:rsid w:val="00305880"/>
    <w:rsid w:val="003811D0"/>
    <w:rsid w:val="003F1B4D"/>
    <w:rsid w:val="00405CF7"/>
    <w:rsid w:val="00442E60"/>
    <w:rsid w:val="004713E2"/>
    <w:rsid w:val="00472EA4"/>
    <w:rsid w:val="004C4B93"/>
    <w:rsid w:val="004F50F7"/>
    <w:rsid w:val="00525FEE"/>
    <w:rsid w:val="005450AE"/>
    <w:rsid w:val="00554D3D"/>
    <w:rsid w:val="00585A2A"/>
    <w:rsid w:val="005B449B"/>
    <w:rsid w:val="005D1F48"/>
    <w:rsid w:val="006532CE"/>
    <w:rsid w:val="00664289"/>
    <w:rsid w:val="006743DB"/>
    <w:rsid w:val="006878FB"/>
    <w:rsid w:val="006945FE"/>
    <w:rsid w:val="006A07E8"/>
    <w:rsid w:val="006A4A78"/>
    <w:rsid w:val="006C5A50"/>
    <w:rsid w:val="007066E2"/>
    <w:rsid w:val="00712212"/>
    <w:rsid w:val="0072202B"/>
    <w:rsid w:val="00727AB3"/>
    <w:rsid w:val="00770AF7"/>
    <w:rsid w:val="00786BA9"/>
    <w:rsid w:val="007B1045"/>
    <w:rsid w:val="007B1D9E"/>
    <w:rsid w:val="007C141B"/>
    <w:rsid w:val="007C6496"/>
    <w:rsid w:val="007D18DC"/>
    <w:rsid w:val="007D1AB3"/>
    <w:rsid w:val="007F2ABB"/>
    <w:rsid w:val="00844EB9"/>
    <w:rsid w:val="00886878"/>
    <w:rsid w:val="0089055B"/>
    <w:rsid w:val="00894200"/>
    <w:rsid w:val="008959A1"/>
    <w:rsid w:val="008A1CD7"/>
    <w:rsid w:val="008C4F3B"/>
    <w:rsid w:val="00911561"/>
    <w:rsid w:val="009302B8"/>
    <w:rsid w:val="00934320"/>
    <w:rsid w:val="00957EF5"/>
    <w:rsid w:val="00983054"/>
    <w:rsid w:val="0099436F"/>
    <w:rsid w:val="009C16E4"/>
    <w:rsid w:val="009F1D4D"/>
    <w:rsid w:val="00A02F00"/>
    <w:rsid w:val="00A13A62"/>
    <w:rsid w:val="00A16774"/>
    <w:rsid w:val="00A20788"/>
    <w:rsid w:val="00A25CD2"/>
    <w:rsid w:val="00A83665"/>
    <w:rsid w:val="00AB04EA"/>
    <w:rsid w:val="00AB4A70"/>
    <w:rsid w:val="00AF57B5"/>
    <w:rsid w:val="00B445E0"/>
    <w:rsid w:val="00B64622"/>
    <w:rsid w:val="00B67F94"/>
    <w:rsid w:val="00B95977"/>
    <w:rsid w:val="00BC2A84"/>
    <w:rsid w:val="00BE6A70"/>
    <w:rsid w:val="00BF6DDD"/>
    <w:rsid w:val="00C16FED"/>
    <w:rsid w:val="00C17F76"/>
    <w:rsid w:val="00C91465"/>
    <w:rsid w:val="00CB6B50"/>
    <w:rsid w:val="00CE4E0B"/>
    <w:rsid w:val="00D10313"/>
    <w:rsid w:val="00D3020B"/>
    <w:rsid w:val="00D726A6"/>
    <w:rsid w:val="00D7433A"/>
    <w:rsid w:val="00D87DF0"/>
    <w:rsid w:val="00D90B53"/>
    <w:rsid w:val="00DB0F90"/>
    <w:rsid w:val="00DC676E"/>
    <w:rsid w:val="00E5115A"/>
    <w:rsid w:val="00E52297"/>
    <w:rsid w:val="00E66902"/>
    <w:rsid w:val="00E72B10"/>
    <w:rsid w:val="00EA0936"/>
    <w:rsid w:val="00EA310F"/>
    <w:rsid w:val="00EE7BB5"/>
    <w:rsid w:val="00F13970"/>
    <w:rsid w:val="00F40AE0"/>
    <w:rsid w:val="00F50638"/>
    <w:rsid w:val="00F51B20"/>
    <w:rsid w:val="00F54B35"/>
    <w:rsid w:val="00F604A8"/>
    <w:rsid w:val="00F63ADC"/>
    <w:rsid w:val="00F92C6C"/>
    <w:rsid w:val="00FA01CD"/>
    <w:rsid w:val="00FC3AFD"/>
    <w:rsid w:val="00FE390A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DF4A2"/>
  <w15:chartTrackingRefBased/>
  <w15:docId w15:val="{CD022855-3071-40D9-9C6C-55E557A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7F2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7F2A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A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AB3"/>
    <w:rPr>
      <w:vertAlign w:val="superscript"/>
    </w:rPr>
  </w:style>
  <w:style w:type="paragraph" w:styleId="Revision">
    <w:name w:val="Revision"/>
    <w:hidden/>
    <w:uiPriority w:val="99"/>
    <w:semiHidden/>
    <w:rsid w:val="008959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4"/>
  </w:style>
  <w:style w:type="paragraph" w:styleId="Footer">
    <w:name w:val="footer"/>
    <w:basedOn w:val="Normal"/>
    <w:link w:val="Foot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4"/>
  </w:style>
  <w:style w:type="character" w:customStyle="1" w:styleId="cf01">
    <w:name w:val="cf01"/>
    <w:basedOn w:val="DefaultParagraphFont"/>
    <w:rsid w:val="0019535E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E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CE4E0B"/>
  </w:style>
  <w:style w:type="character" w:customStyle="1" w:styleId="eop">
    <w:name w:val="eop"/>
    <w:basedOn w:val="DefaultParagraphFont"/>
    <w:rsid w:val="00CE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E9C219485D43A042E83C96787057" ma:contentTypeVersion="5" ma:contentTypeDescription="Create a new document." ma:contentTypeScope="" ma:versionID="92f8a09cd90a0fbde99e985506202199">
  <xsd:schema xmlns:xsd="http://www.w3.org/2001/XMLSchema" xmlns:xs="http://www.w3.org/2001/XMLSchema" xmlns:p="http://schemas.microsoft.com/office/2006/metadata/properties" xmlns:ns2="7c83f30d-3015-4e9d-bddc-b8eb1c5c1755" xmlns:ns3="99577a87-8737-45d0-99cf-c705b6998e6d" targetNamespace="http://schemas.microsoft.com/office/2006/metadata/properties" ma:root="true" ma:fieldsID="8ddaf018766dc481e1ab32c6d4e8392a" ns2:_="" ns3:_="">
    <xsd:import namespace="7c83f30d-3015-4e9d-bddc-b8eb1c5c1755"/>
    <xsd:import namespace="99577a87-8737-45d0-99cf-c705b6998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f30d-3015-4e9d-bddc-b8eb1c5c1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7a87-8737-45d0-99cf-c705b6998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77a87-8737-45d0-99cf-c705b6998e6d">
      <UserInfo>
        <DisplayName>MORARIU Cristina (HR)</DisplayName>
        <AccountId>17</AccountId>
        <AccountType/>
      </UserInfo>
      <UserInfo>
        <DisplayName>RENMAN Vilde (NEAR)</DisplayName>
        <AccountId>15</AccountId>
        <AccountType/>
      </UserInfo>
      <UserInfo>
        <DisplayName>SKOCINSKA Malgorzata (NEAR-PODGORICA)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946BB6-1C30-4BA9-9EA1-C2C75E014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42F4C-4053-4149-883C-882ABC01D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42001-4D80-4755-9F5A-C8CA0AFC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f30d-3015-4e9d-bddc-b8eb1c5c1755"/>
    <ds:schemaRef ds:uri="99577a87-8737-45d0-99cf-c705b699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48F46-5B5D-4970-A3CB-1BFB80A5BD85}">
  <ds:schemaRefs>
    <ds:schemaRef ds:uri="http://schemas.microsoft.com/office/2006/metadata/properties"/>
    <ds:schemaRef ds:uri="http://schemas.microsoft.com/office/infopath/2007/PartnerControls"/>
    <ds:schemaRef ds:uri="99577a87-8737-45d0-99cf-c705b699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 Jari (NEAR)</dc:creator>
  <cp:keywords/>
  <dc:description/>
  <cp:lastModifiedBy>Ana Banovic</cp:lastModifiedBy>
  <cp:revision>2</cp:revision>
  <dcterms:created xsi:type="dcterms:W3CDTF">2024-12-26T17:21:00Z</dcterms:created>
  <dcterms:modified xsi:type="dcterms:W3CDTF">2024-12-26T17:21:00Z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2022-10-18T10:37:25Z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bbba5d8b-7e98-411e-b8b7-fa5cbbcb7eef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0x010100C1AEE9C219485D43A042E83C96787057</vt:lpwstr>
  </property>
</Properties>
</file>