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Ministarstvo kulture Crne Gore, u skladu sa čl. 68 i čl. 70 st. 1 Zakona o kulturi („Sl.list Crne Gore“, br. 49/08, 16/11 i 38/12) objavljuje</w:t>
      </w:r>
    </w:p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b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K O N K U R S</w:t>
      </w:r>
    </w:p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b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za sufinansiranje projekata i programa iz oblasti kreativnih industrija i naučnih istraživanja u skladu sa Akcionim planom Programa “Kreativna Crna Gora: Identitet, imidž, promocija” u 2020. godini</w:t>
      </w:r>
    </w:p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b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b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center"/>
        <w:rPr>
          <w:rFonts w:ascii="Arial" w:eastAsia="Arial" w:hAnsi="Arial"/>
          <w:sz w:val="24"/>
          <w:szCs w:val="24"/>
          <w:u w:val="single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 xml:space="preserve">TEMA: </w:t>
      </w:r>
      <w:r>
        <w:rPr>
          <w:rFonts w:ascii="Arial" w:eastAsia="Arial" w:hAnsi="Arial"/>
          <w:sz w:val="24"/>
          <w:szCs w:val="24"/>
          <w:u w:val="single"/>
          <w:lang w:val="hr-HR"/>
        </w:rPr>
        <w:t>Uspostavljanje ICT proizvoda</w:t>
      </w:r>
    </w:p>
    <w:p w:rsidR="00A934A9" w:rsidRDefault="00A934A9" w:rsidP="00A934A9">
      <w:pPr>
        <w:spacing w:after="0" w:line="240" w:lineRule="auto"/>
        <w:ind w:left="720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Ministarstvo kulture Crne Gore sufinansiraće proizvode i projekte sa sljedećim tematskim okvirima: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bCs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1.</w:t>
      </w:r>
      <w:r>
        <w:rPr>
          <w:rFonts w:ascii="Arial" w:eastAsia="Arial" w:hAnsi="Arial"/>
          <w:b/>
          <w:sz w:val="24"/>
          <w:szCs w:val="24"/>
          <w:lang w:val="hr-HR"/>
        </w:rPr>
        <w:tab/>
        <w:t xml:space="preserve">DIZAJN I RAZVOJ VIDEO IGARA – </w:t>
      </w:r>
      <w:r>
        <w:rPr>
          <w:rFonts w:ascii="Arial" w:eastAsia="Arial" w:hAnsi="Arial"/>
          <w:bCs/>
          <w:sz w:val="24"/>
          <w:szCs w:val="24"/>
          <w:lang w:val="hr-HR"/>
        </w:rPr>
        <w:t>koji za cilj ima formiranje i afirmaciju kreativnog sektora koji djeluje na ovom polju (scenaristi, dizajneri, animatori, autori koncepta, programeri i sl), podizanje nivoa tehničke opremljenosti autora ili grupe autora, koji već djeluju u sektoru razvoja video igara, te uspostavljanje crnogorskog kulturnog proizvoda izvoznog karaktera u formi video igre.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b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2.</w:t>
      </w:r>
      <w:r>
        <w:rPr>
          <w:rFonts w:ascii="Arial" w:eastAsia="Arial" w:hAnsi="Arial"/>
          <w:b/>
          <w:sz w:val="24"/>
          <w:szCs w:val="24"/>
          <w:lang w:val="hr-HR"/>
        </w:rPr>
        <w:tab/>
        <w:t xml:space="preserve">IZRADA KREATIVNIH RJEŠENJA – </w:t>
      </w:r>
      <w:r>
        <w:rPr>
          <w:rFonts w:ascii="Arial" w:eastAsia="Arial" w:hAnsi="Arial"/>
          <w:bCs/>
          <w:sz w:val="24"/>
          <w:szCs w:val="24"/>
          <w:lang w:val="hr-HR"/>
        </w:rPr>
        <w:t>u smislu podrške autorskom i kreativnom angažovanju za potrebe kreiranja drugih inovativnih ICT rješenja (dizajn interfejsa, izrada scenarija i ilustrativnog materijala itd…).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CILJ KONKURSA</w:t>
      </w:r>
      <w:r>
        <w:rPr>
          <w:rFonts w:ascii="Arial" w:eastAsia="Arial" w:hAnsi="Arial"/>
          <w:sz w:val="24"/>
          <w:szCs w:val="24"/>
          <w:lang w:val="hr-HR"/>
        </w:rPr>
        <w:t xml:space="preserve"> je identifikacija tržišno orijentisanih projekata i proizvoda kojima se promoviše crnogorski kreativni sektor u oblasti ICT-a, te njihovo plasiranje na šire međunardono tržište. 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PRAVO UČEŠĆA</w:t>
      </w:r>
      <w:r>
        <w:rPr>
          <w:rFonts w:ascii="Arial" w:eastAsia="Arial" w:hAnsi="Arial"/>
          <w:sz w:val="24"/>
          <w:szCs w:val="24"/>
          <w:lang w:val="hr-HR"/>
        </w:rPr>
        <w:t xml:space="preserve"> na konkursu imaju autori, umjetnici, timovi i programeri koji djeluju sektorima razvoja proizvoda, koncepta, dizajna, dramaturgije, 2D i 3D animacije, dizajna interfejsa, programiranja i sl.  kao neka od navedenih struktura: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1)</w:t>
      </w:r>
      <w:r>
        <w:rPr>
          <w:rFonts w:ascii="Arial" w:eastAsia="Arial" w:hAnsi="Arial"/>
          <w:sz w:val="24"/>
          <w:szCs w:val="24"/>
          <w:lang w:val="hr-HR"/>
        </w:rPr>
        <w:tab/>
        <w:t>Samostalni autor i realizator, gdje je autor projekta ili proizvoda ujedno i implementator odnosno proizvođač;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2)</w:t>
      </w:r>
      <w:r>
        <w:rPr>
          <w:rFonts w:ascii="Arial" w:eastAsia="Arial" w:hAnsi="Arial"/>
          <w:sz w:val="24"/>
          <w:szCs w:val="24"/>
          <w:lang w:val="hr-HR"/>
        </w:rPr>
        <w:tab/>
        <w:t>Autor sa eksternim realizatorom, gdje je autor idejni nosioc projekta ili proizvoda a angažuje eksterno lice za implementaciju, odnosno proizvodnju.</w:t>
      </w:r>
    </w:p>
    <w:p w:rsidR="00A934A9" w:rsidRDefault="00A934A9" w:rsidP="00A934A9">
      <w:pPr>
        <w:spacing w:after="0" w:line="240" w:lineRule="auto"/>
        <w:ind w:left="720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PRIHVATLJIVE KATEGORIJE</w:t>
      </w:r>
      <w:r>
        <w:rPr>
          <w:rFonts w:ascii="Arial" w:eastAsia="Arial" w:hAnsi="Arial"/>
          <w:sz w:val="24"/>
          <w:szCs w:val="24"/>
          <w:lang w:val="hr-HR"/>
        </w:rPr>
        <w:t xml:space="preserve"> projekata i proizvoda: 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1)</w:t>
      </w:r>
      <w:r>
        <w:rPr>
          <w:rFonts w:ascii="Arial" w:eastAsia="Arial" w:hAnsi="Arial"/>
          <w:sz w:val="24"/>
          <w:szCs w:val="24"/>
          <w:lang w:val="hr-HR"/>
        </w:rPr>
        <w:tab/>
        <w:t>Razvoj kampanjske ili multiplayer video igre za više platformi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 xml:space="preserve">           (cross-platform);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2)</w:t>
      </w:r>
      <w:r>
        <w:rPr>
          <w:rFonts w:ascii="Arial" w:eastAsia="Arial" w:hAnsi="Arial"/>
          <w:sz w:val="24"/>
          <w:szCs w:val="24"/>
          <w:lang w:val="hr-HR"/>
        </w:rPr>
        <w:tab/>
        <w:t>Razvoj video igre za mobilne uređaje;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3)</w:t>
      </w:r>
      <w:r>
        <w:rPr>
          <w:rFonts w:ascii="Arial" w:eastAsia="Arial" w:hAnsi="Arial"/>
          <w:sz w:val="24"/>
          <w:szCs w:val="24"/>
          <w:lang w:val="hr-HR"/>
        </w:rPr>
        <w:tab/>
        <w:t>Podizanje tehničke kapacitiranosti.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Proizvod može biti realizovan samo u okviru JEDNE od gore navedenih kategorija.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KARAKTERISTIKE</w:t>
      </w:r>
      <w:r>
        <w:rPr>
          <w:rFonts w:ascii="Arial" w:eastAsia="Arial" w:hAnsi="Arial"/>
          <w:sz w:val="24"/>
          <w:szCs w:val="24"/>
          <w:lang w:val="hr-HR"/>
        </w:rPr>
        <w:t xml:space="preserve"> koje proizvod mora posjedovati su sljedeće: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1)</w:t>
      </w:r>
      <w:r>
        <w:rPr>
          <w:rFonts w:ascii="Arial" w:eastAsia="Arial" w:hAnsi="Arial"/>
          <w:sz w:val="24"/>
          <w:szCs w:val="24"/>
          <w:lang w:val="hr-HR"/>
        </w:rPr>
        <w:tab/>
        <w:t>Inovativnost i visoki estetski nivo u osnovnom idejnom konceptu;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2)</w:t>
      </w:r>
      <w:r>
        <w:rPr>
          <w:rFonts w:ascii="Arial" w:eastAsia="Arial" w:hAnsi="Arial"/>
          <w:sz w:val="24"/>
          <w:szCs w:val="24"/>
          <w:lang w:val="hr-HR"/>
        </w:rPr>
        <w:tab/>
        <w:t>Razrađen narativ i dramatizaciju, ukoliko igra posjeduje scenario;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3)</w:t>
      </w:r>
      <w:r>
        <w:rPr>
          <w:rFonts w:ascii="Arial" w:eastAsia="Arial" w:hAnsi="Arial"/>
          <w:sz w:val="24"/>
          <w:szCs w:val="24"/>
          <w:lang w:val="hr-HR"/>
        </w:rPr>
        <w:tab/>
        <w:t>Orijentisanost tržištu uz mogućnost serijskog plasiranja i održivosti;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4)</w:t>
      </w:r>
      <w:r>
        <w:rPr>
          <w:rFonts w:ascii="Arial" w:eastAsia="Arial" w:hAnsi="Arial"/>
          <w:sz w:val="24"/>
          <w:szCs w:val="24"/>
          <w:lang w:val="hr-HR"/>
        </w:rPr>
        <w:tab/>
        <w:t>Proizvodnja i implementacija proizvoda mora biti na teritoriji Crne Gore;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PRIHVATLJIVI TROŠKOVI</w:t>
      </w:r>
      <w:r>
        <w:rPr>
          <w:rFonts w:ascii="Arial" w:eastAsia="Arial" w:hAnsi="Arial"/>
          <w:sz w:val="24"/>
          <w:szCs w:val="24"/>
          <w:lang w:val="hr-HR"/>
        </w:rPr>
        <w:t xml:space="preserve"> - Ministarstvo će na osnovu ovog konkursa participirati u sljedećim kategorijama troškova: 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1)</w:t>
      </w:r>
      <w:r>
        <w:rPr>
          <w:rFonts w:ascii="Arial" w:eastAsia="Arial" w:hAnsi="Arial"/>
          <w:sz w:val="24"/>
          <w:szCs w:val="24"/>
          <w:lang w:val="hr-HR"/>
        </w:rPr>
        <w:tab/>
        <w:t>Obezbjeđivanje uslova za adekvatan dizajn i razvoj video igre i izradu prigodne demonstracione verzije (demo);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3)</w:t>
      </w:r>
      <w:r>
        <w:rPr>
          <w:rFonts w:ascii="Arial" w:eastAsia="Arial" w:hAnsi="Arial"/>
          <w:sz w:val="24"/>
          <w:szCs w:val="24"/>
          <w:lang w:val="hr-HR"/>
        </w:rPr>
        <w:tab/>
        <w:t>Obezbjeđivanje osnovne tehnike za proizvodnju (3D “engine”-i, licence i sl. tehnika bitna za proizvodni proces);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4)</w:t>
      </w:r>
      <w:r>
        <w:rPr>
          <w:rFonts w:ascii="Arial" w:eastAsia="Arial" w:hAnsi="Arial"/>
          <w:sz w:val="24"/>
          <w:szCs w:val="24"/>
          <w:lang w:val="hr-HR"/>
        </w:rPr>
        <w:tab/>
        <w:t>Obezbjeđivanje dijela kanala prodaje i plasmana;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5)</w:t>
      </w:r>
      <w:r>
        <w:rPr>
          <w:rFonts w:ascii="Arial" w:eastAsia="Arial" w:hAnsi="Arial"/>
          <w:sz w:val="24"/>
          <w:szCs w:val="24"/>
          <w:lang w:val="hr-HR"/>
        </w:rPr>
        <w:tab/>
        <w:t>Obezbjeđivanje budžeta za promotivne aktivnosti i oglašavanje;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6)</w:t>
      </w:r>
      <w:r>
        <w:rPr>
          <w:rFonts w:ascii="Arial" w:eastAsia="Arial" w:hAnsi="Arial"/>
          <w:sz w:val="24"/>
          <w:szCs w:val="24"/>
          <w:lang w:val="hr-HR"/>
        </w:rPr>
        <w:tab/>
        <w:t>Obezbjeđivanje budžeta za adekvatan plasman proizvoda na nekoj od “fundraising” platformi poput: Kickstarter, Indiegogo i sl.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 xml:space="preserve">Ukoliko je odabrani autor fizičko lice, za potrebe relizacije ovog konkursa, neophodno je da obezbijedi relevantnu kompaniju partnera (producenta, pravno lice), koje će u njegovo ime raspolagati dodijeljenom podrškom ili da registruje svoju najakasnije 20 dana od dana objavljivanja rezultata ovog konkursa. Do trenutka registracije nove kompanije, sredstva ne mogu biti opredjeljena. 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 xml:space="preserve">Autor može kandidovati više projekata ili proizvoda pod svojim imenom a najviše 3 (tri). 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PRIJAVA NA KONKURS</w:t>
      </w:r>
      <w:r>
        <w:rPr>
          <w:rFonts w:ascii="Arial" w:eastAsia="Arial" w:hAnsi="Arial"/>
          <w:sz w:val="24"/>
          <w:szCs w:val="24"/>
          <w:lang w:val="hr-HR"/>
        </w:rPr>
        <w:t xml:space="preserve"> podrazumijeva popunjavanje elektronske forme na: www.creativemontenegro.net.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KRITERIJUMI VREDNOVANJA</w:t>
      </w:r>
      <w:r>
        <w:rPr>
          <w:rFonts w:ascii="Arial" w:eastAsia="Arial" w:hAnsi="Arial"/>
          <w:sz w:val="24"/>
          <w:szCs w:val="24"/>
          <w:lang w:val="hr-HR"/>
        </w:rPr>
        <w:t xml:space="preserve"> pristiglih programa/projekata ili proizvoda se odnose prvenstveno na njegovu perspektivu održivosti ali i nivo estetike i originalnosti: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1)</w:t>
      </w:r>
      <w:r>
        <w:rPr>
          <w:rFonts w:ascii="Arial" w:eastAsia="Arial" w:hAnsi="Arial"/>
          <w:sz w:val="24"/>
          <w:szCs w:val="24"/>
          <w:lang w:val="hr-HR"/>
        </w:rPr>
        <w:tab/>
        <w:t>Inovativnost i estetika proizvoda (40 poena);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2)</w:t>
      </w:r>
      <w:r>
        <w:rPr>
          <w:rFonts w:ascii="Arial" w:eastAsia="Arial" w:hAnsi="Arial"/>
          <w:sz w:val="24"/>
          <w:szCs w:val="24"/>
          <w:lang w:val="hr-HR"/>
        </w:rPr>
        <w:tab/>
        <w:t>Potencijal serijske proizvodnje i tržišna orijentisanost (30 poena);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3)</w:t>
      </w:r>
      <w:r>
        <w:rPr>
          <w:rFonts w:ascii="Arial" w:eastAsia="Arial" w:hAnsi="Arial"/>
          <w:sz w:val="24"/>
          <w:szCs w:val="24"/>
          <w:lang w:val="hr-HR"/>
        </w:rPr>
        <w:tab/>
        <w:t>Promocija kulturnog i nacionalnog identiteta (20 poena);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4)</w:t>
      </w:r>
      <w:r>
        <w:rPr>
          <w:rFonts w:ascii="Arial" w:eastAsia="Arial" w:hAnsi="Arial"/>
          <w:sz w:val="24"/>
          <w:szCs w:val="24"/>
          <w:lang w:val="hr-HR"/>
        </w:rPr>
        <w:tab/>
        <w:t xml:space="preserve">Budžet za implementaciju projekta odnosno proizvodnju proizvoda </w:t>
      </w:r>
    </w:p>
    <w:p w:rsidR="00A934A9" w:rsidRDefault="00A934A9" w:rsidP="00A934A9">
      <w:pPr>
        <w:spacing w:after="0" w:line="240" w:lineRule="auto"/>
        <w:ind w:left="720" w:firstLine="720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(10 poena);</w:t>
      </w:r>
    </w:p>
    <w:p w:rsidR="00A934A9" w:rsidRDefault="00A934A9" w:rsidP="00A934A9">
      <w:pPr>
        <w:spacing w:after="0" w:line="240" w:lineRule="auto"/>
        <w:jc w:val="both"/>
        <w:rPr>
          <w:rFonts w:ascii="Arial" w:eastAsia="Arial" w:hAnsi="Arial"/>
          <w:b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lastRenderedPageBreak/>
        <w:t>ROK</w:t>
      </w:r>
      <w:r>
        <w:rPr>
          <w:rFonts w:ascii="Arial" w:eastAsia="Arial" w:hAnsi="Arial"/>
          <w:sz w:val="24"/>
          <w:szCs w:val="24"/>
          <w:lang w:val="hr-HR"/>
        </w:rPr>
        <w:t>: Prijave sa potrebnom dokumentacijom dostavljaju se zaključno sa 2</w:t>
      </w:r>
      <w:r w:rsidR="00740CCD">
        <w:rPr>
          <w:rFonts w:ascii="Arial" w:eastAsia="Arial" w:hAnsi="Arial"/>
          <w:sz w:val="24"/>
          <w:szCs w:val="24"/>
          <w:lang w:val="hr-HR"/>
        </w:rPr>
        <w:t>8.</w:t>
      </w:r>
      <w:r>
        <w:rPr>
          <w:rFonts w:ascii="Arial" w:eastAsia="Arial" w:hAnsi="Arial"/>
          <w:sz w:val="24"/>
          <w:szCs w:val="24"/>
          <w:lang w:val="hr-HR"/>
        </w:rPr>
        <w:t>05.2020.godine u 12h, a odluku o izboru programa/projekata za sufinansiranje donijeće Ministarstvo kulture, po prijedlogu stručnih komisija, u skladu sa odredbama Zakona o kulturi.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sz w:val="24"/>
          <w:szCs w:val="24"/>
          <w:lang w:val="hr-HR"/>
        </w:rPr>
        <w:t>Komisija ima pravo da usljed neispunjavanja visoko definisanih estetskih kriterijuma, odbije sve prijave u cjelosti i poništi konkurs.</w:t>
      </w: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</w:p>
    <w:p w:rsidR="00A934A9" w:rsidRDefault="00A934A9" w:rsidP="00A934A9">
      <w:pPr>
        <w:spacing w:after="0" w:line="240" w:lineRule="auto"/>
        <w:ind w:left="720"/>
        <w:jc w:val="both"/>
        <w:rPr>
          <w:rFonts w:ascii="Arial" w:eastAsia="Arial" w:hAnsi="Arial"/>
          <w:sz w:val="24"/>
          <w:szCs w:val="24"/>
          <w:lang w:val="hr-HR"/>
        </w:rPr>
      </w:pPr>
      <w:r>
        <w:rPr>
          <w:rFonts w:ascii="Arial" w:eastAsia="Arial" w:hAnsi="Arial"/>
          <w:b/>
          <w:sz w:val="24"/>
          <w:szCs w:val="24"/>
          <w:lang w:val="hr-HR"/>
        </w:rPr>
        <w:t>DOSTAVLJANJE DOKUMENTACIJE</w:t>
      </w:r>
      <w:r>
        <w:rPr>
          <w:rFonts w:ascii="Arial" w:eastAsia="Arial" w:hAnsi="Arial"/>
          <w:sz w:val="24"/>
          <w:szCs w:val="24"/>
          <w:lang w:val="hr-HR"/>
        </w:rPr>
        <w:t>: Prijava sa potrebnom dokumentacijom dostavlja se elektronski, putem formulara na: www.creativemontenegro.net.</w:t>
      </w:r>
    </w:p>
    <w:p w:rsidR="00A934A9" w:rsidRDefault="00A934A9" w:rsidP="00A934A9">
      <w:pPr>
        <w:spacing w:after="0" w:line="240" w:lineRule="auto"/>
        <w:rPr>
          <w:rFonts w:ascii="Arial" w:eastAsia="Arial" w:hAnsi="Arial"/>
          <w:sz w:val="24"/>
          <w:szCs w:val="24"/>
          <w:lang w:val="hr-HR"/>
        </w:rPr>
      </w:pPr>
    </w:p>
    <w:p w:rsidR="0087730E" w:rsidRDefault="0087730E"/>
    <w:sectPr w:rsidR="00877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BD"/>
    <w:rsid w:val="000272BD"/>
    <w:rsid w:val="00740CCD"/>
    <w:rsid w:val="0087730E"/>
    <w:rsid w:val="00A41ED7"/>
    <w:rsid w:val="00A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1896"/>
  <w15:chartTrackingRefBased/>
  <w15:docId w15:val="{F174AD86-990B-4EF6-ADF9-3941B059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4A9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3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Raznatovic</dc:creator>
  <cp:keywords/>
  <dc:description/>
  <cp:lastModifiedBy>milenavucelic88@gmail.com</cp:lastModifiedBy>
  <cp:revision>3</cp:revision>
  <dcterms:created xsi:type="dcterms:W3CDTF">2020-04-27T06:30:00Z</dcterms:created>
  <dcterms:modified xsi:type="dcterms:W3CDTF">2020-04-27T06:30:00Z</dcterms:modified>
</cp:coreProperties>
</file>