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5E" w:rsidRDefault="00AD795E" w:rsidP="00AD795E">
      <w:pPr>
        <w:pStyle w:val="BodyText"/>
        <w:outlineLvl w:val="0"/>
        <w:rPr>
          <w:rFonts w:ascii="Arial" w:hAnsi="Arial" w:cs="Arial"/>
          <w:b/>
          <w:sz w:val="32"/>
          <w:szCs w:val="32"/>
        </w:rPr>
      </w:pPr>
    </w:p>
    <w:p w:rsidR="008B3B48" w:rsidRPr="000E3ABA" w:rsidRDefault="008B3B48" w:rsidP="000E3ABA">
      <w:pPr>
        <w:pStyle w:val="BodyText"/>
        <w:jc w:val="center"/>
        <w:outlineLvl w:val="0"/>
        <w:rPr>
          <w:rFonts w:ascii="Arial" w:hAnsi="Arial" w:cs="Arial"/>
          <w:b/>
          <w:sz w:val="32"/>
          <w:szCs w:val="32"/>
        </w:rPr>
      </w:pPr>
      <w:r w:rsidRPr="000E3ABA">
        <w:rPr>
          <w:rFonts w:ascii="Arial" w:hAnsi="Arial" w:cs="Arial"/>
          <w:b/>
          <w:sz w:val="32"/>
          <w:szCs w:val="32"/>
        </w:rPr>
        <w:t>Izvještaj o državnom dugu i izdatim garancijama Crne Gore</w:t>
      </w:r>
      <w:r w:rsidR="000E3ABA">
        <w:rPr>
          <w:rFonts w:ascii="Arial" w:hAnsi="Arial" w:cs="Arial"/>
          <w:b/>
          <w:sz w:val="32"/>
          <w:szCs w:val="32"/>
        </w:rPr>
        <w:t xml:space="preserve"> </w:t>
      </w:r>
      <w:r w:rsidRPr="000E3ABA">
        <w:rPr>
          <w:rFonts w:ascii="Arial" w:hAnsi="Arial" w:cs="Arial"/>
          <w:b/>
          <w:sz w:val="32"/>
          <w:szCs w:val="32"/>
        </w:rPr>
        <w:t>na 31. decembar 2013. godine</w:t>
      </w:r>
    </w:p>
    <w:p w:rsidR="008B3B48" w:rsidRDefault="008B3B48" w:rsidP="008B3B48">
      <w:pPr>
        <w:pStyle w:val="BodyText"/>
        <w:jc w:val="center"/>
        <w:outlineLvl w:val="0"/>
        <w:rPr>
          <w:b/>
          <w:sz w:val="32"/>
          <w:szCs w:val="32"/>
        </w:rPr>
      </w:pPr>
    </w:p>
    <w:p w:rsidR="003B7982" w:rsidRPr="00AE479F" w:rsidRDefault="003B7982" w:rsidP="008B3B48">
      <w:pPr>
        <w:pStyle w:val="BodyText"/>
        <w:rPr>
          <w:b/>
          <w:sz w:val="28"/>
          <w:szCs w:val="28"/>
        </w:rPr>
      </w:pPr>
    </w:p>
    <w:p w:rsidR="0082474B" w:rsidRPr="008D20FA" w:rsidRDefault="003B7982" w:rsidP="000032CC">
      <w:pPr>
        <w:pStyle w:val="BodyText"/>
        <w:ind w:firstLine="720"/>
        <w:rPr>
          <w:rFonts w:ascii="Arial" w:hAnsi="Arial" w:cs="Arial"/>
        </w:rPr>
      </w:pPr>
      <w:r w:rsidRPr="008D20FA">
        <w:rPr>
          <w:rFonts w:ascii="Arial" w:hAnsi="Arial" w:cs="Arial"/>
        </w:rPr>
        <w:t>Državni dug Crne Gore na</w:t>
      </w:r>
      <w:r w:rsidR="00EB3C52" w:rsidRPr="008D20FA">
        <w:rPr>
          <w:rFonts w:ascii="Arial" w:hAnsi="Arial" w:cs="Arial"/>
        </w:rPr>
        <w:t xml:space="preserve"> dan 31.12.2013. godine</w:t>
      </w:r>
      <w:r w:rsidR="00C93530" w:rsidRPr="008D20FA">
        <w:rPr>
          <w:rFonts w:ascii="Arial" w:hAnsi="Arial" w:cs="Arial"/>
        </w:rPr>
        <w:t xml:space="preserve">  iznosi 1.933,0</w:t>
      </w:r>
      <w:r w:rsidRPr="008D20FA">
        <w:rPr>
          <w:rFonts w:ascii="Arial" w:hAnsi="Arial" w:cs="Arial"/>
        </w:rPr>
        <w:t xml:space="preserve"> mil</w:t>
      </w:r>
      <w:r w:rsidR="008C0CB1" w:rsidRPr="008D20FA">
        <w:rPr>
          <w:rFonts w:ascii="Arial" w:hAnsi="Arial" w:cs="Arial"/>
        </w:rPr>
        <w:t xml:space="preserve">. </w:t>
      </w:r>
      <w:r w:rsidR="0082474B" w:rsidRPr="008D20FA">
        <w:rPr>
          <w:rFonts w:ascii="Arial" w:hAnsi="Arial" w:cs="Arial"/>
        </w:rPr>
        <w:t>e</w:t>
      </w:r>
      <w:r w:rsidR="008C0CB1" w:rsidRPr="008D20FA">
        <w:rPr>
          <w:rFonts w:ascii="Arial" w:hAnsi="Arial" w:cs="Arial"/>
        </w:rPr>
        <w:t>ura</w:t>
      </w:r>
      <w:r w:rsidR="004360A8" w:rsidRPr="008D20FA">
        <w:rPr>
          <w:rFonts w:ascii="Arial" w:hAnsi="Arial" w:cs="Arial"/>
        </w:rPr>
        <w:t xml:space="preserve"> </w:t>
      </w:r>
      <w:r w:rsidR="00EB3C52" w:rsidRPr="008D20FA">
        <w:rPr>
          <w:rFonts w:ascii="Arial" w:hAnsi="Arial" w:cs="Arial"/>
        </w:rPr>
        <w:t>i sastoji se od u</w:t>
      </w:r>
      <w:r w:rsidR="004360A8" w:rsidRPr="008D20FA">
        <w:rPr>
          <w:rFonts w:ascii="Arial" w:hAnsi="Arial" w:cs="Arial"/>
        </w:rPr>
        <w:t xml:space="preserve">nutrašnjeg duga koji iznosi 500,0 mil. </w:t>
      </w:r>
      <w:r w:rsidR="0082474B" w:rsidRPr="008D20FA">
        <w:rPr>
          <w:rFonts w:ascii="Arial" w:hAnsi="Arial" w:cs="Arial"/>
        </w:rPr>
        <w:t>e</w:t>
      </w:r>
      <w:r w:rsidR="004360A8" w:rsidRPr="008D20FA">
        <w:rPr>
          <w:rFonts w:ascii="Arial" w:hAnsi="Arial" w:cs="Arial"/>
        </w:rPr>
        <w:t>ura i spoljnjeg duga koji iznosi 1.433,0</w:t>
      </w:r>
      <w:r w:rsidR="0082474B" w:rsidRPr="008D20FA">
        <w:rPr>
          <w:rFonts w:ascii="Arial" w:hAnsi="Arial" w:cs="Arial"/>
        </w:rPr>
        <w:t xml:space="preserve"> mil. eura (</w:t>
      </w:r>
      <w:r w:rsidR="008B3B48" w:rsidRPr="008D20FA">
        <w:rPr>
          <w:rFonts w:ascii="Arial" w:hAnsi="Arial" w:cs="Arial"/>
        </w:rPr>
        <w:t>Tabela br.1</w:t>
      </w:r>
      <w:r w:rsidR="00AE479F" w:rsidRPr="008D20FA">
        <w:rPr>
          <w:rFonts w:ascii="Arial" w:hAnsi="Arial" w:cs="Arial"/>
        </w:rPr>
        <w:t xml:space="preserve"> i </w:t>
      </w:r>
      <w:r w:rsidR="0082474B" w:rsidRPr="008D20FA">
        <w:rPr>
          <w:rFonts w:ascii="Arial" w:hAnsi="Arial" w:cs="Arial"/>
        </w:rPr>
        <w:t>Grafikon br. 1)</w:t>
      </w:r>
      <w:r w:rsidR="000032CC" w:rsidRPr="008D20FA">
        <w:rPr>
          <w:rFonts w:ascii="Arial" w:hAnsi="Arial" w:cs="Arial"/>
        </w:rPr>
        <w:t>.</w:t>
      </w:r>
    </w:p>
    <w:p w:rsidR="000032CC" w:rsidRDefault="000032CC" w:rsidP="003B7982">
      <w:pPr>
        <w:pStyle w:val="BodyText"/>
      </w:pPr>
    </w:p>
    <w:p w:rsidR="0082474B" w:rsidRDefault="0082474B" w:rsidP="003B7982">
      <w:pPr>
        <w:pStyle w:val="BodyText"/>
      </w:pPr>
    </w:p>
    <w:p w:rsidR="00A61349" w:rsidRPr="009202F7" w:rsidRDefault="00A61349" w:rsidP="00A61349">
      <w:pPr>
        <w:pStyle w:val="BodyText"/>
        <w:tabs>
          <w:tab w:val="center" w:pos="4320"/>
        </w:tabs>
        <w:rPr>
          <w:rFonts w:ascii="Arial" w:hAnsi="Arial" w:cs="Arial"/>
          <w:sz w:val="22"/>
          <w:szCs w:val="22"/>
        </w:rPr>
      </w:pPr>
      <w:r w:rsidRPr="009202F7">
        <w:rPr>
          <w:rFonts w:ascii="Arial" w:hAnsi="Arial" w:cs="Arial"/>
          <w:sz w:val="22"/>
          <w:szCs w:val="22"/>
        </w:rPr>
        <w:t>Grafikon br.1                                                Grafikon br.2</w:t>
      </w:r>
    </w:p>
    <w:p w:rsidR="0082474B" w:rsidRDefault="0082474B" w:rsidP="003B7982">
      <w:pPr>
        <w:pStyle w:val="BodyText"/>
      </w:pPr>
      <w:r w:rsidRPr="0082474B">
        <w:rPr>
          <w:noProof/>
          <w:lang w:val="en-US"/>
        </w:rPr>
        <w:drawing>
          <wp:inline distT="0" distB="0" distL="0" distR="0">
            <wp:extent cx="2495550" cy="17240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A61349" w:rsidRPr="00A61349">
        <w:rPr>
          <w:noProof/>
          <w:lang w:val="en-US"/>
        </w:rPr>
        <w:drawing>
          <wp:inline distT="0" distB="0" distL="0" distR="0">
            <wp:extent cx="2657475" cy="1724025"/>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474B" w:rsidRDefault="0082474B" w:rsidP="003B7982">
      <w:pPr>
        <w:pStyle w:val="BodyText"/>
      </w:pPr>
    </w:p>
    <w:p w:rsidR="0082474B" w:rsidRDefault="0082474B" w:rsidP="003B7982">
      <w:pPr>
        <w:pStyle w:val="BodyText"/>
      </w:pPr>
    </w:p>
    <w:p w:rsidR="000032CC" w:rsidRDefault="0082474B" w:rsidP="008D20FA">
      <w:pPr>
        <w:pStyle w:val="BodyText"/>
        <w:ind w:firstLine="720"/>
        <w:rPr>
          <w:rFonts w:ascii="Arial" w:hAnsi="Arial" w:cs="Arial"/>
        </w:rPr>
      </w:pPr>
      <w:r w:rsidRPr="008D20FA">
        <w:rPr>
          <w:rFonts w:ascii="Arial" w:hAnsi="Arial" w:cs="Arial"/>
        </w:rPr>
        <w:t xml:space="preserve">Posmatrajući iznos duga u odnosu na bruto domaći proizvod (BDP), državni dug na kraju 2013. </w:t>
      </w:r>
      <w:r w:rsidR="00EB3C52" w:rsidRPr="008D20FA">
        <w:rPr>
          <w:rFonts w:ascii="Arial" w:hAnsi="Arial" w:cs="Arial"/>
        </w:rPr>
        <w:t>g</w:t>
      </w:r>
      <w:r w:rsidRPr="008D20FA">
        <w:rPr>
          <w:rFonts w:ascii="Arial" w:hAnsi="Arial" w:cs="Arial"/>
        </w:rPr>
        <w:t>odine iznosi</w:t>
      </w:r>
      <w:r w:rsidR="008C0CB1" w:rsidRPr="008D20FA">
        <w:rPr>
          <w:rFonts w:ascii="Arial" w:hAnsi="Arial" w:cs="Arial"/>
        </w:rPr>
        <w:t xml:space="preserve"> </w:t>
      </w:r>
      <w:r w:rsidR="00577BD6" w:rsidRPr="008D20FA">
        <w:rPr>
          <w:rFonts w:ascii="Arial" w:hAnsi="Arial" w:cs="Arial"/>
        </w:rPr>
        <w:t>57,95</w:t>
      </w:r>
      <w:r w:rsidRPr="008D20FA">
        <w:rPr>
          <w:rFonts w:ascii="Arial" w:hAnsi="Arial" w:cs="Arial"/>
        </w:rPr>
        <w:t xml:space="preserve">% </w:t>
      </w:r>
      <w:r w:rsidR="003B7982" w:rsidRPr="008D20FA">
        <w:rPr>
          <w:rFonts w:ascii="Arial" w:hAnsi="Arial" w:cs="Arial"/>
        </w:rPr>
        <w:t>B</w:t>
      </w:r>
      <w:r w:rsidR="008C0CB1" w:rsidRPr="008D20FA">
        <w:rPr>
          <w:rFonts w:ascii="Arial" w:hAnsi="Arial" w:cs="Arial"/>
        </w:rPr>
        <w:t>DP</w:t>
      </w:r>
      <w:r w:rsidR="00EB3C52" w:rsidRPr="008D20FA">
        <w:rPr>
          <w:rFonts w:ascii="Arial" w:hAnsi="Arial" w:cs="Arial"/>
        </w:rPr>
        <w:t>-a,</w:t>
      </w:r>
      <w:r w:rsidR="008C0CB1" w:rsidRPr="008D20FA">
        <w:rPr>
          <w:rFonts w:ascii="Arial" w:hAnsi="Arial" w:cs="Arial"/>
        </w:rPr>
        <w:t xml:space="preserve"> </w:t>
      </w:r>
      <w:r w:rsidRPr="008D20FA">
        <w:rPr>
          <w:rFonts w:ascii="Arial" w:hAnsi="Arial" w:cs="Arial"/>
        </w:rPr>
        <w:t>u</w:t>
      </w:r>
      <w:r w:rsidR="008C0CB1" w:rsidRPr="008D20FA">
        <w:rPr>
          <w:rFonts w:ascii="Arial" w:hAnsi="Arial" w:cs="Arial"/>
        </w:rPr>
        <w:t xml:space="preserve">nutrašnji dug iznosi </w:t>
      </w:r>
      <w:r w:rsidR="0064288E" w:rsidRPr="008D20FA">
        <w:rPr>
          <w:rFonts w:ascii="Arial" w:hAnsi="Arial" w:cs="Arial"/>
        </w:rPr>
        <w:t>14,99</w:t>
      </w:r>
      <w:r w:rsidR="003B7982" w:rsidRPr="008D20FA">
        <w:rPr>
          <w:rFonts w:ascii="Arial" w:hAnsi="Arial" w:cs="Arial"/>
        </w:rPr>
        <w:t>% BDP-a, dok spoljni dug</w:t>
      </w:r>
      <w:r w:rsidR="008C0CB1" w:rsidRPr="008D20FA">
        <w:rPr>
          <w:rFonts w:ascii="Arial" w:hAnsi="Arial" w:cs="Arial"/>
        </w:rPr>
        <w:t xml:space="preserve"> iznosi 42,96</w:t>
      </w:r>
      <w:r w:rsidR="003B7982" w:rsidRPr="008D20FA">
        <w:rPr>
          <w:rFonts w:ascii="Arial" w:hAnsi="Arial" w:cs="Arial"/>
        </w:rPr>
        <w:t>% BDP-a</w:t>
      </w:r>
      <w:r w:rsidRPr="008D20FA">
        <w:rPr>
          <w:rFonts w:ascii="Arial" w:hAnsi="Arial" w:cs="Arial"/>
        </w:rPr>
        <w:t xml:space="preserve"> (</w:t>
      </w:r>
      <w:r w:rsidR="008B3B48" w:rsidRPr="008D20FA">
        <w:rPr>
          <w:rFonts w:ascii="Arial" w:hAnsi="Arial" w:cs="Arial"/>
        </w:rPr>
        <w:t>Tabela br.1</w:t>
      </w:r>
      <w:r w:rsidR="00AE479F" w:rsidRPr="008D20FA">
        <w:rPr>
          <w:rFonts w:ascii="Arial" w:hAnsi="Arial" w:cs="Arial"/>
        </w:rPr>
        <w:t xml:space="preserve"> i Grafikon br.</w:t>
      </w:r>
      <w:r w:rsidRPr="008D20FA">
        <w:rPr>
          <w:rFonts w:ascii="Arial" w:hAnsi="Arial" w:cs="Arial"/>
        </w:rPr>
        <w:t>2)</w:t>
      </w:r>
      <w:r w:rsidR="003B7982" w:rsidRPr="008D20FA">
        <w:rPr>
          <w:rFonts w:ascii="Arial" w:hAnsi="Arial" w:cs="Arial"/>
        </w:rPr>
        <w:t xml:space="preserve">. </w:t>
      </w:r>
    </w:p>
    <w:p w:rsidR="0021211D" w:rsidRDefault="0021211D" w:rsidP="008D20FA">
      <w:pPr>
        <w:pStyle w:val="BodyText"/>
        <w:ind w:firstLine="720"/>
        <w:rPr>
          <w:rFonts w:ascii="Arial" w:hAnsi="Arial" w:cs="Arial"/>
        </w:rPr>
      </w:pPr>
    </w:p>
    <w:p w:rsidR="0021211D" w:rsidRPr="008D20FA" w:rsidRDefault="0021211D" w:rsidP="008D20FA">
      <w:pPr>
        <w:pStyle w:val="BodyText"/>
        <w:ind w:firstLine="720"/>
        <w:rPr>
          <w:rFonts w:ascii="Arial" w:hAnsi="Arial" w:cs="Arial"/>
        </w:rPr>
      </w:pPr>
      <w:r w:rsidRPr="0021211D">
        <w:rPr>
          <w:rFonts w:ascii="Arial" w:hAnsi="Arial" w:cs="Arial"/>
          <w:bCs/>
          <w:color w:val="000000"/>
          <w:sz w:val="22"/>
          <w:szCs w:val="22"/>
        </w:rPr>
        <w:t>Tabela br.1 - Stanje državnog duga na 31.12.2013. godine</w:t>
      </w:r>
    </w:p>
    <w:tbl>
      <w:tblPr>
        <w:tblW w:w="9465" w:type="dxa"/>
        <w:tblInd w:w="93" w:type="dxa"/>
        <w:tblLook w:val="04A0"/>
      </w:tblPr>
      <w:tblGrid>
        <w:gridCol w:w="4515"/>
        <w:gridCol w:w="1120"/>
        <w:gridCol w:w="1320"/>
        <w:gridCol w:w="1340"/>
        <w:gridCol w:w="1170"/>
      </w:tblGrid>
      <w:tr w:rsidR="008B3B48" w:rsidRPr="000C5187" w:rsidTr="0056789C">
        <w:trPr>
          <w:trHeight w:val="315"/>
        </w:trPr>
        <w:tc>
          <w:tcPr>
            <w:tcW w:w="451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Spoljni dug</w:t>
            </w:r>
          </w:p>
        </w:tc>
        <w:tc>
          <w:tcPr>
            <w:tcW w:w="1120" w:type="dxa"/>
            <w:tcBorders>
              <w:top w:val="double" w:sz="6" w:space="0" w:color="auto"/>
              <w:left w:val="nil"/>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320" w:type="dxa"/>
            <w:tcBorders>
              <w:top w:val="double" w:sz="6" w:space="0" w:color="auto"/>
              <w:left w:val="nil"/>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340" w:type="dxa"/>
            <w:tcBorders>
              <w:top w:val="double" w:sz="6" w:space="0" w:color="auto"/>
              <w:left w:val="nil"/>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170" w:type="dxa"/>
            <w:tcBorders>
              <w:top w:val="double" w:sz="6" w:space="0" w:color="auto"/>
              <w:left w:val="nil"/>
              <w:bottom w:val="single" w:sz="4" w:space="0" w:color="auto"/>
              <w:right w:val="double" w:sz="6"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r>
      <w:tr w:rsidR="008B3B48" w:rsidRPr="000C5187" w:rsidTr="0056789C">
        <w:trPr>
          <w:trHeight w:val="9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jc w:val="center"/>
              <w:rPr>
                <w:rFonts w:ascii="Arial" w:hAnsi="Arial" w:cs="Arial"/>
                <w:b/>
                <w:bCs/>
                <w:color w:val="000000"/>
                <w:sz w:val="22"/>
                <w:szCs w:val="22"/>
              </w:rPr>
            </w:pPr>
            <w:r w:rsidRPr="008D20FA">
              <w:rPr>
                <w:rFonts w:ascii="Arial" w:hAnsi="Arial" w:cs="Arial"/>
                <w:b/>
                <w:bCs/>
                <w:color w:val="000000"/>
                <w:sz w:val="22"/>
                <w:szCs w:val="22"/>
              </w:rPr>
              <w:t>Kreditor</w:t>
            </w:r>
          </w:p>
        </w:tc>
        <w:tc>
          <w:tcPr>
            <w:tcW w:w="1120" w:type="dxa"/>
            <w:tcBorders>
              <w:top w:val="nil"/>
              <w:left w:val="nil"/>
              <w:bottom w:val="single" w:sz="4" w:space="0" w:color="auto"/>
              <w:right w:val="single" w:sz="4" w:space="0" w:color="auto"/>
            </w:tcBorders>
            <w:shd w:val="clear" w:color="auto" w:fill="auto"/>
            <w:vAlign w:val="bottom"/>
            <w:hideMark/>
          </w:tcPr>
          <w:p w:rsidR="008B3B48" w:rsidRPr="008D20FA" w:rsidRDefault="008B3B48" w:rsidP="002E4D67">
            <w:pPr>
              <w:jc w:val="center"/>
              <w:rPr>
                <w:rFonts w:ascii="Arial" w:hAnsi="Arial" w:cs="Arial"/>
                <w:b/>
                <w:bCs/>
                <w:sz w:val="22"/>
                <w:szCs w:val="22"/>
              </w:rPr>
            </w:pPr>
            <w:r w:rsidRPr="008D20FA">
              <w:rPr>
                <w:rFonts w:ascii="Arial" w:hAnsi="Arial" w:cs="Arial"/>
                <w:b/>
                <w:bCs/>
                <w:sz w:val="22"/>
                <w:szCs w:val="22"/>
              </w:rPr>
              <w:t>stanje duga</w:t>
            </w:r>
          </w:p>
        </w:tc>
        <w:tc>
          <w:tcPr>
            <w:tcW w:w="1320" w:type="dxa"/>
            <w:tcBorders>
              <w:top w:val="nil"/>
              <w:left w:val="nil"/>
              <w:bottom w:val="single" w:sz="4" w:space="0" w:color="auto"/>
              <w:right w:val="single" w:sz="4" w:space="0" w:color="auto"/>
            </w:tcBorders>
            <w:shd w:val="clear" w:color="auto" w:fill="auto"/>
            <w:vAlign w:val="bottom"/>
            <w:hideMark/>
          </w:tcPr>
          <w:p w:rsidR="000E3ABA" w:rsidRPr="008D20FA" w:rsidRDefault="000E3ABA" w:rsidP="002E4D67">
            <w:pPr>
              <w:jc w:val="center"/>
              <w:rPr>
                <w:rFonts w:ascii="Arial" w:hAnsi="Arial" w:cs="Arial"/>
                <w:b/>
                <w:bCs/>
                <w:sz w:val="22"/>
                <w:szCs w:val="22"/>
              </w:rPr>
            </w:pPr>
          </w:p>
          <w:p w:rsidR="000E3ABA" w:rsidRPr="008D20FA" w:rsidRDefault="000E3ABA" w:rsidP="002E4D67">
            <w:pPr>
              <w:jc w:val="center"/>
              <w:rPr>
                <w:rFonts w:ascii="Arial" w:hAnsi="Arial" w:cs="Arial"/>
                <w:b/>
                <w:bCs/>
                <w:sz w:val="22"/>
                <w:szCs w:val="22"/>
              </w:rPr>
            </w:pPr>
          </w:p>
          <w:p w:rsidR="008B3B48" w:rsidRPr="008D20FA" w:rsidRDefault="000E3ABA" w:rsidP="002E4D67">
            <w:pPr>
              <w:jc w:val="center"/>
              <w:rPr>
                <w:rFonts w:ascii="Arial" w:hAnsi="Arial" w:cs="Arial"/>
                <w:b/>
                <w:bCs/>
                <w:sz w:val="22"/>
                <w:szCs w:val="22"/>
              </w:rPr>
            </w:pPr>
            <w:r w:rsidRPr="008D20FA">
              <w:rPr>
                <w:rFonts w:ascii="Arial" w:hAnsi="Arial" w:cs="Arial"/>
                <w:b/>
                <w:bCs/>
                <w:sz w:val="22"/>
                <w:szCs w:val="22"/>
              </w:rPr>
              <w:t xml:space="preserve">% </w:t>
            </w:r>
            <w:r w:rsidR="008B3B48" w:rsidRPr="008D20FA">
              <w:rPr>
                <w:rFonts w:ascii="Arial" w:hAnsi="Arial" w:cs="Arial"/>
                <w:b/>
                <w:bCs/>
                <w:sz w:val="22"/>
                <w:szCs w:val="22"/>
              </w:rPr>
              <w:t>BDP</w:t>
            </w:r>
          </w:p>
        </w:tc>
        <w:tc>
          <w:tcPr>
            <w:tcW w:w="1340" w:type="dxa"/>
            <w:tcBorders>
              <w:top w:val="nil"/>
              <w:left w:val="nil"/>
              <w:bottom w:val="single" w:sz="4" w:space="0" w:color="auto"/>
              <w:right w:val="single" w:sz="4" w:space="0" w:color="auto"/>
            </w:tcBorders>
            <w:shd w:val="clear" w:color="auto" w:fill="auto"/>
            <w:vAlign w:val="bottom"/>
            <w:hideMark/>
          </w:tcPr>
          <w:p w:rsidR="008B3B48" w:rsidRPr="008D20FA" w:rsidRDefault="008B3B48" w:rsidP="002E4D67">
            <w:pPr>
              <w:jc w:val="center"/>
              <w:rPr>
                <w:rFonts w:ascii="Arial" w:hAnsi="Arial" w:cs="Arial"/>
                <w:b/>
                <w:bCs/>
                <w:sz w:val="22"/>
                <w:szCs w:val="22"/>
              </w:rPr>
            </w:pPr>
            <w:r w:rsidRPr="008D20FA">
              <w:rPr>
                <w:rFonts w:ascii="Arial" w:hAnsi="Arial" w:cs="Arial"/>
                <w:b/>
                <w:bCs/>
                <w:sz w:val="22"/>
                <w:szCs w:val="22"/>
              </w:rPr>
              <w:t>% Spoljnjeg duga</w:t>
            </w:r>
          </w:p>
        </w:tc>
        <w:tc>
          <w:tcPr>
            <w:tcW w:w="1170" w:type="dxa"/>
            <w:tcBorders>
              <w:top w:val="nil"/>
              <w:left w:val="nil"/>
              <w:bottom w:val="single" w:sz="4" w:space="0" w:color="auto"/>
              <w:right w:val="double" w:sz="6" w:space="0" w:color="auto"/>
            </w:tcBorders>
            <w:shd w:val="clear" w:color="auto" w:fill="auto"/>
            <w:vAlign w:val="bottom"/>
            <w:hideMark/>
          </w:tcPr>
          <w:p w:rsidR="008B3B48" w:rsidRPr="008D20FA" w:rsidRDefault="008B3B48" w:rsidP="002E4D67">
            <w:pPr>
              <w:jc w:val="center"/>
              <w:rPr>
                <w:rFonts w:ascii="Arial" w:hAnsi="Arial" w:cs="Arial"/>
                <w:b/>
                <w:bCs/>
                <w:color w:val="000000"/>
                <w:sz w:val="22"/>
                <w:szCs w:val="22"/>
              </w:rPr>
            </w:pPr>
            <w:r w:rsidRPr="008D20FA">
              <w:rPr>
                <w:rFonts w:ascii="Arial" w:hAnsi="Arial" w:cs="Arial"/>
                <w:b/>
                <w:bCs/>
                <w:color w:val="000000"/>
                <w:sz w:val="22"/>
                <w:szCs w:val="22"/>
              </w:rPr>
              <w:t>% Ukupnog duga</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jc w:val="center"/>
              <w:rPr>
                <w:rFonts w:ascii="Arial" w:hAnsi="Arial" w:cs="Arial"/>
                <w:b/>
                <w:bCs/>
                <w:color w:val="000000"/>
                <w:sz w:val="22"/>
                <w:szCs w:val="22"/>
              </w:rPr>
            </w:pPr>
            <w:r w:rsidRPr="008D20FA">
              <w:rPr>
                <w:rFonts w:ascii="Arial" w:hAnsi="Arial" w:cs="Arial"/>
                <w:b/>
                <w:bCs/>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center"/>
              <w:rPr>
                <w:rFonts w:ascii="Arial" w:hAnsi="Arial" w:cs="Arial"/>
                <w:b/>
                <w:bCs/>
                <w:color w:val="000000"/>
                <w:sz w:val="22"/>
                <w:szCs w:val="22"/>
              </w:rPr>
            </w:pPr>
            <w:r w:rsidRPr="008D20FA">
              <w:rPr>
                <w:rFonts w:ascii="Arial" w:hAnsi="Arial" w:cs="Arial"/>
                <w:b/>
                <w:bCs/>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3,335.90</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Međunarodna banka za obnovu i razvoj  (IBRD)</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235.60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7.06</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16.44</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12.19</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Međunarodna finansijska institucija (IFC)</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0.6</w:t>
            </w:r>
            <w:r w:rsidR="00F20012" w:rsidRPr="008D20FA">
              <w:rPr>
                <w:rFonts w:ascii="Arial" w:hAnsi="Arial" w:cs="Arial"/>
                <w:color w:val="000000"/>
                <w:sz w:val="22"/>
                <w:szCs w:val="22"/>
              </w:rPr>
              <w:t>5</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0.02</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0.04</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0.03</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Pariski klub Povjerilac</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98.80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2.96</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6.89</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5.11</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Međunarodna Asocijacija za razvoj (IDA)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61.40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1.84</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4.28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3.18</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Evropska Investiciona Banka (EIB)</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96.30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2.89</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6.72</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4.98</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Evropska banka za obnovu i razvoj (EBRD)</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18.60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0.56</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1.30</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0.96</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Banka za razvoj Savjeta Evrope (CEB)</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9.10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0.27</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0.64</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0.47</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 xml:space="preserve">Evropska Komisija </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5.50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0.16</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0.38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0.28</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Njemačka banka za razvoj (KFW)</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18.30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0.55</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1.28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0.95</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lastRenderedPageBreak/>
              <w:t>Mađarski zajam</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10.30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0.31</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0.72</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0.53</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Poljski zajam</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9.00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0.27</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0.63</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0.47</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Francuski zajam</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8.10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0.24</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0.57</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0.42</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EUROFIMA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20.80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0.62</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1.45</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1.08</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Češka Exim Banka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19.80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0.59</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1.38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1.02</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Steiermarkische Bank und Sparkassen AG</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16.50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0.49</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1.15</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0.85</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Erste Banka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27.80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0.83</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1.94</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1.44</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Credit Suisse Banka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242.00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7.25</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16.89</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12.52</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Mađarska Exim Banka - Ante Djedovic</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1.00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0.03</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0.07</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0.05</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Španski kredit</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4.90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0.15</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0.34</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0.25</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Austrijski kredit</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8.60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0.26</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0.60</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0.44</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EUROBOND</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460.00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13.79</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32.10</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23.80</w:t>
            </w:r>
          </w:p>
        </w:tc>
      </w:tr>
      <w:tr w:rsidR="008B3B48" w:rsidRPr="000C5187" w:rsidTr="0056789C">
        <w:trPr>
          <w:trHeight w:val="315"/>
        </w:trPr>
        <w:tc>
          <w:tcPr>
            <w:tcW w:w="4515" w:type="dxa"/>
            <w:tcBorders>
              <w:top w:val="nil"/>
              <w:left w:val="double" w:sz="6" w:space="0" w:color="auto"/>
              <w:bottom w:val="nil"/>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Deutsche Bank</w:t>
            </w:r>
          </w:p>
        </w:tc>
        <w:tc>
          <w:tcPr>
            <w:tcW w:w="1120" w:type="dxa"/>
            <w:tcBorders>
              <w:top w:val="nil"/>
              <w:left w:val="nil"/>
              <w:bottom w:val="nil"/>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60.00</w:t>
            </w:r>
          </w:p>
        </w:tc>
        <w:tc>
          <w:tcPr>
            <w:tcW w:w="1320" w:type="dxa"/>
            <w:tcBorders>
              <w:top w:val="nil"/>
              <w:left w:val="nil"/>
              <w:bottom w:val="nil"/>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1.80</w:t>
            </w:r>
          </w:p>
        </w:tc>
        <w:tc>
          <w:tcPr>
            <w:tcW w:w="1340" w:type="dxa"/>
            <w:tcBorders>
              <w:top w:val="nil"/>
              <w:left w:val="nil"/>
              <w:bottom w:val="nil"/>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4.19</w:t>
            </w:r>
          </w:p>
        </w:tc>
        <w:tc>
          <w:tcPr>
            <w:tcW w:w="1170" w:type="dxa"/>
            <w:tcBorders>
              <w:top w:val="nil"/>
              <w:left w:val="nil"/>
              <w:bottom w:val="nil"/>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3.10</w:t>
            </w:r>
          </w:p>
        </w:tc>
      </w:tr>
      <w:tr w:rsidR="008B3B48" w:rsidRPr="000C5187" w:rsidTr="0056789C">
        <w:trPr>
          <w:trHeight w:val="330"/>
        </w:trPr>
        <w:tc>
          <w:tcPr>
            <w:tcW w:w="45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Ukupno spoljni dug</w:t>
            </w:r>
          </w:p>
        </w:tc>
        <w:tc>
          <w:tcPr>
            <w:tcW w:w="1120" w:type="dxa"/>
            <w:tcBorders>
              <w:top w:val="double" w:sz="6" w:space="0" w:color="auto"/>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1,433.00</w:t>
            </w:r>
          </w:p>
        </w:tc>
        <w:tc>
          <w:tcPr>
            <w:tcW w:w="1320" w:type="dxa"/>
            <w:tcBorders>
              <w:top w:val="double" w:sz="6" w:space="0" w:color="auto"/>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42.96</w:t>
            </w:r>
          </w:p>
        </w:tc>
        <w:tc>
          <w:tcPr>
            <w:tcW w:w="1340" w:type="dxa"/>
            <w:tcBorders>
              <w:top w:val="double" w:sz="6" w:space="0" w:color="auto"/>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100.00</w:t>
            </w:r>
          </w:p>
        </w:tc>
        <w:tc>
          <w:tcPr>
            <w:tcW w:w="1170" w:type="dxa"/>
            <w:tcBorders>
              <w:top w:val="double" w:sz="6" w:space="0" w:color="auto"/>
              <w:left w:val="nil"/>
              <w:bottom w:val="double" w:sz="6"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74.13</w:t>
            </w:r>
          </w:p>
        </w:tc>
      </w:tr>
      <w:tr w:rsidR="008B3B48" w:rsidRPr="000C5187" w:rsidTr="0056789C">
        <w:trPr>
          <w:trHeight w:val="330"/>
        </w:trPr>
        <w:tc>
          <w:tcPr>
            <w:tcW w:w="4515" w:type="dxa"/>
            <w:tcBorders>
              <w:top w:val="nil"/>
              <w:left w:val="double" w:sz="6" w:space="0" w:color="auto"/>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1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 </w:t>
            </w:r>
          </w:p>
        </w:tc>
        <w:tc>
          <w:tcPr>
            <w:tcW w:w="13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34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170" w:type="dxa"/>
            <w:tcBorders>
              <w:top w:val="nil"/>
              <w:left w:val="nil"/>
              <w:bottom w:val="double" w:sz="6" w:space="0" w:color="auto"/>
              <w:right w:val="double" w:sz="6"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r>
      <w:tr w:rsidR="008B3B48" w:rsidRPr="000C5187" w:rsidTr="0056789C">
        <w:trPr>
          <w:trHeight w:val="330"/>
        </w:trPr>
        <w:tc>
          <w:tcPr>
            <w:tcW w:w="4515" w:type="dxa"/>
            <w:tcBorders>
              <w:top w:val="nil"/>
              <w:left w:val="double" w:sz="6" w:space="0" w:color="auto"/>
              <w:bottom w:val="double" w:sz="6" w:space="0" w:color="auto"/>
              <w:right w:val="single" w:sz="4" w:space="0" w:color="auto"/>
            </w:tcBorders>
            <w:shd w:val="clear" w:color="auto" w:fill="auto"/>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Unutrašnji dug</w:t>
            </w:r>
          </w:p>
        </w:tc>
        <w:tc>
          <w:tcPr>
            <w:tcW w:w="1120" w:type="dxa"/>
            <w:tcBorders>
              <w:top w:val="nil"/>
              <w:left w:val="nil"/>
              <w:bottom w:val="double" w:sz="6" w:space="0" w:color="auto"/>
              <w:right w:val="single" w:sz="4" w:space="0" w:color="auto"/>
            </w:tcBorders>
            <w:shd w:val="clear" w:color="auto" w:fill="auto"/>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3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34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c>
          <w:tcPr>
            <w:tcW w:w="1170" w:type="dxa"/>
            <w:tcBorders>
              <w:top w:val="nil"/>
              <w:left w:val="nil"/>
              <w:bottom w:val="double" w:sz="6" w:space="0" w:color="auto"/>
              <w:right w:val="double" w:sz="6"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 </w:t>
            </w:r>
          </w:p>
        </w:tc>
      </w:tr>
      <w:tr w:rsidR="008B3B48" w:rsidRPr="000C5187" w:rsidTr="0056789C">
        <w:trPr>
          <w:trHeight w:val="915"/>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jc w:val="center"/>
              <w:rPr>
                <w:rFonts w:ascii="Arial" w:hAnsi="Arial" w:cs="Arial"/>
                <w:b/>
                <w:bCs/>
                <w:color w:val="000000"/>
                <w:sz w:val="22"/>
                <w:szCs w:val="22"/>
              </w:rPr>
            </w:pPr>
            <w:r w:rsidRPr="008D20FA">
              <w:rPr>
                <w:rFonts w:ascii="Arial" w:hAnsi="Arial" w:cs="Arial"/>
                <w:b/>
                <w:bCs/>
                <w:color w:val="000000"/>
                <w:sz w:val="22"/>
                <w:szCs w:val="22"/>
              </w:rPr>
              <w:t>Kreditor</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center"/>
              <w:rPr>
                <w:rFonts w:ascii="Arial" w:hAnsi="Arial" w:cs="Arial"/>
                <w:b/>
                <w:bCs/>
                <w:sz w:val="22"/>
                <w:szCs w:val="22"/>
              </w:rPr>
            </w:pPr>
            <w:r w:rsidRPr="008D20FA">
              <w:rPr>
                <w:rFonts w:ascii="Arial" w:hAnsi="Arial" w:cs="Arial"/>
                <w:b/>
                <w:bCs/>
                <w:sz w:val="22"/>
                <w:szCs w:val="22"/>
              </w:rPr>
              <w:t>Stanje duga</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0E3ABA" w:rsidP="002E4D67">
            <w:pPr>
              <w:jc w:val="center"/>
              <w:rPr>
                <w:rFonts w:ascii="Arial" w:hAnsi="Arial" w:cs="Arial"/>
                <w:b/>
                <w:bCs/>
                <w:sz w:val="22"/>
                <w:szCs w:val="22"/>
              </w:rPr>
            </w:pPr>
            <w:r w:rsidRPr="008D20FA">
              <w:rPr>
                <w:rFonts w:ascii="Arial" w:hAnsi="Arial" w:cs="Arial"/>
                <w:b/>
                <w:bCs/>
                <w:sz w:val="22"/>
                <w:szCs w:val="22"/>
              </w:rPr>
              <w:t xml:space="preserve">% </w:t>
            </w:r>
            <w:r w:rsidR="008B3B48" w:rsidRPr="008D20FA">
              <w:rPr>
                <w:rFonts w:ascii="Arial" w:hAnsi="Arial" w:cs="Arial"/>
                <w:b/>
                <w:bCs/>
                <w:sz w:val="22"/>
                <w:szCs w:val="22"/>
              </w:rPr>
              <w:t>BDP</w:t>
            </w:r>
          </w:p>
        </w:tc>
        <w:tc>
          <w:tcPr>
            <w:tcW w:w="1340" w:type="dxa"/>
            <w:tcBorders>
              <w:top w:val="nil"/>
              <w:left w:val="nil"/>
              <w:bottom w:val="single" w:sz="4" w:space="0" w:color="auto"/>
              <w:right w:val="single" w:sz="4" w:space="0" w:color="auto"/>
            </w:tcBorders>
            <w:shd w:val="clear" w:color="auto" w:fill="auto"/>
            <w:vAlign w:val="bottom"/>
            <w:hideMark/>
          </w:tcPr>
          <w:p w:rsidR="008B3B48" w:rsidRPr="008D20FA" w:rsidRDefault="008B3B48" w:rsidP="002E4D67">
            <w:pPr>
              <w:jc w:val="center"/>
              <w:rPr>
                <w:rFonts w:ascii="Arial" w:hAnsi="Arial" w:cs="Arial"/>
                <w:b/>
                <w:bCs/>
                <w:sz w:val="22"/>
                <w:szCs w:val="22"/>
              </w:rPr>
            </w:pPr>
            <w:r w:rsidRPr="008D20FA">
              <w:rPr>
                <w:rFonts w:ascii="Arial" w:hAnsi="Arial" w:cs="Arial"/>
                <w:b/>
                <w:bCs/>
                <w:sz w:val="22"/>
                <w:szCs w:val="22"/>
              </w:rPr>
              <w:t>% Domaćeg duga</w:t>
            </w:r>
          </w:p>
        </w:tc>
        <w:tc>
          <w:tcPr>
            <w:tcW w:w="1170" w:type="dxa"/>
            <w:tcBorders>
              <w:top w:val="nil"/>
              <w:left w:val="nil"/>
              <w:bottom w:val="single" w:sz="4" w:space="0" w:color="auto"/>
              <w:right w:val="double" w:sz="6" w:space="0" w:color="auto"/>
            </w:tcBorders>
            <w:shd w:val="clear" w:color="auto" w:fill="auto"/>
            <w:vAlign w:val="bottom"/>
            <w:hideMark/>
          </w:tcPr>
          <w:p w:rsidR="008B3B48" w:rsidRPr="008D20FA" w:rsidRDefault="008B3B48" w:rsidP="002E4D67">
            <w:pPr>
              <w:jc w:val="center"/>
              <w:rPr>
                <w:rFonts w:ascii="Arial" w:hAnsi="Arial" w:cs="Arial"/>
                <w:b/>
                <w:bCs/>
                <w:color w:val="000000"/>
                <w:sz w:val="22"/>
                <w:szCs w:val="22"/>
              </w:rPr>
            </w:pPr>
            <w:r w:rsidRPr="008D20FA">
              <w:rPr>
                <w:rFonts w:ascii="Arial" w:hAnsi="Arial" w:cs="Arial"/>
                <w:b/>
                <w:bCs/>
                <w:color w:val="000000"/>
                <w:sz w:val="22"/>
                <w:szCs w:val="22"/>
              </w:rPr>
              <w:t>% Ukupnog duga</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Devizna štednja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68.90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2.07</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13.78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3.56</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Dug opština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135.90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4.07</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27.18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7.03</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 xml:space="preserve">Restitucija </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90.20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2.70</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18.04</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4.67</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Krediti kod komercijalnih banaka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101.40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3.04</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20.28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5.25</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Krediti kod nefinansijskih institucija</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18.80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0.56</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3.76</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0.97</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Zaostale penzije</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1.80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0.05</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0.36</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0.09</w:t>
            </w:r>
          </w:p>
        </w:tc>
      </w:tr>
      <w:tr w:rsidR="008B3B48" w:rsidRPr="000C5187" w:rsidTr="0056789C">
        <w:trPr>
          <w:trHeight w:val="300"/>
        </w:trPr>
        <w:tc>
          <w:tcPr>
            <w:tcW w:w="4515" w:type="dxa"/>
            <w:tcBorders>
              <w:top w:val="nil"/>
              <w:left w:val="double" w:sz="6" w:space="0" w:color="auto"/>
              <w:bottom w:val="single" w:sz="4" w:space="0" w:color="auto"/>
              <w:right w:val="single" w:sz="4" w:space="0" w:color="auto"/>
            </w:tcBorders>
            <w:shd w:val="clear" w:color="auto" w:fill="auto"/>
            <w:noWrap/>
            <w:vAlign w:val="bottom"/>
            <w:hideMark/>
          </w:tcPr>
          <w:p w:rsidR="008B3B48" w:rsidRPr="008D20FA" w:rsidRDefault="008B3B48" w:rsidP="002E4D67">
            <w:pPr>
              <w:rPr>
                <w:rFonts w:ascii="Arial" w:hAnsi="Arial" w:cs="Arial"/>
                <w:sz w:val="22"/>
                <w:szCs w:val="22"/>
              </w:rPr>
            </w:pPr>
            <w:r w:rsidRPr="008D20FA">
              <w:rPr>
                <w:rFonts w:ascii="Arial" w:hAnsi="Arial" w:cs="Arial"/>
                <w:sz w:val="22"/>
                <w:szCs w:val="22"/>
              </w:rPr>
              <w:t>Državni zapisi</w:t>
            </w:r>
          </w:p>
        </w:tc>
        <w:tc>
          <w:tcPr>
            <w:tcW w:w="11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78.40</w:t>
            </w:r>
          </w:p>
        </w:tc>
        <w:tc>
          <w:tcPr>
            <w:tcW w:w="132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2.35</w:t>
            </w:r>
          </w:p>
        </w:tc>
        <w:tc>
          <w:tcPr>
            <w:tcW w:w="1340" w:type="dxa"/>
            <w:tcBorders>
              <w:top w:val="nil"/>
              <w:left w:val="nil"/>
              <w:bottom w:val="single" w:sz="4"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15.68</w:t>
            </w:r>
          </w:p>
        </w:tc>
        <w:tc>
          <w:tcPr>
            <w:tcW w:w="1170" w:type="dxa"/>
            <w:tcBorders>
              <w:top w:val="nil"/>
              <w:left w:val="nil"/>
              <w:bottom w:val="single" w:sz="4"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4.06</w:t>
            </w:r>
          </w:p>
        </w:tc>
      </w:tr>
      <w:tr w:rsidR="008B3B48" w:rsidRPr="000C5187" w:rsidTr="0056789C">
        <w:trPr>
          <w:trHeight w:val="315"/>
        </w:trPr>
        <w:tc>
          <w:tcPr>
            <w:tcW w:w="4515" w:type="dxa"/>
            <w:tcBorders>
              <w:top w:val="nil"/>
              <w:left w:val="double" w:sz="6" w:space="0" w:color="auto"/>
              <w:bottom w:val="nil"/>
              <w:right w:val="single" w:sz="4" w:space="0" w:color="auto"/>
            </w:tcBorders>
            <w:shd w:val="clear" w:color="auto" w:fill="auto"/>
            <w:noWrap/>
            <w:vAlign w:val="bottom"/>
            <w:hideMark/>
          </w:tcPr>
          <w:p w:rsidR="008B3B48" w:rsidRPr="008D20FA" w:rsidRDefault="008B3B48" w:rsidP="002E4D67">
            <w:pPr>
              <w:rPr>
                <w:rFonts w:ascii="Arial" w:hAnsi="Arial" w:cs="Arial"/>
                <w:color w:val="000000"/>
                <w:sz w:val="22"/>
                <w:szCs w:val="22"/>
              </w:rPr>
            </w:pPr>
            <w:r w:rsidRPr="008D20FA">
              <w:rPr>
                <w:rFonts w:ascii="Arial" w:hAnsi="Arial" w:cs="Arial"/>
                <w:color w:val="000000"/>
                <w:sz w:val="22"/>
                <w:szCs w:val="22"/>
              </w:rPr>
              <w:t>Državne obveznice za Fond rada</w:t>
            </w:r>
          </w:p>
        </w:tc>
        <w:tc>
          <w:tcPr>
            <w:tcW w:w="1120" w:type="dxa"/>
            <w:tcBorders>
              <w:top w:val="nil"/>
              <w:left w:val="nil"/>
              <w:bottom w:val="nil"/>
              <w:right w:val="single" w:sz="4" w:space="0" w:color="auto"/>
            </w:tcBorders>
            <w:shd w:val="clear" w:color="auto" w:fill="auto"/>
            <w:noWrap/>
            <w:vAlign w:val="bottom"/>
            <w:hideMark/>
          </w:tcPr>
          <w:p w:rsidR="008B3B48" w:rsidRPr="008D20FA" w:rsidRDefault="008B3B48" w:rsidP="002E4D67">
            <w:pPr>
              <w:jc w:val="right"/>
              <w:rPr>
                <w:rFonts w:ascii="Arial" w:hAnsi="Arial" w:cs="Arial"/>
                <w:sz w:val="22"/>
                <w:szCs w:val="22"/>
              </w:rPr>
            </w:pPr>
            <w:r w:rsidRPr="008D20FA">
              <w:rPr>
                <w:rFonts w:ascii="Arial" w:hAnsi="Arial" w:cs="Arial"/>
                <w:sz w:val="22"/>
                <w:szCs w:val="22"/>
              </w:rPr>
              <w:t>4.60</w:t>
            </w:r>
          </w:p>
        </w:tc>
        <w:tc>
          <w:tcPr>
            <w:tcW w:w="1320" w:type="dxa"/>
            <w:tcBorders>
              <w:top w:val="nil"/>
              <w:left w:val="nil"/>
              <w:bottom w:val="nil"/>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0.14</w:t>
            </w:r>
          </w:p>
        </w:tc>
        <w:tc>
          <w:tcPr>
            <w:tcW w:w="1340" w:type="dxa"/>
            <w:tcBorders>
              <w:top w:val="nil"/>
              <w:left w:val="nil"/>
              <w:bottom w:val="nil"/>
              <w:right w:val="single" w:sz="4"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0.92</w:t>
            </w:r>
          </w:p>
        </w:tc>
        <w:tc>
          <w:tcPr>
            <w:tcW w:w="1170" w:type="dxa"/>
            <w:tcBorders>
              <w:top w:val="nil"/>
              <w:left w:val="nil"/>
              <w:bottom w:val="nil"/>
              <w:right w:val="double" w:sz="6" w:space="0" w:color="auto"/>
            </w:tcBorders>
            <w:shd w:val="clear" w:color="auto" w:fill="auto"/>
            <w:noWrap/>
            <w:vAlign w:val="bottom"/>
            <w:hideMark/>
          </w:tcPr>
          <w:p w:rsidR="008B3B48" w:rsidRPr="008D20FA" w:rsidRDefault="008B3B48" w:rsidP="002E4D67">
            <w:pPr>
              <w:jc w:val="right"/>
              <w:rPr>
                <w:rFonts w:ascii="Arial" w:hAnsi="Arial" w:cs="Arial"/>
                <w:color w:val="000000"/>
                <w:sz w:val="22"/>
                <w:szCs w:val="22"/>
              </w:rPr>
            </w:pPr>
            <w:r w:rsidRPr="008D20FA">
              <w:rPr>
                <w:rFonts w:ascii="Arial" w:hAnsi="Arial" w:cs="Arial"/>
                <w:color w:val="000000"/>
                <w:sz w:val="22"/>
                <w:szCs w:val="22"/>
              </w:rPr>
              <w:t>0.24</w:t>
            </w:r>
          </w:p>
        </w:tc>
      </w:tr>
      <w:tr w:rsidR="008B3B48" w:rsidRPr="000C5187" w:rsidTr="0056789C">
        <w:trPr>
          <w:trHeight w:val="330"/>
        </w:trPr>
        <w:tc>
          <w:tcPr>
            <w:tcW w:w="45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Ukupno domaći dug</w:t>
            </w:r>
          </w:p>
        </w:tc>
        <w:tc>
          <w:tcPr>
            <w:tcW w:w="1120" w:type="dxa"/>
            <w:tcBorders>
              <w:top w:val="double" w:sz="6" w:space="0" w:color="auto"/>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500.00</w:t>
            </w:r>
          </w:p>
        </w:tc>
        <w:tc>
          <w:tcPr>
            <w:tcW w:w="1320" w:type="dxa"/>
            <w:tcBorders>
              <w:top w:val="double" w:sz="6" w:space="0" w:color="auto"/>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14.99</w:t>
            </w:r>
          </w:p>
        </w:tc>
        <w:tc>
          <w:tcPr>
            <w:tcW w:w="1340" w:type="dxa"/>
            <w:tcBorders>
              <w:top w:val="double" w:sz="6" w:space="0" w:color="auto"/>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100.00</w:t>
            </w:r>
          </w:p>
        </w:tc>
        <w:tc>
          <w:tcPr>
            <w:tcW w:w="1170" w:type="dxa"/>
            <w:tcBorders>
              <w:top w:val="double" w:sz="6" w:space="0" w:color="auto"/>
              <w:left w:val="nil"/>
              <w:bottom w:val="double" w:sz="6"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25.87</w:t>
            </w:r>
          </w:p>
        </w:tc>
      </w:tr>
      <w:tr w:rsidR="008B3B48" w:rsidRPr="000C5187" w:rsidTr="0056789C">
        <w:trPr>
          <w:trHeight w:val="330"/>
        </w:trPr>
        <w:tc>
          <w:tcPr>
            <w:tcW w:w="4515" w:type="dxa"/>
            <w:tcBorders>
              <w:top w:val="nil"/>
              <w:left w:val="double" w:sz="6" w:space="0" w:color="auto"/>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1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 </w:t>
            </w:r>
          </w:p>
        </w:tc>
        <w:tc>
          <w:tcPr>
            <w:tcW w:w="13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34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170" w:type="dxa"/>
            <w:tcBorders>
              <w:top w:val="nil"/>
              <w:left w:val="nil"/>
              <w:bottom w:val="double" w:sz="6" w:space="0" w:color="auto"/>
              <w:right w:val="double" w:sz="6"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r>
      <w:tr w:rsidR="008B3B48" w:rsidRPr="000C5187" w:rsidTr="0056789C">
        <w:trPr>
          <w:trHeight w:val="330"/>
        </w:trPr>
        <w:tc>
          <w:tcPr>
            <w:tcW w:w="4515" w:type="dxa"/>
            <w:tcBorders>
              <w:top w:val="nil"/>
              <w:left w:val="double" w:sz="6" w:space="0" w:color="auto"/>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Ukupno državni dug</w:t>
            </w:r>
          </w:p>
        </w:tc>
        <w:tc>
          <w:tcPr>
            <w:tcW w:w="11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1,933.00</w:t>
            </w:r>
          </w:p>
        </w:tc>
        <w:tc>
          <w:tcPr>
            <w:tcW w:w="132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57.95</w:t>
            </w:r>
          </w:p>
        </w:tc>
        <w:tc>
          <w:tcPr>
            <w:tcW w:w="1340" w:type="dxa"/>
            <w:tcBorders>
              <w:top w:val="nil"/>
              <w:left w:val="nil"/>
              <w:bottom w:val="double" w:sz="6" w:space="0" w:color="auto"/>
              <w:right w:val="single" w:sz="4" w:space="0" w:color="auto"/>
            </w:tcBorders>
            <w:shd w:val="clear" w:color="auto" w:fill="auto"/>
            <w:noWrap/>
            <w:vAlign w:val="bottom"/>
            <w:hideMark/>
          </w:tcPr>
          <w:p w:rsidR="008B3B48" w:rsidRPr="008D20FA" w:rsidRDefault="008B3B48" w:rsidP="002E4D67">
            <w:pPr>
              <w:rPr>
                <w:rFonts w:ascii="Arial" w:hAnsi="Arial" w:cs="Arial"/>
                <w:b/>
                <w:bCs/>
                <w:color w:val="000000"/>
                <w:sz w:val="22"/>
                <w:szCs w:val="22"/>
              </w:rPr>
            </w:pPr>
            <w:r w:rsidRPr="008D20FA">
              <w:rPr>
                <w:rFonts w:ascii="Arial" w:hAnsi="Arial" w:cs="Arial"/>
                <w:b/>
                <w:bCs/>
                <w:color w:val="000000"/>
                <w:sz w:val="22"/>
                <w:szCs w:val="22"/>
              </w:rPr>
              <w:t> </w:t>
            </w:r>
          </w:p>
        </w:tc>
        <w:tc>
          <w:tcPr>
            <w:tcW w:w="1170" w:type="dxa"/>
            <w:tcBorders>
              <w:top w:val="nil"/>
              <w:left w:val="nil"/>
              <w:bottom w:val="double" w:sz="6" w:space="0" w:color="auto"/>
              <w:right w:val="double" w:sz="6" w:space="0" w:color="auto"/>
            </w:tcBorders>
            <w:shd w:val="clear" w:color="auto" w:fill="auto"/>
            <w:noWrap/>
            <w:vAlign w:val="bottom"/>
            <w:hideMark/>
          </w:tcPr>
          <w:p w:rsidR="008B3B48" w:rsidRPr="008D20FA" w:rsidRDefault="008B3B48" w:rsidP="002E4D67">
            <w:pPr>
              <w:jc w:val="right"/>
              <w:rPr>
                <w:rFonts w:ascii="Arial" w:hAnsi="Arial" w:cs="Arial"/>
                <w:b/>
                <w:bCs/>
                <w:color w:val="000000"/>
                <w:sz w:val="22"/>
                <w:szCs w:val="22"/>
              </w:rPr>
            </w:pPr>
            <w:r w:rsidRPr="008D20FA">
              <w:rPr>
                <w:rFonts w:ascii="Arial" w:hAnsi="Arial" w:cs="Arial"/>
                <w:b/>
                <w:bCs/>
                <w:color w:val="000000"/>
                <w:sz w:val="22"/>
                <w:szCs w:val="22"/>
              </w:rPr>
              <w:t>100.00</w:t>
            </w:r>
          </w:p>
        </w:tc>
      </w:tr>
    </w:tbl>
    <w:p w:rsidR="008B3B48" w:rsidRPr="00DB51CB" w:rsidRDefault="008B3B48" w:rsidP="008B3B48">
      <w:pPr>
        <w:rPr>
          <w:lang w:val="pl-PL"/>
        </w:rPr>
      </w:pPr>
    </w:p>
    <w:p w:rsidR="004360A8" w:rsidRPr="00297ECE" w:rsidRDefault="004360A8" w:rsidP="003B7982">
      <w:pPr>
        <w:pStyle w:val="BodyText"/>
      </w:pPr>
    </w:p>
    <w:p w:rsidR="008B3B48" w:rsidRPr="008D20FA" w:rsidRDefault="00CC67E3" w:rsidP="000032CC">
      <w:pPr>
        <w:pStyle w:val="BodyText"/>
        <w:ind w:firstLine="720"/>
        <w:rPr>
          <w:rFonts w:ascii="Arial" w:hAnsi="Arial" w:cs="Arial"/>
          <w:szCs w:val="22"/>
        </w:rPr>
      </w:pPr>
      <w:r w:rsidRPr="008D20FA">
        <w:rPr>
          <w:rFonts w:ascii="Arial" w:hAnsi="Arial" w:cs="Arial"/>
          <w:szCs w:val="22"/>
        </w:rPr>
        <w:t>Depoziti Ministarstva finansija, na 31.12.2013. godine, iznosili su 40,38 mil</w:t>
      </w:r>
      <w:r w:rsidR="00AE479F" w:rsidRPr="008D20FA">
        <w:rPr>
          <w:rFonts w:ascii="Arial" w:hAnsi="Arial" w:cs="Arial"/>
          <w:szCs w:val="22"/>
        </w:rPr>
        <w:t xml:space="preserve">. </w:t>
      </w:r>
      <w:r w:rsidRPr="008D20FA">
        <w:rPr>
          <w:rFonts w:ascii="Arial" w:hAnsi="Arial" w:cs="Arial"/>
          <w:szCs w:val="22"/>
        </w:rPr>
        <w:t xml:space="preserve">eura, uključujući i 38.477 unci zlata, tako da je neto iznos državnog duga oko 56,73 % BDP-a. </w:t>
      </w:r>
    </w:p>
    <w:p w:rsidR="008B3B48" w:rsidRPr="008D20FA" w:rsidRDefault="008B3B48" w:rsidP="003B7982">
      <w:pPr>
        <w:pStyle w:val="BodyText"/>
        <w:jc w:val="center"/>
        <w:outlineLvl w:val="0"/>
        <w:rPr>
          <w:rFonts w:ascii="Arial" w:hAnsi="Arial" w:cs="Arial"/>
          <w:b/>
          <w:i/>
        </w:rPr>
      </w:pPr>
    </w:p>
    <w:p w:rsidR="000032CC" w:rsidRDefault="00745FC2" w:rsidP="007626B6">
      <w:pPr>
        <w:jc w:val="both"/>
        <w:rPr>
          <w:rFonts w:ascii="Arial" w:hAnsi="Arial" w:cs="Arial"/>
          <w:b/>
          <w:i/>
        </w:rPr>
      </w:pPr>
      <w:r>
        <w:rPr>
          <w:rFonts w:ascii="Arial" w:hAnsi="Arial" w:cs="Arial"/>
          <w:b/>
          <w:i/>
        </w:rPr>
        <w:tab/>
      </w:r>
    </w:p>
    <w:p w:rsidR="00E17370" w:rsidRDefault="00E17370" w:rsidP="007626B6">
      <w:pPr>
        <w:jc w:val="both"/>
        <w:rPr>
          <w:rFonts w:ascii="Arial" w:hAnsi="Arial" w:cs="Arial"/>
          <w:b/>
          <w:i/>
        </w:rPr>
      </w:pPr>
    </w:p>
    <w:p w:rsidR="00E17370" w:rsidRDefault="00E17370" w:rsidP="007626B6">
      <w:pPr>
        <w:jc w:val="both"/>
        <w:rPr>
          <w:rFonts w:ascii="Arial" w:hAnsi="Arial" w:cs="Arial"/>
          <w:b/>
          <w:i/>
        </w:rPr>
      </w:pPr>
    </w:p>
    <w:p w:rsidR="00E17370" w:rsidRPr="007626B6" w:rsidRDefault="00E17370" w:rsidP="007626B6">
      <w:pPr>
        <w:jc w:val="both"/>
        <w:rPr>
          <w:rFonts w:ascii="Arial" w:hAnsi="Arial" w:cs="Arial"/>
        </w:rPr>
      </w:pPr>
    </w:p>
    <w:p w:rsidR="000032CC" w:rsidRDefault="000032CC" w:rsidP="003B7982">
      <w:pPr>
        <w:pStyle w:val="BodyText"/>
        <w:jc w:val="center"/>
        <w:outlineLvl w:val="0"/>
        <w:rPr>
          <w:b/>
          <w:i/>
        </w:rPr>
      </w:pPr>
    </w:p>
    <w:p w:rsidR="003B7982" w:rsidRPr="008D20FA" w:rsidRDefault="003B7982" w:rsidP="003B7982">
      <w:pPr>
        <w:pStyle w:val="BodyText"/>
        <w:jc w:val="center"/>
        <w:outlineLvl w:val="0"/>
        <w:rPr>
          <w:rFonts w:ascii="Arial" w:hAnsi="Arial" w:cs="Arial"/>
        </w:rPr>
      </w:pPr>
      <w:r w:rsidRPr="008D20FA">
        <w:rPr>
          <w:rFonts w:ascii="Arial" w:hAnsi="Arial" w:cs="Arial"/>
          <w:b/>
          <w:i/>
        </w:rPr>
        <w:lastRenderedPageBreak/>
        <w:t>Kretanje spoljnjeg duga u toku 2013. godine</w:t>
      </w:r>
    </w:p>
    <w:p w:rsidR="003B7982" w:rsidRPr="008D20FA" w:rsidRDefault="003B7982" w:rsidP="003B7982">
      <w:pPr>
        <w:pStyle w:val="BodyText"/>
        <w:jc w:val="center"/>
        <w:rPr>
          <w:rFonts w:ascii="Arial" w:hAnsi="Arial" w:cs="Arial"/>
          <w:b/>
          <w:i/>
        </w:rPr>
      </w:pPr>
    </w:p>
    <w:p w:rsidR="003B7982" w:rsidRPr="008D20FA" w:rsidRDefault="003B7982" w:rsidP="000032CC">
      <w:pPr>
        <w:pStyle w:val="BodyText"/>
        <w:spacing w:after="120"/>
        <w:ind w:firstLine="720"/>
        <w:rPr>
          <w:rFonts w:ascii="Arial" w:hAnsi="Arial" w:cs="Arial"/>
        </w:rPr>
      </w:pPr>
      <w:r w:rsidRPr="008D20FA">
        <w:rPr>
          <w:rFonts w:ascii="Arial" w:hAnsi="Arial" w:cs="Arial"/>
        </w:rPr>
        <w:t>Spoljni dug je u toku 2013. godine porastao za 138,0</w:t>
      </w:r>
      <w:r w:rsidR="00044925">
        <w:rPr>
          <w:rFonts w:ascii="Arial" w:hAnsi="Arial" w:cs="Arial"/>
        </w:rPr>
        <w:t xml:space="preserve"> mil. eura u odnosu na kraj 2012</w:t>
      </w:r>
      <w:r w:rsidRPr="008D20FA">
        <w:rPr>
          <w:rFonts w:ascii="Arial" w:hAnsi="Arial" w:cs="Arial"/>
        </w:rPr>
        <w:t xml:space="preserve">. god. </w:t>
      </w:r>
    </w:p>
    <w:p w:rsidR="003B7982" w:rsidRPr="008D20FA" w:rsidRDefault="003B7982" w:rsidP="000032CC">
      <w:pPr>
        <w:pStyle w:val="BodyText"/>
        <w:spacing w:after="120"/>
        <w:ind w:firstLine="720"/>
        <w:rPr>
          <w:rFonts w:ascii="Arial" w:hAnsi="Arial" w:cs="Arial"/>
        </w:rPr>
      </w:pPr>
      <w:r w:rsidRPr="008D20FA">
        <w:rPr>
          <w:rFonts w:ascii="Arial" w:hAnsi="Arial" w:cs="Arial"/>
        </w:rPr>
        <w:t xml:space="preserve">Stanje ino duga uvećano je, najvećim dijelom, potpisivanjem novog kreditnog aranžmana sa Deutsche Bank i Erste bank – u iznosu od 60,0 miliona eura i  emisijom euroobveznica u iznosu od 80,0 mil. eura. Navedeni aranžmani, u ukupnom iznosu od 140,0 mil. eura, namijenjena su za finansiranje budžetskog deficita. </w:t>
      </w:r>
    </w:p>
    <w:p w:rsidR="003B7982" w:rsidRPr="008D20FA" w:rsidRDefault="003B7982" w:rsidP="000032CC">
      <w:pPr>
        <w:pStyle w:val="BodyText"/>
        <w:spacing w:after="120"/>
        <w:ind w:firstLine="720"/>
        <w:rPr>
          <w:rFonts w:ascii="Arial" w:hAnsi="Arial" w:cs="Arial"/>
        </w:rPr>
      </w:pPr>
      <w:r w:rsidRPr="008D20FA">
        <w:rPr>
          <w:rFonts w:ascii="Arial" w:hAnsi="Arial" w:cs="Arial"/>
        </w:rPr>
        <w:t>Takođe, krajem 2012. godine, potpisan je i kredit sa Erste bankom AG Austrija, namijenjen za finansiranje deficita, u iznosu od 30,0 mil. eura, koji je postao efektivan u 2013. godini.</w:t>
      </w:r>
    </w:p>
    <w:p w:rsidR="003B7982" w:rsidRPr="008D20FA" w:rsidRDefault="003B7982" w:rsidP="000032CC">
      <w:pPr>
        <w:pStyle w:val="BodyText"/>
        <w:spacing w:after="120"/>
        <w:ind w:firstLine="360"/>
        <w:rPr>
          <w:rFonts w:ascii="Arial" w:hAnsi="Arial" w:cs="Arial"/>
        </w:rPr>
      </w:pPr>
      <w:r w:rsidRPr="008D20FA">
        <w:rPr>
          <w:rFonts w:ascii="Arial" w:hAnsi="Arial" w:cs="Arial"/>
        </w:rPr>
        <w:t xml:space="preserve">Pored navedenih kreditnih aranžmana, u toku 2013. godine, potpisani su i sljedeći kreditni aranžmani: </w:t>
      </w:r>
    </w:p>
    <w:p w:rsidR="003B7982" w:rsidRPr="008D20FA" w:rsidRDefault="003B7982" w:rsidP="003B7982">
      <w:pPr>
        <w:pStyle w:val="BodyText"/>
        <w:numPr>
          <w:ilvl w:val="0"/>
          <w:numId w:val="7"/>
        </w:numPr>
        <w:spacing w:after="120"/>
        <w:rPr>
          <w:rFonts w:ascii="Arial" w:hAnsi="Arial" w:cs="Arial"/>
        </w:rPr>
      </w:pPr>
      <w:r w:rsidRPr="008D20FA">
        <w:rPr>
          <w:rFonts w:ascii="Arial" w:hAnsi="Arial" w:cs="Arial"/>
        </w:rPr>
        <w:t xml:space="preserve">kredit Međunarodne banke za obnovu i razvoj (IBRD) za projekat Energetska efikasnosti – dodatno finansiranje, u ukupom iznosu od 5,0 mil. eura; </w:t>
      </w:r>
    </w:p>
    <w:p w:rsidR="003B7982" w:rsidRPr="008D20FA" w:rsidRDefault="003B7982" w:rsidP="003B7982">
      <w:pPr>
        <w:pStyle w:val="BodyText"/>
        <w:numPr>
          <w:ilvl w:val="0"/>
          <w:numId w:val="7"/>
        </w:numPr>
        <w:spacing w:after="120"/>
        <w:rPr>
          <w:rFonts w:ascii="Arial" w:hAnsi="Arial" w:cs="Arial"/>
        </w:rPr>
      </w:pPr>
      <w:r w:rsidRPr="008D20FA">
        <w:rPr>
          <w:rFonts w:ascii="Arial" w:hAnsi="Arial" w:cs="Arial"/>
        </w:rPr>
        <w:t xml:space="preserve">kredit njemačke razvojne banke (KfW), namijen za projekat Vodosnabdijevanje i sanacija jadranske obale Faza V, u ukupnom iznosu od 36,0 mil. eura, od čega je, u 2013. godini, </w:t>
      </w:r>
      <w:r w:rsidR="002E4D67" w:rsidRPr="008D20FA">
        <w:rPr>
          <w:rFonts w:ascii="Arial" w:hAnsi="Arial" w:cs="Arial"/>
        </w:rPr>
        <w:t xml:space="preserve">postalo </w:t>
      </w:r>
      <w:r w:rsidRPr="008D20FA">
        <w:rPr>
          <w:rFonts w:ascii="Arial" w:hAnsi="Arial" w:cs="Arial"/>
        </w:rPr>
        <w:t>efektivno 10,0 mil. eura, dok će se efektivnost preostalog iznosa ostvarivati postepeno, u zavisnosti od realizacije projekta;</w:t>
      </w:r>
    </w:p>
    <w:p w:rsidR="003B7982" w:rsidRPr="008D20FA" w:rsidRDefault="003B7982" w:rsidP="0064288E">
      <w:pPr>
        <w:pStyle w:val="BodyText"/>
        <w:numPr>
          <w:ilvl w:val="0"/>
          <w:numId w:val="7"/>
        </w:numPr>
        <w:spacing w:after="120"/>
        <w:rPr>
          <w:rFonts w:ascii="Arial" w:hAnsi="Arial" w:cs="Arial"/>
        </w:rPr>
      </w:pPr>
      <w:r w:rsidRPr="008D20FA">
        <w:rPr>
          <w:rFonts w:ascii="Arial" w:hAnsi="Arial" w:cs="Arial"/>
        </w:rPr>
        <w:t>kreditni aranžman sa EBRD-om, namijenjen za Rekonstrukciju lokalnih puteva u Crnoj Gori, u ukupnom iznosu od 5,0 mil. eura.</w:t>
      </w:r>
    </w:p>
    <w:p w:rsidR="003B7982" w:rsidRPr="008D20FA" w:rsidRDefault="003B7982" w:rsidP="000032CC">
      <w:pPr>
        <w:pStyle w:val="BodyText"/>
        <w:spacing w:after="120"/>
        <w:ind w:firstLine="360"/>
        <w:rPr>
          <w:rFonts w:ascii="Arial" w:hAnsi="Arial" w:cs="Arial"/>
        </w:rPr>
      </w:pPr>
      <w:r w:rsidRPr="008D20FA">
        <w:rPr>
          <w:rFonts w:ascii="Arial" w:hAnsi="Arial" w:cs="Arial"/>
        </w:rPr>
        <w:t xml:space="preserve">Osim toga, tokom 2013. godine, angažovana su sredstva u ukupnom iznosu od 39,5 miliona eura i to: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za projekat Svjetske banke “Zdravstvo”, u iznosu od oko 1,2 mil. eura</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projekat „LAMP“ u iznosu od oko 3,4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projekat „Energetska efikasnost” u iznosu od 1,5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projekat „MIDAS“ u iznosu od 1,9 mil. eura,</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za projekat , za projekat „HOT-SPOT“, u iznosu od 0,13 miliona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projekat Visoko obrazovanje i istraživanje za inovacije i konkurentnost u iznosu od 0,08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zatim IDA kredita u iznosu od oko 0,84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KfW kredita za Projekat „Vodosnabdijevanja i sanacija otpadnih voda“ (faza III i faza IV) u ukupnom iznosu od oko 9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i za projekat „Energetska efikasnost u javnim ustanovama“ u iznosu od oko 2,2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lastRenderedPageBreak/>
        <w:t xml:space="preserve">zatim EBRD kredita namijenjenih za Projekte „Pred-privatizacija kontejnerskih terminala“ i „Infrastrukturni projekti u SO Danilovgrad“ u ukupnom iznosu od 0,25 mil. eura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 xml:space="preserve">Projekat „Sanacija čvrstog otpada“ u iznosu od 2,0 mil. eura i </w:t>
      </w:r>
    </w:p>
    <w:p w:rsidR="003B7982" w:rsidRPr="008D20FA" w:rsidRDefault="003B7982" w:rsidP="003B7982">
      <w:pPr>
        <w:pStyle w:val="BodyText"/>
        <w:numPr>
          <w:ilvl w:val="0"/>
          <w:numId w:val="6"/>
        </w:numPr>
        <w:spacing w:after="120"/>
        <w:rPr>
          <w:rFonts w:ascii="Arial" w:hAnsi="Arial" w:cs="Arial"/>
        </w:rPr>
      </w:pPr>
      <w:r w:rsidRPr="008D20FA">
        <w:rPr>
          <w:rFonts w:ascii="Arial" w:hAnsi="Arial" w:cs="Arial"/>
        </w:rPr>
        <w:t>Projekat „Sanacija posljedica poplava“ u iznosu od 17,0 mil. eura.</w:t>
      </w:r>
    </w:p>
    <w:p w:rsidR="003B7982" w:rsidRPr="008D20FA" w:rsidRDefault="003B7982" w:rsidP="000032CC">
      <w:pPr>
        <w:pStyle w:val="BodyText"/>
        <w:spacing w:after="120"/>
        <w:ind w:firstLine="360"/>
        <w:rPr>
          <w:rFonts w:ascii="Arial" w:hAnsi="Arial" w:cs="Arial"/>
        </w:rPr>
      </w:pPr>
      <w:r w:rsidRPr="008D20FA">
        <w:rPr>
          <w:rFonts w:ascii="Arial" w:hAnsi="Arial" w:cs="Arial"/>
        </w:rPr>
        <w:t xml:space="preserve">Stanje ino duga je umanjeno po osnovu redovnih otplata glavnice u iznosu od oko 66,4 mil eura. </w:t>
      </w:r>
    </w:p>
    <w:p w:rsidR="003B7982" w:rsidRPr="008D20FA" w:rsidRDefault="003B7982" w:rsidP="000032CC">
      <w:pPr>
        <w:pStyle w:val="BodyText"/>
        <w:spacing w:after="120"/>
        <w:ind w:firstLine="360"/>
        <w:rPr>
          <w:rFonts w:ascii="Arial" w:hAnsi="Arial" w:cs="Arial"/>
        </w:rPr>
      </w:pPr>
      <w:r w:rsidRPr="008D20FA">
        <w:rPr>
          <w:rFonts w:ascii="Arial" w:hAnsi="Arial" w:cs="Arial"/>
        </w:rPr>
        <w:t xml:space="preserve">U iznos spoljnjeg duga nijesu uključene obaveze po osnovu neriješenih dužničkih pitanja prema Libiji, Kuvajtu, Češkoj i Slovačkoj. Dug prema vladama ove četiri zemlje Crnoj Gori je pripao po osnovu raspodjele nealociranog duga (5,88% od 38% za Srbiju i Crnu Goru), i shodno Sporazumu o pitanjima sukcesije iz Beča 29. juna 2001. godine rješava se usaglašenim stavovima u okviru Komiteta za podjelu finansijske aktive i pasive bivše SFRJ. </w:t>
      </w:r>
    </w:p>
    <w:p w:rsidR="003B7982" w:rsidRPr="008D20FA" w:rsidRDefault="003B7982" w:rsidP="000032CC">
      <w:pPr>
        <w:pStyle w:val="BodyText"/>
        <w:spacing w:after="120"/>
        <w:ind w:firstLine="360"/>
        <w:rPr>
          <w:rFonts w:ascii="Arial" w:hAnsi="Arial" w:cs="Arial"/>
        </w:rPr>
      </w:pPr>
      <w:r w:rsidRPr="008D20FA">
        <w:rPr>
          <w:rFonts w:ascii="Arial" w:hAnsi="Arial" w:cs="Arial"/>
        </w:rPr>
        <w:t xml:space="preserve">Tokom 2013. godine održani su pregovori sa predstavnicima Češke i Slovačke Republike. Nove runde pregovora, na kojima će se definitivno riješiti pitanje zaostalog duga kao i način otplate, očekuju se u toku 2014. godine.  </w:t>
      </w:r>
    </w:p>
    <w:p w:rsidR="003B7982" w:rsidRPr="008D20FA" w:rsidRDefault="003B7982" w:rsidP="000032CC">
      <w:pPr>
        <w:pStyle w:val="BodyText"/>
        <w:spacing w:after="120"/>
        <w:ind w:firstLine="360"/>
        <w:rPr>
          <w:rFonts w:ascii="Arial" w:hAnsi="Arial" w:cs="Arial"/>
        </w:rPr>
      </w:pPr>
      <w:r w:rsidRPr="008D20FA">
        <w:rPr>
          <w:rFonts w:ascii="Arial" w:hAnsi="Arial" w:cs="Arial"/>
        </w:rPr>
        <w:t xml:space="preserve">Sporazum između Vijeća Ministara Republike Albanije i Vlade Crne Gore o poravnanju duga Republike Albanije prema Crnoj Gori, potpisan na osnovu Sporazuma o sukcesiji, razmjenom diplomatskih nota je stupio na snagu 2012. godine i s tim u vezi albanska strana je izvršila otplatu duga u januaru 2013. godine. </w:t>
      </w:r>
    </w:p>
    <w:p w:rsidR="003B7982" w:rsidRPr="008D20FA" w:rsidRDefault="003B7982" w:rsidP="000032CC">
      <w:pPr>
        <w:pStyle w:val="BodyText"/>
        <w:ind w:firstLine="360"/>
        <w:rPr>
          <w:rFonts w:ascii="Arial" w:hAnsi="Arial" w:cs="Arial"/>
        </w:rPr>
      </w:pPr>
      <w:r w:rsidRPr="008D20FA">
        <w:rPr>
          <w:rFonts w:ascii="Arial" w:hAnsi="Arial" w:cs="Arial"/>
        </w:rPr>
        <w:t>Navedeni podatak o stanju ino duga podrazumijeva iznose angažovanih (povučenih) kreditnih sredstava po pojedinim kreditima</w:t>
      </w:r>
      <w:r w:rsidR="002E4D67" w:rsidRPr="008D20FA">
        <w:rPr>
          <w:rFonts w:ascii="Arial" w:hAnsi="Arial" w:cs="Arial"/>
        </w:rPr>
        <w:t xml:space="preserve"> (Tabela br.2 i Grafikon br.3)</w:t>
      </w:r>
      <w:r w:rsidRPr="008D20FA">
        <w:rPr>
          <w:rFonts w:ascii="Arial" w:hAnsi="Arial" w:cs="Arial"/>
        </w:rPr>
        <w:t>, kao i podatak o nepovučenim sr</w:t>
      </w:r>
      <w:r w:rsidR="000E3ABA" w:rsidRPr="008D20FA">
        <w:rPr>
          <w:rFonts w:ascii="Arial" w:hAnsi="Arial" w:cs="Arial"/>
        </w:rPr>
        <w:t>e</w:t>
      </w:r>
      <w:r w:rsidRPr="008D20FA">
        <w:rPr>
          <w:rFonts w:ascii="Arial" w:hAnsi="Arial" w:cs="Arial"/>
        </w:rPr>
        <w:t>dstvima</w:t>
      </w:r>
      <w:r w:rsidR="00AE479F" w:rsidRPr="008D20FA">
        <w:rPr>
          <w:rFonts w:ascii="Arial" w:hAnsi="Arial" w:cs="Arial"/>
        </w:rPr>
        <w:t xml:space="preserve"> (</w:t>
      </w:r>
      <w:r w:rsidR="00E37AFD" w:rsidRPr="008D20FA">
        <w:rPr>
          <w:rFonts w:ascii="Arial" w:hAnsi="Arial" w:cs="Arial"/>
        </w:rPr>
        <w:t>Tabela br.2</w:t>
      </w:r>
      <w:r w:rsidR="00AE479F" w:rsidRPr="008D20FA">
        <w:rPr>
          <w:rFonts w:ascii="Arial" w:hAnsi="Arial" w:cs="Arial"/>
        </w:rPr>
        <w:t>)</w:t>
      </w:r>
      <w:r w:rsidRPr="008D20FA">
        <w:rPr>
          <w:rFonts w:ascii="Arial" w:hAnsi="Arial" w:cs="Arial"/>
        </w:rPr>
        <w:t xml:space="preserve">. </w:t>
      </w:r>
    </w:p>
    <w:p w:rsidR="003B7982" w:rsidRPr="008D20FA" w:rsidRDefault="003B7982" w:rsidP="003B7982">
      <w:pPr>
        <w:pStyle w:val="BodyText"/>
        <w:rPr>
          <w:rFonts w:ascii="Arial" w:hAnsi="Arial" w:cs="Arial"/>
        </w:rPr>
      </w:pPr>
    </w:p>
    <w:p w:rsidR="003B7982" w:rsidRPr="00A71214" w:rsidRDefault="00E37AFD" w:rsidP="003B7982">
      <w:pPr>
        <w:pStyle w:val="BodyText"/>
        <w:jc w:val="center"/>
        <w:rPr>
          <w:rFonts w:ascii="Arial" w:hAnsi="Arial" w:cs="Arial"/>
          <w:sz w:val="22"/>
          <w:szCs w:val="22"/>
          <w:u w:val="single"/>
        </w:rPr>
      </w:pPr>
      <w:r w:rsidRPr="00A71214">
        <w:rPr>
          <w:rFonts w:ascii="Arial" w:hAnsi="Arial" w:cs="Arial"/>
          <w:sz w:val="22"/>
          <w:szCs w:val="22"/>
          <w:u w:val="single"/>
        </w:rPr>
        <w:t>Tabela 2</w:t>
      </w:r>
      <w:r w:rsidR="003B7982" w:rsidRPr="00A71214">
        <w:rPr>
          <w:rFonts w:ascii="Arial" w:hAnsi="Arial" w:cs="Arial"/>
          <w:sz w:val="22"/>
          <w:szCs w:val="22"/>
          <w:u w:val="single"/>
        </w:rPr>
        <w:t>. Podaci o stanju ino duga i iznosu nepovučenih sredstava kredita (u mil. eura)</w:t>
      </w:r>
    </w:p>
    <w:p w:rsidR="003B7982" w:rsidRPr="008D20FA" w:rsidRDefault="003B7982" w:rsidP="003B7982">
      <w:pPr>
        <w:pStyle w:val="BodyText"/>
        <w:jc w:val="center"/>
        <w:rPr>
          <w:rFonts w:ascii="Arial" w:hAnsi="Arial" w:cs="Arial"/>
          <w:u w:val="single"/>
        </w:rPr>
      </w:pPr>
    </w:p>
    <w:tbl>
      <w:tblPr>
        <w:tblW w:w="7440" w:type="dxa"/>
        <w:jc w:val="center"/>
        <w:tblInd w:w="93" w:type="dxa"/>
        <w:tblLook w:val="0000"/>
      </w:tblPr>
      <w:tblGrid>
        <w:gridCol w:w="4420"/>
        <w:gridCol w:w="1600"/>
        <w:gridCol w:w="1644"/>
      </w:tblGrid>
      <w:tr w:rsidR="003B7982" w:rsidRPr="008D20FA" w:rsidTr="008246B7">
        <w:trPr>
          <w:trHeight w:val="270"/>
          <w:jc w:val="center"/>
        </w:trPr>
        <w:tc>
          <w:tcPr>
            <w:tcW w:w="4420" w:type="dxa"/>
            <w:tcBorders>
              <w:top w:val="double" w:sz="2" w:space="0" w:color="auto"/>
              <w:left w:val="double" w:sz="2" w:space="0" w:color="auto"/>
              <w:bottom w:val="single" w:sz="8" w:space="0" w:color="auto"/>
              <w:right w:val="single" w:sz="8" w:space="0" w:color="auto"/>
            </w:tcBorders>
            <w:shd w:val="clear" w:color="auto" w:fill="auto"/>
            <w:noWrap/>
            <w:vAlign w:val="bottom"/>
          </w:tcPr>
          <w:p w:rsidR="003B7982" w:rsidRPr="008D20FA" w:rsidRDefault="003B7982" w:rsidP="008246B7">
            <w:pPr>
              <w:rPr>
                <w:rFonts w:ascii="Arial" w:hAnsi="Arial" w:cs="Arial"/>
                <w:b/>
                <w:bCs/>
                <w:lang w:val="sr-Latn-CS"/>
              </w:rPr>
            </w:pPr>
            <w:r w:rsidRPr="008D20FA">
              <w:rPr>
                <w:rFonts w:ascii="Arial" w:hAnsi="Arial" w:cs="Arial"/>
                <w:b/>
                <w:bCs/>
                <w:lang w:val="sr-Latn-CS"/>
              </w:rPr>
              <w:t>Inostrani dug</w:t>
            </w:r>
          </w:p>
        </w:tc>
        <w:tc>
          <w:tcPr>
            <w:tcW w:w="1600" w:type="dxa"/>
            <w:tcBorders>
              <w:top w:val="double" w:sz="2" w:space="0" w:color="auto"/>
              <w:left w:val="single" w:sz="8" w:space="0" w:color="auto"/>
              <w:bottom w:val="single" w:sz="8" w:space="0" w:color="auto"/>
              <w:right w:val="single" w:sz="8" w:space="0" w:color="auto"/>
            </w:tcBorders>
            <w:shd w:val="clear" w:color="auto" w:fill="auto"/>
            <w:noWrap/>
            <w:vAlign w:val="bottom"/>
          </w:tcPr>
          <w:p w:rsidR="003B7982" w:rsidRPr="008D20FA" w:rsidRDefault="003816BF" w:rsidP="008246B7">
            <w:pPr>
              <w:rPr>
                <w:rFonts w:ascii="Arial" w:hAnsi="Arial" w:cs="Arial"/>
                <w:lang w:val="sr-Latn-CS"/>
              </w:rPr>
            </w:pPr>
            <w:r w:rsidRPr="008D20FA">
              <w:rPr>
                <w:rFonts w:ascii="Arial" w:hAnsi="Arial" w:cs="Arial"/>
                <w:lang w:val="sr-Latn-CS"/>
              </w:rPr>
              <w:t>31.12.2013.</w:t>
            </w:r>
          </w:p>
        </w:tc>
        <w:tc>
          <w:tcPr>
            <w:tcW w:w="1420" w:type="dxa"/>
            <w:tcBorders>
              <w:top w:val="double" w:sz="2" w:space="0" w:color="auto"/>
              <w:left w:val="single" w:sz="8" w:space="0" w:color="auto"/>
              <w:bottom w:val="single" w:sz="8" w:space="0" w:color="auto"/>
              <w:right w:val="double" w:sz="2" w:space="0" w:color="auto"/>
            </w:tcBorders>
            <w:shd w:val="clear" w:color="auto" w:fill="auto"/>
            <w:noWrap/>
            <w:vAlign w:val="bottom"/>
          </w:tcPr>
          <w:p w:rsidR="003B7982" w:rsidRPr="008D20FA" w:rsidRDefault="003816BF" w:rsidP="008246B7">
            <w:pPr>
              <w:rPr>
                <w:rFonts w:ascii="Arial" w:hAnsi="Arial" w:cs="Arial"/>
                <w:lang w:val="sr-Latn-CS"/>
              </w:rPr>
            </w:pPr>
            <w:r w:rsidRPr="008D20FA">
              <w:rPr>
                <w:rFonts w:ascii="Arial" w:hAnsi="Arial" w:cs="Arial"/>
                <w:lang w:val="sr-Latn-CS"/>
              </w:rPr>
              <w:t>31.12.2013.</w:t>
            </w:r>
          </w:p>
        </w:tc>
      </w:tr>
      <w:tr w:rsidR="003B7982" w:rsidRPr="008D20FA" w:rsidTr="008246B7">
        <w:trPr>
          <w:trHeight w:val="525"/>
          <w:jc w:val="center"/>
        </w:trPr>
        <w:tc>
          <w:tcPr>
            <w:tcW w:w="4420" w:type="dxa"/>
            <w:tcBorders>
              <w:top w:val="single" w:sz="8" w:space="0" w:color="auto"/>
              <w:left w:val="double" w:sz="2" w:space="0" w:color="auto"/>
              <w:bottom w:val="single" w:sz="8" w:space="0" w:color="auto"/>
              <w:right w:val="single" w:sz="8" w:space="0" w:color="auto"/>
            </w:tcBorders>
            <w:shd w:val="clear" w:color="auto" w:fill="auto"/>
            <w:noWrap/>
            <w:vAlign w:val="bottom"/>
          </w:tcPr>
          <w:p w:rsidR="003B7982" w:rsidRPr="008D20FA" w:rsidRDefault="003B7982" w:rsidP="008246B7">
            <w:pPr>
              <w:jc w:val="center"/>
              <w:rPr>
                <w:rFonts w:ascii="Arial" w:hAnsi="Arial" w:cs="Arial"/>
                <w:b/>
                <w:bCs/>
                <w:lang w:val="sr-Latn-CS"/>
              </w:rPr>
            </w:pPr>
            <w:r w:rsidRPr="008D20FA">
              <w:rPr>
                <w:rFonts w:ascii="Arial" w:hAnsi="Arial" w:cs="Arial"/>
                <w:b/>
                <w:bCs/>
                <w:lang w:val="sr-Latn-CS"/>
              </w:rPr>
              <w:t>Kreditor</w:t>
            </w:r>
          </w:p>
        </w:tc>
        <w:tc>
          <w:tcPr>
            <w:tcW w:w="1600" w:type="dxa"/>
            <w:tcBorders>
              <w:top w:val="single" w:sz="8" w:space="0" w:color="auto"/>
              <w:left w:val="nil"/>
              <w:bottom w:val="single" w:sz="8" w:space="0" w:color="auto"/>
              <w:right w:val="single" w:sz="8" w:space="0" w:color="auto"/>
            </w:tcBorders>
            <w:shd w:val="clear" w:color="auto" w:fill="auto"/>
            <w:noWrap/>
            <w:vAlign w:val="bottom"/>
          </w:tcPr>
          <w:p w:rsidR="003B7982" w:rsidRPr="008D20FA" w:rsidRDefault="003B7982" w:rsidP="008246B7">
            <w:pPr>
              <w:jc w:val="center"/>
              <w:rPr>
                <w:rFonts w:ascii="Arial" w:hAnsi="Arial" w:cs="Arial"/>
                <w:b/>
                <w:bCs/>
                <w:lang w:val="sr-Latn-CS"/>
              </w:rPr>
            </w:pPr>
            <w:r w:rsidRPr="008D20FA">
              <w:rPr>
                <w:rFonts w:ascii="Arial" w:hAnsi="Arial" w:cs="Arial"/>
                <w:b/>
                <w:bCs/>
                <w:lang w:val="sr-Latn-CS"/>
              </w:rPr>
              <w:t>Stanje duga</w:t>
            </w:r>
          </w:p>
        </w:tc>
        <w:tc>
          <w:tcPr>
            <w:tcW w:w="1420" w:type="dxa"/>
            <w:tcBorders>
              <w:top w:val="single" w:sz="8" w:space="0" w:color="auto"/>
              <w:left w:val="nil"/>
              <w:bottom w:val="single" w:sz="8" w:space="0" w:color="auto"/>
              <w:right w:val="double" w:sz="2" w:space="0" w:color="auto"/>
            </w:tcBorders>
            <w:shd w:val="clear" w:color="auto" w:fill="auto"/>
            <w:vAlign w:val="bottom"/>
          </w:tcPr>
          <w:p w:rsidR="003B7982" w:rsidRPr="008D20FA" w:rsidRDefault="003B7982" w:rsidP="008246B7">
            <w:pPr>
              <w:jc w:val="center"/>
              <w:rPr>
                <w:rFonts w:ascii="Arial" w:hAnsi="Arial" w:cs="Arial"/>
                <w:b/>
                <w:bCs/>
                <w:lang w:val="sr-Latn-CS"/>
              </w:rPr>
            </w:pPr>
            <w:r w:rsidRPr="008D20FA">
              <w:rPr>
                <w:rFonts w:ascii="Arial" w:hAnsi="Arial" w:cs="Arial"/>
                <w:b/>
                <w:bCs/>
                <w:lang w:val="sr-Latn-CS"/>
              </w:rPr>
              <w:t>Nepovučena sredstva</w:t>
            </w:r>
          </w:p>
        </w:tc>
      </w:tr>
      <w:tr w:rsidR="003B7982" w:rsidRPr="008D20FA" w:rsidTr="008246B7">
        <w:trPr>
          <w:trHeight w:val="255"/>
          <w:jc w:val="center"/>
        </w:trPr>
        <w:tc>
          <w:tcPr>
            <w:tcW w:w="4420" w:type="dxa"/>
            <w:tcBorders>
              <w:top w:val="single" w:sz="8" w:space="0" w:color="auto"/>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jc w:val="center"/>
              <w:rPr>
                <w:rFonts w:ascii="Arial" w:hAnsi="Arial" w:cs="Arial"/>
                <w:b/>
                <w:bCs/>
                <w:lang w:val="sr-Latn-CS"/>
              </w:rPr>
            </w:pPr>
          </w:p>
        </w:tc>
        <w:tc>
          <w:tcPr>
            <w:tcW w:w="16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3B7982" w:rsidRPr="008D20FA" w:rsidRDefault="003B7982" w:rsidP="008246B7">
            <w:pPr>
              <w:jc w:val="center"/>
              <w:rPr>
                <w:rFonts w:ascii="Arial" w:hAnsi="Arial" w:cs="Arial"/>
                <w:b/>
                <w:bCs/>
                <w:lang w:val="sr-Latn-CS"/>
              </w:rPr>
            </w:pPr>
          </w:p>
        </w:tc>
        <w:tc>
          <w:tcPr>
            <w:tcW w:w="1420" w:type="dxa"/>
            <w:tcBorders>
              <w:top w:val="single" w:sz="8" w:space="0" w:color="auto"/>
              <w:left w:val="single" w:sz="4" w:space="0" w:color="auto"/>
              <w:bottom w:val="single" w:sz="4" w:space="0" w:color="auto"/>
              <w:right w:val="double" w:sz="2" w:space="0" w:color="auto"/>
            </w:tcBorders>
            <w:shd w:val="clear" w:color="auto" w:fill="auto"/>
            <w:noWrap/>
            <w:vAlign w:val="bottom"/>
          </w:tcPr>
          <w:p w:rsidR="003B7982" w:rsidRPr="008D20FA" w:rsidRDefault="003B7982" w:rsidP="008246B7">
            <w:pPr>
              <w:jc w:val="center"/>
              <w:rPr>
                <w:rFonts w:ascii="Arial" w:hAnsi="Arial" w:cs="Arial"/>
                <w:b/>
                <w:bCs/>
                <w:lang w:val="sr-Latn-CS"/>
              </w:rPr>
            </w:pPr>
          </w:p>
        </w:tc>
      </w:tr>
      <w:tr w:rsidR="003B7982" w:rsidRPr="008D20FA" w:rsidTr="008246B7">
        <w:trPr>
          <w:trHeight w:val="255"/>
          <w:jc w:val="center"/>
        </w:trPr>
        <w:tc>
          <w:tcPr>
            <w:tcW w:w="4420" w:type="dxa"/>
            <w:tcBorders>
              <w:top w:val="single" w:sz="4" w:space="0" w:color="auto"/>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Međunarodna banka za obnovu i razvoj (IBRD)</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235,6</w:t>
            </w:r>
          </w:p>
        </w:tc>
        <w:tc>
          <w:tcPr>
            <w:tcW w:w="1420" w:type="dxa"/>
            <w:tcBorders>
              <w:top w:val="single" w:sz="4" w:space="0" w:color="auto"/>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23,3</w:t>
            </w: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Međunarodna finansijska organizacija (IFC)</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0,6</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Zemlje članice Pariskog kluba kreditora</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98,8</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Međunarodna organizacija za razvoj (IDA)</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61,4</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0,2</w:t>
            </w: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Evropska investiciona banka (EIB)</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96,3</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39,5</w:t>
            </w: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Evropska banka za obnovu i razvoj (EBRD)</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18,6</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18,5</w:t>
            </w: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Razvojna banka Savjeta Evrope</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9,1</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Evropska Zajednica</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5,5</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lastRenderedPageBreak/>
              <w:t>Kreditna banka za obnovu - Njemačka (KFW)</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18,3</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78,5</w:t>
            </w: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Austrijski kredit</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8,6</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Madjarski kredit</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10,</w:t>
            </w:r>
            <w:r w:rsidR="00371CA5">
              <w:rPr>
                <w:rFonts w:ascii="Arial" w:hAnsi="Arial" w:cs="Arial"/>
                <w:lang w:val="sr-Latn-CS"/>
              </w:rPr>
              <w:t>3</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Poljski kredit</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9,0</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Francuski kredit</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8,1</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EUROFIMA - dug Željeznice</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20,8</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Češki EXIM - dug Željeznice</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19,</w:t>
            </w:r>
            <w:r w:rsidR="00371CA5">
              <w:rPr>
                <w:rFonts w:ascii="Arial" w:hAnsi="Arial" w:cs="Arial"/>
                <w:lang w:val="sr-Latn-CS"/>
              </w:rPr>
              <w:t>8</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Steiermarkische Bank und Sparkassen AG</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16,5</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Erste Bank</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27,</w:t>
            </w:r>
            <w:r w:rsidR="00371CA5">
              <w:rPr>
                <w:rFonts w:ascii="Arial" w:hAnsi="Arial" w:cs="Arial"/>
                <w:lang w:val="sr-Latn-CS"/>
              </w:rPr>
              <w:t>8</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Credit Suisse Bank</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242,0</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rPr>
                <w:rFonts w:ascii="Arial" w:hAnsi="Arial" w:cs="Arial"/>
                <w:lang w:val="sr-Latn-CS"/>
              </w:rPr>
            </w:pPr>
          </w:p>
        </w:tc>
      </w:tr>
      <w:tr w:rsidR="003B7982" w:rsidRPr="008D20FA" w:rsidTr="008246B7">
        <w:trPr>
          <w:trHeight w:val="270"/>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Spanski kredit za izgradnju deponije</w:t>
            </w:r>
          </w:p>
        </w:tc>
        <w:tc>
          <w:tcPr>
            <w:tcW w:w="1600" w:type="dxa"/>
            <w:tcBorders>
              <w:top w:val="nil"/>
              <w:left w:val="nil"/>
              <w:bottom w:val="single" w:sz="4" w:space="0" w:color="auto"/>
              <w:right w:val="single" w:sz="4" w:space="0" w:color="auto"/>
            </w:tcBorders>
            <w:shd w:val="clear" w:color="auto" w:fill="auto"/>
            <w:noWrap/>
            <w:vAlign w:val="bottom"/>
          </w:tcPr>
          <w:p w:rsidR="003B7982" w:rsidRPr="008D20FA" w:rsidRDefault="00371CA5" w:rsidP="008246B7">
            <w:pPr>
              <w:jc w:val="right"/>
              <w:rPr>
                <w:rFonts w:ascii="Arial" w:hAnsi="Arial" w:cs="Arial"/>
                <w:lang w:val="sr-Latn-CS"/>
              </w:rPr>
            </w:pPr>
            <w:r>
              <w:rPr>
                <w:rFonts w:ascii="Arial" w:hAnsi="Arial" w:cs="Arial"/>
                <w:lang w:val="sr-Latn-CS"/>
              </w:rPr>
              <w:t>4,9</w:t>
            </w:r>
          </w:p>
        </w:tc>
        <w:tc>
          <w:tcPr>
            <w:tcW w:w="1420" w:type="dxa"/>
            <w:tcBorders>
              <w:top w:val="nil"/>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70"/>
          <w:jc w:val="center"/>
        </w:trPr>
        <w:tc>
          <w:tcPr>
            <w:tcW w:w="4420" w:type="dxa"/>
            <w:tcBorders>
              <w:top w:val="single" w:sz="4" w:space="0" w:color="auto"/>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Exim Bank Mađarska</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1,0</w:t>
            </w:r>
          </w:p>
        </w:tc>
        <w:tc>
          <w:tcPr>
            <w:tcW w:w="1420" w:type="dxa"/>
            <w:tcBorders>
              <w:top w:val="single" w:sz="4" w:space="0" w:color="auto"/>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70"/>
          <w:jc w:val="center"/>
        </w:trPr>
        <w:tc>
          <w:tcPr>
            <w:tcW w:w="4420" w:type="dxa"/>
            <w:tcBorders>
              <w:top w:val="single" w:sz="4" w:space="0" w:color="auto"/>
              <w:left w:val="double" w:sz="2" w:space="0" w:color="auto"/>
              <w:bottom w:val="single" w:sz="4"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EUROBOND</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460,0</w:t>
            </w:r>
          </w:p>
        </w:tc>
        <w:tc>
          <w:tcPr>
            <w:tcW w:w="1420" w:type="dxa"/>
            <w:tcBorders>
              <w:top w:val="single" w:sz="4" w:space="0" w:color="auto"/>
              <w:left w:val="nil"/>
              <w:bottom w:val="single" w:sz="4"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70"/>
          <w:jc w:val="center"/>
        </w:trPr>
        <w:tc>
          <w:tcPr>
            <w:tcW w:w="4420" w:type="dxa"/>
            <w:tcBorders>
              <w:top w:val="single" w:sz="4" w:space="0" w:color="auto"/>
              <w:left w:val="double" w:sz="2" w:space="0" w:color="auto"/>
              <w:bottom w:val="double" w:sz="2" w:space="0" w:color="auto"/>
              <w:right w:val="single" w:sz="4" w:space="0" w:color="auto"/>
            </w:tcBorders>
            <w:shd w:val="clear" w:color="auto" w:fill="auto"/>
            <w:noWrap/>
            <w:vAlign w:val="bottom"/>
          </w:tcPr>
          <w:p w:rsidR="003B7982" w:rsidRPr="008D20FA" w:rsidRDefault="003B7982" w:rsidP="008246B7">
            <w:pPr>
              <w:rPr>
                <w:rFonts w:ascii="Arial" w:hAnsi="Arial" w:cs="Arial"/>
                <w:lang w:val="sr-Latn-CS"/>
              </w:rPr>
            </w:pPr>
            <w:r w:rsidRPr="008D20FA">
              <w:rPr>
                <w:rFonts w:ascii="Arial" w:hAnsi="Arial" w:cs="Arial"/>
                <w:lang w:val="sr-Latn-CS"/>
              </w:rPr>
              <w:t>Deutshe bank</w:t>
            </w:r>
          </w:p>
        </w:tc>
        <w:tc>
          <w:tcPr>
            <w:tcW w:w="1600" w:type="dxa"/>
            <w:tcBorders>
              <w:top w:val="single" w:sz="4" w:space="0" w:color="auto"/>
              <w:left w:val="nil"/>
              <w:bottom w:val="double" w:sz="2"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lang w:val="sr-Latn-CS"/>
              </w:rPr>
            </w:pPr>
            <w:r w:rsidRPr="008D20FA">
              <w:rPr>
                <w:rFonts w:ascii="Arial" w:hAnsi="Arial" w:cs="Arial"/>
                <w:lang w:val="sr-Latn-CS"/>
              </w:rPr>
              <w:t>60,0</w:t>
            </w:r>
          </w:p>
        </w:tc>
        <w:tc>
          <w:tcPr>
            <w:tcW w:w="1420" w:type="dxa"/>
            <w:tcBorders>
              <w:top w:val="single" w:sz="4" w:space="0" w:color="auto"/>
              <w:left w:val="nil"/>
              <w:bottom w:val="double" w:sz="2"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lang w:val="sr-Latn-CS"/>
              </w:rPr>
            </w:pPr>
          </w:p>
        </w:tc>
      </w:tr>
      <w:tr w:rsidR="003B7982" w:rsidRPr="008D20FA" w:rsidTr="008246B7">
        <w:trPr>
          <w:trHeight w:val="270"/>
          <w:jc w:val="center"/>
        </w:trPr>
        <w:tc>
          <w:tcPr>
            <w:tcW w:w="4420" w:type="dxa"/>
            <w:tcBorders>
              <w:top w:val="double" w:sz="2" w:space="0" w:color="auto"/>
              <w:left w:val="double" w:sz="2" w:space="0" w:color="auto"/>
              <w:bottom w:val="double" w:sz="2" w:space="0" w:color="auto"/>
              <w:right w:val="single" w:sz="4" w:space="0" w:color="auto"/>
            </w:tcBorders>
            <w:shd w:val="clear" w:color="auto" w:fill="auto"/>
            <w:noWrap/>
            <w:vAlign w:val="bottom"/>
          </w:tcPr>
          <w:p w:rsidR="003B7982" w:rsidRPr="008D20FA" w:rsidRDefault="003B7982" w:rsidP="008246B7">
            <w:pPr>
              <w:jc w:val="center"/>
              <w:rPr>
                <w:rFonts w:ascii="Arial" w:hAnsi="Arial" w:cs="Arial"/>
                <w:b/>
                <w:bCs/>
                <w:lang w:val="sr-Latn-CS"/>
              </w:rPr>
            </w:pPr>
            <w:r w:rsidRPr="008D20FA">
              <w:rPr>
                <w:rFonts w:ascii="Arial" w:hAnsi="Arial" w:cs="Arial"/>
                <w:b/>
                <w:bCs/>
                <w:lang w:val="sr-Latn-CS"/>
              </w:rPr>
              <w:t>UKUPNO</w:t>
            </w:r>
          </w:p>
        </w:tc>
        <w:tc>
          <w:tcPr>
            <w:tcW w:w="1600" w:type="dxa"/>
            <w:tcBorders>
              <w:top w:val="double" w:sz="2" w:space="0" w:color="auto"/>
              <w:left w:val="nil"/>
              <w:bottom w:val="double" w:sz="2" w:space="0" w:color="auto"/>
              <w:right w:val="single" w:sz="4" w:space="0" w:color="auto"/>
            </w:tcBorders>
            <w:shd w:val="clear" w:color="auto" w:fill="auto"/>
            <w:noWrap/>
            <w:vAlign w:val="bottom"/>
          </w:tcPr>
          <w:p w:rsidR="003B7982" w:rsidRPr="008D20FA" w:rsidRDefault="003B7982" w:rsidP="008246B7">
            <w:pPr>
              <w:jc w:val="right"/>
              <w:rPr>
                <w:rFonts w:ascii="Arial" w:hAnsi="Arial" w:cs="Arial"/>
                <w:b/>
                <w:bCs/>
                <w:lang w:val="sr-Latn-CS"/>
              </w:rPr>
            </w:pPr>
            <w:r w:rsidRPr="008D20FA">
              <w:rPr>
                <w:rFonts w:ascii="Arial" w:hAnsi="Arial" w:cs="Arial"/>
                <w:b/>
                <w:bCs/>
                <w:lang w:val="sr-Latn-CS"/>
              </w:rPr>
              <w:t>1.433,0</w:t>
            </w:r>
          </w:p>
        </w:tc>
        <w:tc>
          <w:tcPr>
            <w:tcW w:w="1420" w:type="dxa"/>
            <w:tcBorders>
              <w:top w:val="double" w:sz="2" w:space="0" w:color="auto"/>
              <w:left w:val="nil"/>
              <w:bottom w:val="double" w:sz="2" w:space="0" w:color="auto"/>
              <w:right w:val="double" w:sz="2" w:space="0" w:color="auto"/>
            </w:tcBorders>
            <w:shd w:val="clear" w:color="auto" w:fill="auto"/>
            <w:noWrap/>
            <w:vAlign w:val="bottom"/>
          </w:tcPr>
          <w:p w:rsidR="003B7982" w:rsidRPr="008D20FA" w:rsidRDefault="003B7982" w:rsidP="008246B7">
            <w:pPr>
              <w:jc w:val="right"/>
              <w:rPr>
                <w:rFonts w:ascii="Arial" w:hAnsi="Arial" w:cs="Arial"/>
                <w:b/>
                <w:bCs/>
                <w:lang w:val="sr-Latn-CS"/>
              </w:rPr>
            </w:pPr>
            <w:r w:rsidRPr="008D20FA">
              <w:rPr>
                <w:rFonts w:ascii="Arial" w:hAnsi="Arial" w:cs="Arial"/>
                <w:b/>
                <w:bCs/>
                <w:lang w:val="sr-Latn-CS"/>
              </w:rPr>
              <w:t>160,0</w:t>
            </w:r>
          </w:p>
        </w:tc>
      </w:tr>
    </w:tbl>
    <w:p w:rsidR="003B7982" w:rsidRPr="008D20FA" w:rsidRDefault="003B7982" w:rsidP="003B7982">
      <w:pPr>
        <w:pStyle w:val="FootnoteText"/>
        <w:jc w:val="both"/>
        <w:rPr>
          <w:rFonts w:ascii="Arial" w:hAnsi="Arial" w:cs="Arial"/>
          <w:sz w:val="24"/>
          <w:szCs w:val="24"/>
          <w:lang w:val="sr-Latn-CS"/>
        </w:rPr>
      </w:pPr>
    </w:p>
    <w:p w:rsidR="000032CC" w:rsidRPr="008D20FA" w:rsidRDefault="000032CC" w:rsidP="003B7982">
      <w:pPr>
        <w:pStyle w:val="FootnoteText"/>
        <w:jc w:val="both"/>
        <w:rPr>
          <w:rFonts w:ascii="Arial" w:hAnsi="Arial" w:cs="Arial"/>
          <w:sz w:val="24"/>
          <w:szCs w:val="24"/>
          <w:lang w:val="sr-Latn-CS"/>
        </w:rPr>
      </w:pPr>
    </w:p>
    <w:p w:rsidR="00183F40" w:rsidRPr="008D20FA" w:rsidRDefault="000C5187" w:rsidP="000032CC">
      <w:pPr>
        <w:pStyle w:val="FootnoteText"/>
        <w:ind w:firstLine="720"/>
        <w:jc w:val="both"/>
        <w:rPr>
          <w:rFonts w:ascii="Arial" w:hAnsi="Arial" w:cs="Arial"/>
          <w:sz w:val="24"/>
          <w:szCs w:val="24"/>
          <w:lang w:val="sr-Latn-CS"/>
        </w:rPr>
      </w:pPr>
      <w:r w:rsidRPr="008D20FA">
        <w:rPr>
          <w:rFonts w:ascii="Arial" w:hAnsi="Arial" w:cs="Arial"/>
          <w:sz w:val="24"/>
          <w:szCs w:val="24"/>
          <w:lang w:val="sr-Latn-CS"/>
        </w:rPr>
        <w:t xml:space="preserve">Prema navedenim podacima, dug kod međunarodnih finansijskih institucija (Svjetska banka i njene afilijacije - IBRD, IFC, IDA, zatim Pariski klub, EIB, EBRD, CEB, Evropska </w:t>
      </w:r>
      <w:r w:rsidR="00F20012" w:rsidRPr="008D20FA">
        <w:rPr>
          <w:rFonts w:ascii="Arial" w:hAnsi="Arial" w:cs="Arial"/>
          <w:sz w:val="24"/>
          <w:szCs w:val="24"/>
          <w:lang w:val="sr-Latn-CS"/>
        </w:rPr>
        <w:t>zajednica i KfW) iznosi oko 16,3</w:t>
      </w:r>
      <w:r w:rsidRPr="008D20FA">
        <w:rPr>
          <w:rFonts w:ascii="Arial" w:hAnsi="Arial" w:cs="Arial"/>
          <w:sz w:val="24"/>
          <w:szCs w:val="24"/>
          <w:lang w:val="sr-Latn-CS"/>
        </w:rPr>
        <w:t>% BDP-a, dug po bilateralnim (mekim) zajmovima (ugovori sa Vladama Austrije, Mađarske, Poljske, Francuske, Španije, Eurofima, Češka Exim Banka, Mađarska Exim banka i Steiermarkische Bank</w:t>
      </w:r>
      <w:r w:rsidR="00F20012" w:rsidRPr="008D20FA">
        <w:rPr>
          <w:rFonts w:ascii="Arial" w:hAnsi="Arial" w:cs="Arial"/>
          <w:sz w:val="24"/>
          <w:szCs w:val="24"/>
          <w:lang w:val="sr-Latn-CS"/>
        </w:rPr>
        <w:t xml:space="preserve"> und Sparkassen AG) iznosi oko 2</w:t>
      </w:r>
      <w:r w:rsidRPr="008D20FA">
        <w:rPr>
          <w:rFonts w:ascii="Arial" w:hAnsi="Arial" w:cs="Arial"/>
          <w:sz w:val="24"/>
          <w:szCs w:val="24"/>
          <w:lang w:val="sr-Latn-CS"/>
        </w:rPr>
        <w:t>,</w:t>
      </w:r>
      <w:r w:rsidR="00F20012" w:rsidRPr="008D20FA">
        <w:rPr>
          <w:rFonts w:ascii="Arial" w:hAnsi="Arial" w:cs="Arial"/>
          <w:sz w:val="24"/>
          <w:szCs w:val="24"/>
          <w:lang w:val="sr-Latn-CS"/>
        </w:rPr>
        <w:t>96</w:t>
      </w:r>
      <w:r w:rsidRPr="008D20FA">
        <w:rPr>
          <w:rFonts w:ascii="Arial" w:hAnsi="Arial" w:cs="Arial"/>
          <w:sz w:val="24"/>
          <w:szCs w:val="24"/>
          <w:lang w:val="sr-Latn-CS"/>
        </w:rPr>
        <w:t>% BDP-a dok dug po osnovu kreditnih aranžmana za potrebe budžeta (Eurobond, Credit Suisse, Erste Bank i Deutsche bank) iznosi oko 23,</w:t>
      </w:r>
      <w:r w:rsidR="00F20012" w:rsidRPr="008D20FA">
        <w:rPr>
          <w:rFonts w:ascii="Arial" w:hAnsi="Arial" w:cs="Arial"/>
          <w:sz w:val="24"/>
          <w:szCs w:val="24"/>
          <w:lang w:val="sr-Latn-CS"/>
        </w:rPr>
        <w:t>7</w:t>
      </w:r>
      <w:r w:rsidRPr="008D20FA">
        <w:rPr>
          <w:rFonts w:ascii="Arial" w:hAnsi="Arial" w:cs="Arial"/>
          <w:sz w:val="24"/>
          <w:szCs w:val="24"/>
          <w:lang w:val="sr-Latn-CS"/>
        </w:rPr>
        <w:t>% BDP-a</w:t>
      </w:r>
      <w:r w:rsidR="008B3B48" w:rsidRPr="008D20FA">
        <w:rPr>
          <w:rFonts w:ascii="Arial" w:hAnsi="Arial" w:cs="Arial"/>
          <w:sz w:val="24"/>
          <w:szCs w:val="24"/>
          <w:lang w:val="sr-Latn-CS"/>
        </w:rPr>
        <w:t>.</w:t>
      </w:r>
    </w:p>
    <w:p w:rsidR="000032CC" w:rsidRPr="008D20FA" w:rsidRDefault="000032CC" w:rsidP="003B7982">
      <w:pPr>
        <w:pStyle w:val="FootnoteText"/>
        <w:jc w:val="both"/>
        <w:rPr>
          <w:rFonts w:ascii="Arial" w:hAnsi="Arial" w:cs="Arial"/>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0032CC" w:rsidRDefault="000032CC" w:rsidP="003B7982">
      <w:pPr>
        <w:pStyle w:val="FootnoteText"/>
        <w:jc w:val="both"/>
        <w:rPr>
          <w:sz w:val="24"/>
          <w:szCs w:val="24"/>
          <w:lang w:val="sr-Latn-CS"/>
        </w:rPr>
      </w:pPr>
    </w:p>
    <w:p w:rsidR="00183F40" w:rsidRPr="00A71214" w:rsidRDefault="00AE479F" w:rsidP="003B7982">
      <w:pPr>
        <w:pStyle w:val="FootnoteText"/>
        <w:jc w:val="both"/>
        <w:rPr>
          <w:rFonts w:ascii="Arial" w:hAnsi="Arial" w:cs="Arial"/>
          <w:sz w:val="22"/>
          <w:szCs w:val="22"/>
          <w:lang w:val="sr-Latn-CS"/>
        </w:rPr>
      </w:pPr>
      <w:r w:rsidRPr="00A71214">
        <w:rPr>
          <w:rFonts w:ascii="Arial" w:hAnsi="Arial" w:cs="Arial"/>
          <w:sz w:val="22"/>
          <w:szCs w:val="22"/>
          <w:lang w:val="sr-Latn-CS"/>
        </w:rPr>
        <w:lastRenderedPageBreak/>
        <w:t>Grafikon br.3</w:t>
      </w:r>
    </w:p>
    <w:p w:rsidR="000C5187" w:rsidRDefault="000C5187" w:rsidP="003B7982">
      <w:pPr>
        <w:pStyle w:val="FootnoteText"/>
        <w:jc w:val="both"/>
        <w:rPr>
          <w:sz w:val="24"/>
          <w:szCs w:val="24"/>
          <w:lang w:val="sr-Latn-CS"/>
        </w:rPr>
      </w:pPr>
      <w:r w:rsidRPr="000C5187">
        <w:rPr>
          <w:noProof/>
          <w:sz w:val="24"/>
          <w:szCs w:val="24"/>
        </w:rPr>
        <w:drawing>
          <wp:inline distT="0" distB="0" distL="0" distR="0">
            <wp:extent cx="5295900" cy="6449695"/>
            <wp:effectExtent l="19050" t="0" r="19050" b="8255"/>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5187" w:rsidRDefault="000C5187" w:rsidP="003B7982">
      <w:pPr>
        <w:pStyle w:val="FootnoteText"/>
        <w:jc w:val="both"/>
        <w:rPr>
          <w:sz w:val="24"/>
          <w:szCs w:val="24"/>
          <w:lang w:val="sr-Latn-CS"/>
        </w:rPr>
      </w:pPr>
    </w:p>
    <w:p w:rsidR="000032CC" w:rsidRDefault="000032CC" w:rsidP="000032CC">
      <w:pPr>
        <w:pStyle w:val="BodyText"/>
        <w:outlineLvl w:val="0"/>
        <w:rPr>
          <w:b/>
          <w:i/>
        </w:rPr>
      </w:pPr>
    </w:p>
    <w:p w:rsidR="000032CC" w:rsidRDefault="000032CC" w:rsidP="00DE3DC9">
      <w:pPr>
        <w:pStyle w:val="BodyText"/>
        <w:jc w:val="center"/>
        <w:outlineLvl w:val="0"/>
        <w:rPr>
          <w:b/>
          <w:i/>
        </w:rPr>
      </w:pPr>
    </w:p>
    <w:p w:rsidR="000032CC" w:rsidRDefault="000032CC" w:rsidP="00DE3DC9">
      <w:pPr>
        <w:pStyle w:val="BodyText"/>
        <w:jc w:val="center"/>
        <w:outlineLvl w:val="0"/>
        <w:rPr>
          <w:b/>
          <w:i/>
        </w:rPr>
      </w:pPr>
    </w:p>
    <w:p w:rsidR="000032CC" w:rsidRDefault="000032CC" w:rsidP="00DE3DC9">
      <w:pPr>
        <w:pStyle w:val="BodyText"/>
        <w:jc w:val="center"/>
        <w:outlineLvl w:val="0"/>
        <w:rPr>
          <w:b/>
          <w:i/>
        </w:rPr>
      </w:pPr>
    </w:p>
    <w:p w:rsidR="000032CC" w:rsidRDefault="000032CC" w:rsidP="00DE3DC9">
      <w:pPr>
        <w:pStyle w:val="BodyText"/>
        <w:jc w:val="center"/>
        <w:outlineLvl w:val="0"/>
        <w:rPr>
          <w:b/>
          <w:i/>
        </w:rPr>
      </w:pPr>
    </w:p>
    <w:p w:rsidR="000032CC" w:rsidRDefault="000032CC" w:rsidP="00DE3DC9">
      <w:pPr>
        <w:pStyle w:val="BodyText"/>
        <w:jc w:val="center"/>
        <w:outlineLvl w:val="0"/>
        <w:rPr>
          <w:b/>
          <w:i/>
        </w:rPr>
      </w:pPr>
    </w:p>
    <w:p w:rsidR="000032CC" w:rsidRDefault="000032CC" w:rsidP="00DE3DC9">
      <w:pPr>
        <w:pStyle w:val="BodyText"/>
        <w:jc w:val="center"/>
        <w:outlineLvl w:val="0"/>
        <w:rPr>
          <w:b/>
          <w:i/>
        </w:rPr>
      </w:pPr>
    </w:p>
    <w:p w:rsidR="000032CC" w:rsidRDefault="000032CC" w:rsidP="00DE3DC9">
      <w:pPr>
        <w:pStyle w:val="BodyText"/>
        <w:jc w:val="center"/>
        <w:outlineLvl w:val="0"/>
        <w:rPr>
          <w:b/>
          <w:i/>
        </w:rPr>
      </w:pPr>
    </w:p>
    <w:p w:rsidR="00DE3DC9" w:rsidRPr="0021211D" w:rsidRDefault="00DE3DC9" w:rsidP="00DE3DC9">
      <w:pPr>
        <w:pStyle w:val="BodyText"/>
        <w:jc w:val="center"/>
        <w:outlineLvl w:val="0"/>
        <w:rPr>
          <w:rFonts w:ascii="Arial" w:hAnsi="Arial" w:cs="Arial"/>
          <w:b/>
          <w:i/>
        </w:rPr>
      </w:pPr>
      <w:r w:rsidRPr="0021211D">
        <w:rPr>
          <w:rFonts w:ascii="Arial" w:hAnsi="Arial" w:cs="Arial"/>
          <w:b/>
          <w:i/>
        </w:rPr>
        <w:lastRenderedPageBreak/>
        <w:t>Kreta</w:t>
      </w:r>
      <w:r w:rsidR="00C563D7" w:rsidRPr="0021211D">
        <w:rPr>
          <w:rFonts w:ascii="Arial" w:hAnsi="Arial" w:cs="Arial"/>
          <w:b/>
          <w:i/>
        </w:rPr>
        <w:t>nje unutrašnjeg duga u toku 2013</w:t>
      </w:r>
      <w:r w:rsidRPr="0021211D">
        <w:rPr>
          <w:rFonts w:ascii="Arial" w:hAnsi="Arial" w:cs="Arial"/>
          <w:b/>
          <w:i/>
        </w:rPr>
        <w:t xml:space="preserve">. </w:t>
      </w:r>
      <w:r w:rsidR="00647118" w:rsidRPr="0021211D">
        <w:rPr>
          <w:rFonts w:ascii="Arial" w:hAnsi="Arial" w:cs="Arial"/>
          <w:b/>
          <w:i/>
        </w:rPr>
        <w:t>g</w:t>
      </w:r>
      <w:r w:rsidRPr="0021211D">
        <w:rPr>
          <w:rFonts w:ascii="Arial" w:hAnsi="Arial" w:cs="Arial"/>
          <w:b/>
          <w:i/>
        </w:rPr>
        <w:t>odine</w:t>
      </w:r>
    </w:p>
    <w:p w:rsidR="00DE3DC9" w:rsidRPr="0021211D" w:rsidRDefault="00DE3DC9" w:rsidP="00DE3DC9">
      <w:pPr>
        <w:pStyle w:val="BodyText"/>
        <w:rPr>
          <w:rFonts w:ascii="Arial" w:hAnsi="Arial" w:cs="Arial"/>
        </w:rPr>
      </w:pPr>
    </w:p>
    <w:p w:rsidR="00B86185" w:rsidRPr="0021211D" w:rsidRDefault="000F1DF8" w:rsidP="00322C39">
      <w:pPr>
        <w:ind w:firstLine="720"/>
        <w:jc w:val="both"/>
        <w:rPr>
          <w:rFonts w:ascii="Arial" w:hAnsi="Arial" w:cs="Arial"/>
        </w:rPr>
      </w:pPr>
      <w:r w:rsidRPr="0021211D">
        <w:rPr>
          <w:rFonts w:ascii="Arial" w:hAnsi="Arial" w:cs="Arial"/>
          <w:lang w:val="pl-PL"/>
        </w:rPr>
        <w:t>Unutrašnji dug je u toku 2013</w:t>
      </w:r>
      <w:r w:rsidR="00DE3DC9" w:rsidRPr="0021211D">
        <w:rPr>
          <w:rFonts w:ascii="Arial" w:hAnsi="Arial" w:cs="Arial"/>
          <w:lang w:val="pl-PL"/>
        </w:rPr>
        <w:t>.</w:t>
      </w:r>
      <w:r w:rsidRPr="0021211D">
        <w:rPr>
          <w:rFonts w:ascii="Arial" w:hAnsi="Arial" w:cs="Arial"/>
          <w:lang w:val="pl-PL"/>
        </w:rPr>
        <w:t xml:space="preserve"> godine </w:t>
      </w:r>
      <w:r w:rsidRPr="0021211D">
        <w:rPr>
          <w:rFonts w:ascii="Arial" w:hAnsi="Arial" w:cs="Arial"/>
        </w:rPr>
        <w:t>povećan</w:t>
      </w:r>
      <w:r w:rsidR="00322C39" w:rsidRPr="0021211D">
        <w:rPr>
          <w:rFonts w:ascii="Arial" w:hAnsi="Arial" w:cs="Arial"/>
          <w:lang w:val="pl-PL"/>
        </w:rPr>
        <w:t xml:space="preserve"> za oko </w:t>
      </w:r>
      <w:r w:rsidRPr="0021211D">
        <w:rPr>
          <w:rFonts w:ascii="Arial" w:hAnsi="Arial" w:cs="Arial"/>
          <w:lang w:val="pl-PL"/>
        </w:rPr>
        <w:t>95,5</w:t>
      </w:r>
      <w:r w:rsidR="00DE3DC9" w:rsidRPr="0021211D">
        <w:rPr>
          <w:rFonts w:ascii="Arial" w:hAnsi="Arial" w:cs="Arial"/>
          <w:lang w:val="pl-PL"/>
        </w:rPr>
        <w:t xml:space="preserve">  mi</w:t>
      </w:r>
      <w:r w:rsidR="00AE479F" w:rsidRPr="0021211D">
        <w:rPr>
          <w:rFonts w:ascii="Arial" w:hAnsi="Arial" w:cs="Arial"/>
          <w:lang w:val="pl-PL"/>
        </w:rPr>
        <w:t>l.</w:t>
      </w:r>
      <w:r w:rsidRPr="0021211D">
        <w:rPr>
          <w:rFonts w:ascii="Arial" w:hAnsi="Arial" w:cs="Arial"/>
          <w:lang w:val="pl-PL"/>
        </w:rPr>
        <w:t xml:space="preserve"> eura u odnosu na kraj 2012</w:t>
      </w:r>
      <w:r w:rsidR="00DE3DC9" w:rsidRPr="0021211D">
        <w:rPr>
          <w:rFonts w:ascii="Arial" w:hAnsi="Arial" w:cs="Arial"/>
          <w:lang w:val="pl-PL"/>
        </w:rPr>
        <w:t>.</w:t>
      </w:r>
      <w:r w:rsidR="006E7797" w:rsidRPr="0021211D">
        <w:rPr>
          <w:rFonts w:ascii="Arial" w:hAnsi="Arial" w:cs="Arial"/>
          <w:lang w:val="pl-PL"/>
        </w:rPr>
        <w:t xml:space="preserve"> </w:t>
      </w:r>
      <w:r w:rsidR="00AE479F" w:rsidRPr="0021211D">
        <w:rPr>
          <w:rFonts w:ascii="Arial" w:hAnsi="Arial" w:cs="Arial"/>
          <w:lang w:val="pl-PL"/>
        </w:rPr>
        <w:t>g</w:t>
      </w:r>
      <w:r w:rsidR="006E7797" w:rsidRPr="0021211D">
        <w:rPr>
          <w:rFonts w:ascii="Arial" w:hAnsi="Arial" w:cs="Arial"/>
          <w:lang w:val="pl-PL"/>
        </w:rPr>
        <w:t>odine</w:t>
      </w:r>
      <w:r w:rsidR="00AE479F" w:rsidRPr="0021211D">
        <w:rPr>
          <w:rFonts w:ascii="Arial" w:hAnsi="Arial" w:cs="Arial"/>
          <w:lang w:val="pl-PL"/>
        </w:rPr>
        <w:t xml:space="preserve"> i iznosi 500,0 mil. eura (</w:t>
      </w:r>
      <w:r w:rsidR="00E37AFD" w:rsidRPr="0021211D">
        <w:rPr>
          <w:rFonts w:ascii="Arial" w:hAnsi="Arial" w:cs="Arial"/>
          <w:lang w:val="pl-PL"/>
        </w:rPr>
        <w:t>T</w:t>
      </w:r>
      <w:r w:rsidR="000032CC" w:rsidRPr="0021211D">
        <w:rPr>
          <w:rFonts w:ascii="Arial" w:hAnsi="Arial" w:cs="Arial"/>
          <w:lang w:val="pl-PL"/>
        </w:rPr>
        <w:t>abela br. 3</w:t>
      </w:r>
      <w:r w:rsidR="00AE479F" w:rsidRPr="0021211D">
        <w:rPr>
          <w:rFonts w:ascii="Arial" w:hAnsi="Arial" w:cs="Arial"/>
          <w:lang w:val="pl-PL"/>
        </w:rPr>
        <w:t xml:space="preserve"> i Grafikon br.4) </w:t>
      </w:r>
      <w:r w:rsidR="006E7797" w:rsidRPr="0021211D">
        <w:rPr>
          <w:rFonts w:ascii="Arial" w:hAnsi="Arial" w:cs="Arial"/>
          <w:lang w:val="pl-PL"/>
        </w:rPr>
        <w:t xml:space="preserve">. </w:t>
      </w:r>
      <w:r w:rsidRPr="0021211D">
        <w:rPr>
          <w:rFonts w:ascii="Arial" w:hAnsi="Arial" w:cs="Arial"/>
          <w:lang w:val="pl-PL"/>
        </w:rPr>
        <w:t>Povećanje</w:t>
      </w:r>
      <w:r w:rsidR="00322C39" w:rsidRPr="0021211D">
        <w:rPr>
          <w:rFonts w:ascii="Arial" w:hAnsi="Arial" w:cs="Arial"/>
          <w:lang w:val="pl-PL"/>
        </w:rPr>
        <w:t xml:space="preserve"> unutrašnjeg duga, prije svega  uzrokovan</w:t>
      </w:r>
      <w:r w:rsidRPr="0021211D">
        <w:rPr>
          <w:rFonts w:ascii="Arial" w:hAnsi="Arial" w:cs="Arial"/>
          <w:lang w:val="pl-PL"/>
        </w:rPr>
        <w:t>o je povećanjem duga lokaln</w:t>
      </w:r>
      <w:r w:rsidR="00AE479F" w:rsidRPr="0021211D">
        <w:rPr>
          <w:rFonts w:ascii="Arial" w:hAnsi="Arial" w:cs="Arial"/>
          <w:lang w:val="pl-PL"/>
        </w:rPr>
        <w:t>e samouprave za oko 56,5 mil.</w:t>
      </w:r>
      <w:r w:rsidRPr="0021211D">
        <w:rPr>
          <w:rFonts w:ascii="Arial" w:hAnsi="Arial" w:cs="Arial"/>
          <w:lang w:val="pl-PL"/>
        </w:rPr>
        <w:t xml:space="preserve"> eura, duga po osnovu dr</w:t>
      </w:r>
      <w:r w:rsidR="00AE479F" w:rsidRPr="0021211D">
        <w:rPr>
          <w:rFonts w:ascii="Arial" w:hAnsi="Arial" w:cs="Arial"/>
          <w:lang w:val="pl-PL"/>
        </w:rPr>
        <w:t>žavnih zapisa za oko 5,4 mil.</w:t>
      </w:r>
      <w:r w:rsidRPr="0021211D">
        <w:rPr>
          <w:rFonts w:ascii="Arial" w:hAnsi="Arial" w:cs="Arial"/>
          <w:lang w:val="pl-PL"/>
        </w:rPr>
        <w:t xml:space="preserve"> eura,  </w:t>
      </w:r>
      <w:r w:rsidR="00B86185" w:rsidRPr="0021211D">
        <w:rPr>
          <w:rFonts w:ascii="Arial" w:hAnsi="Arial" w:cs="Arial"/>
          <w:lang w:val="pl-PL"/>
        </w:rPr>
        <w:t xml:space="preserve">povećanjem duga po osnovu obeštećenja </w:t>
      </w:r>
      <w:r w:rsidR="00AE479F" w:rsidRPr="0021211D">
        <w:rPr>
          <w:rFonts w:ascii="Arial" w:hAnsi="Arial" w:cs="Arial"/>
        </w:rPr>
        <w:t>za oko 6,9 mil.</w:t>
      </w:r>
      <w:r w:rsidR="00B86185" w:rsidRPr="0021211D">
        <w:rPr>
          <w:rFonts w:ascii="Arial" w:hAnsi="Arial" w:cs="Arial"/>
        </w:rPr>
        <w:t xml:space="preserve"> eura, </w:t>
      </w:r>
      <w:r w:rsidR="00566BA4" w:rsidRPr="0021211D">
        <w:rPr>
          <w:rFonts w:ascii="Arial" w:hAnsi="Arial" w:cs="Arial"/>
        </w:rPr>
        <w:t xml:space="preserve">kao i po </w:t>
      </w:r>
      <w:r w:rsidR="00B86185" w:rsidRPr="0021211D">
        <w:rPr>
          <w:rFonts w:ascii="Arial" w:hAnsi="Arial" w:cs="Arial"/>
        </w:rPr>
        <w:t>osnovu kredita kod domaćih komercijalnih ba</w:t>
      </w:r>
      <w:r w:rsidR="00AE479F" w:rsidRPr="0021211D">
        <w:rPr>
          <w:rFonts w:ascii="Arial" w:hAnsi="Arial" w:cs="Arial"/>
        </w:rPr>
        <w:t>naka u iznosu od oko 54,1 mil.</w:t>
      </w:r>
      <w:r w:rsidR="00B86185" w:rsidRPr="0021211D">
        <w:rPr>
          <w:rFonts w:ascii="Arial" w:hAnsi="Arial" w:cs="Arial"/>
        </w:rPr>
        <w:t xml:space="preserve"> eura.</w:t>
      </w:r>
    </w:p>
    <w:p w:rsidR="00F174B4" w:rsidRPr="0021211D" w:rsidRDefault="00F174B4" w:rsidP="00322C39">
      <w:pPr>
        <w:ind w:firstLine="720"/>
        <w:jc w:val="both"/>
        <w:rPr>
          <w:rFonts w:ascii="Arial" w:hAnsi="Arial" w:cs="Arial"/>
        </w:rPr>
      </w:pPr>
    </w:p>
    <w:p w:rsidR="00F174B4" w:rsidRPr="0021211D" w:rsidRDefault="00F174B4" w:rsidP="00322C39">
      <w:pPr>
        <w:ind w:firstLine="720"/>
        <w:jc w:val="both"/>
        <w:rPr>
          <w:rFonts w:ascii="Arial" w:hAnsi="Arial" w:cs="Arial"/>
        </w:rPr>
      </w:pPr>
      <w:r w:rsidRPr="0021211D">
        <w:rPr>
          <w:rFonts w:ascii="Arial" w:hAnsi="Arial" w:cs="Arial"/>
        </w:rPr>
        <w:t>Tokom 2013. godine potpisani su sljedeći Ugovori o kreditu sa domaćim komercijalnim bankama:</w:t>
      </w:r>
    </w:p>
    <w:p w:rsidR="00F174B4" w:rsidRPr="0021211D" w:rsidRDefault="00F174B4" w:rsidP="00322C39">
      <w:pPr>
        <w:ind w:firstLine="720"/>
        <w:jc w:val="both"/>
        <w:rPr>
          <w:rFonts w:ascii="Arial" w:hAnsi="Arial" w:cs="Arial"/>
        </w:rPr>
      </w:pPr>
    </w:p>
    <w:p w:rsidR="00F174B4" w:rsidRPr="0021211D" w:rsidRDefault="00F174B4" w:rsidP="00F174B4">
      <w:pPr>
        <w:jc w:val="both"/>
        <w:rPr>
          <w:rFonts w:ascii="Arial" w:hAnsi="Arial" w:cs="Arial"/>
          <w:lang w:val="pl-PL"/>
        </w:rPr>
      </w:pPr>
      <w:r w:rsidRPr="0021211D">
        <w:rPr>
          <w:rFonts w:ascii="Arial" w:hAnsi="Arial" w:cs="Arial"/>
          <w:lang w:val="pl-PL"/>
        </w:rPr>
        <w:t xml:space="preserve">- Ugovor o kreditu sa Crnogoroskom komercijalnom bankom zaključen je 07.08.2013. </w:t>
      </w:r>
      <w:r w:rsidR="00AE479F" w:rsidRPr="0021211D">
        <w:rPr>
          <w:rFonts w:ascii="Arial" w:hAnsi="Arial" w:cs="Arial"/>
          <w:lang w:val="pl-PL"/>
        </w:rPr>
        <w:t>godine, u iznosu od 42.5 mil.</w:t>
      </w:r>
      <w:r w:rsidRPr="0021211D">
        <w:rPr>
          <w:rFonts w:ascii="Arial" w:hAnsi="Arial" w:cs="Arial"/>
          <w:lang w:val="pl-PL"/>
        </w:rPr>
        <w:t xml:space="preserve"> eura, koje su iskorišćene za </w:t>
      </w:r>
      <w:r w:rsidR="00A272BA">
        <w:rPr>
          <w:rFonts w:ascii="Arial" w:hAnsi="Arial" w:cs="Arial"/>
          <w:lang w:val="pl-PL"/>
        </w:rPr>
        <w:t>poterebe finansiranja budžeta</w:t>
      </w:r>
      <w:r w:rsidRPr="0021211D">
        <w:rPr>
          <w:rFonts w:ascii="Arial" w:hAnsi="Arial" w:cs="Arial"/>
          <w:lang w:val="pl-PL"/>
        </w:rPr>
        <w:t>.</w:t>
      </w:r>
    </w:p>
    <w:p w:rsidR="00F174B4" w:rsidRPr="0021211D" w:rsidRDefault="00F174B4" w:rsidP="00F174B4">
      <w:pPr>
        <w:jc w:val="both"/>
        <w:rPr>
          <w:rFonts w:ascii="Arial" w:hAnsi="Arial" w:cs="Arial"/>
          <w:lang w:val="pl-PL"/>
        </w:rPr>
      </w:pPr>
    </w:p>
    <w:p w:rsidR="00F174B4" w:rsidRPr="0021211D" w:rsidRDefault="00F174B4" w:rsidP="00F174B4">
      <w:pPr>
        <w:jc w:val="both"/>
        <w:rPr>
          <w:rFonts w:ascii="Arial" w:hAnsi="Arial" w:cs="Arial"/>
          <w:lang w:val="pl-PL"/>
        </w:rPr>
      </w:pPr>
      <w:r w:rsidRPr="0021211D">
        <w:rPr>
          <w:rFonts w:ascii="Arial" w:hAnsi="Arial" w:cs="Arial"/>
          <w:lang w:val="pl-PL"/>
        </w:rPr>
        <w:t>- Ugovor o kreditnom aranžmanu sa Societe Generale Montenegro, zaključen je 09.12.201</w:t>
      </w:r>
      <w:r w:rsidR="00AE479F" w:rsidRPr="0021211D">
        <w:rPr>
          <w:rFonts w:ascii="Arial" w:hAnsi="Arial" w:cs="Arial"/>
          <w:lang w:val="pl-PL"/>
        </w:rPr>
        <w:t>3. godine, u iznosu od 5 mil.</w:t>
      </w:r>
      <w:r w:rsidRPr="0021211D">
        <w:rPr>
          <w:rFonts w:ascii="Arial" w:hAnsi="Arial" w:cs="Arial"/>
          <w:lang w:val="pl-PL"/>
        </w:rPr>
        <w:t xml:space="preserve"> eura, za potrebe finansiranja budžeta.</w:t>
      </w:r>
    </w:p>
    <w:p w:rsidR="00F174B4" w:rsidRPr="0021211D" w:rsidRDefault="00F174B4" w:rsidP="00F174B4">
      <w:pPr>
        <w:jc w:val="both"/>
        <w:rPr>
          <w:rFonts w:ascii="Arial" w:hAnsi="Arial" w:cs="Arial"/>
          <w:lang w:val="pl-PL"/>
        </w:rPr>
      </w:pPr>
    </w:p>
    <w:p w:rsidR="00F174B4" w:rsidRPr="0021211D" w:rsidRDefault="00F174B4" w:rsidP="00F174B4">
      <w:pPr>
        <w:jc w:val="both"/>
        <w:rPr>
          <w:rFonts w:ascii="Arial" w:hAnsi="Arial" w:cs="Arial"/>
          <w:lang w:val="pl-PL"/>
        </w:rPr>
      </w:pPr>
      <w:r w:rsidRPr="0021211D">
        <w:rPr>
          <w:rFonts w:ascii="Arial" w:hAnsi="Arial" w:cs="Arial"/>
          <w:lang w:val="pl-PL"/>
        </w:rPr>
        <w:t>- Ugovor o kreditnom aranžmanu sa Erste bankom, zaključen je 16.09.2013</w:t>
      </w:r>
      <w:r w:rsidR="00AE479F" w:rsidRPr="0021211D">
        <w:rPr>
          <w:rFonts w:ascii="Arial" w:hAnsi="Arial" w:cs="Arial"/>
          <w:lang w:val="pl-PL"/>
        </w:rPr>
        <w:t>. godine, u iznosu od 16 mil.</w:t>
      </w:r>
      <w:r w:rsidRPr="0021211D">
        <w:rPr>
          <w:rFonts w:ascii="Arial" w:hAnsi="Arial" w:cs="Arial"/>
          <w:lang w:val="pl-PL"/>
        </w:rPr>
        <w:t xml:space="preserve"> eura, za potrebe finansiranja budžeta.</w:t>
      </w:r>
    </w:p>
    <w:p w:rsidR="00F174B4" w:rsidRPr="0021211D" w:rsidRDefault="00F174B4" w:rsidP="00F174B4">
      <w:pPr>
        <w:jc w:val="both"/>
        <w:rPr>
          <w:rFonts w:ascii="Arial" w:hAnsi="Arial" w:cs="Arial"/>
          <w:lang w:val="pl-PL"/>
        </w:rPr>
      </w:pPr>
    </w:p>
    <w:p w:rsidR="00F174B4" w:rsidRPr="0021211D" w:rsidRDefault="00F174B4" w:rsidP="00F174B4">
      <w:pPr>
        <w:jc w:val="both"/>
        <w:rPr>
          <w:rFonts w:ascii="Arial" w:hAnsi="Arial" w:cs="Arial"/>
          <w:lang w:val="pl-PL"/>
        </w:rPr>
      </w:pPr>
      <w:r w:rsidRPr="0021211D">
        <w:rPr>
          <w:rFonts w:ascii="Arial" w:hAnsi="Arial" w:cs="Arial"/>
          <w:lang w:val="pl-PL"/>
        </w:rPr>
        <w:t xml:space="preserve">- Ugovor o kreditnom aranžmanu sa Erste bankom, zaključen je 20.12.2013. godine, </w:t>
      </w:r>
      <w:r w:rsidR="00AE479F" w:rsidRPr="0021211D">
        <w:rPr>
          <w:rFonts w:ascii="Arial" w:hAnsi="Arial" w:cs="Arial"/>
          <w:lang w:val="pl-PL"/>
        </w:rPr>
        <w:t>u iznosu od 15 mil.</w:t>
      </w:r>
      <w:r w:rsidRPr="0021211D">
        <w:rPr>
          <w:rFonts w:ascii="Arial" w:hAnsi="Arial" w:cs="Arial"/>
          <w:lang w:val="pl-PL"/>
        </w:rPr>
        <w:t xml:space="preserve"> eura, za potrebe finansiranja budžeta.</w:t>
      </w:r>
    </w:p>
    <w:p w:rsidR="00F174B4" w:rsidRPr="0021211D" w:rsidRDefault="00F174B4" w:rsidP="00F174B4">
      <w:pPr>
        <w:jc w:val="both"/>
        <w:rPr>
          <w:rFonts w:ascii="Arial" w:hAnsi="Arial" w:cs="Arial"/>
          <w:lang w:val="pl-PL"/>
        </w:rPr>
      </w:pPr>
    </w:p>
    <w:p w:rsidR="00F174B4" w:rsidRPr="0021211D" w:rsidRDefault="00F174B4" w:rsidP="00F174B4">
      <w:pPr>
        <w:jc w:val="both"/>
        <w:rPr>
          <w:rFonts w:ascii="Arial" w:hAnsi="Arial" w:cs="Arial"/>
          <w:lang w:val="pl-PL"/>
        </w:rPr>
      </w:pPr>
      <w:r w:rsidRPr="0021211D">
        <w:rPr>
          <w:rFonts w:ascii="Arial" w:hAnsi="Arial" w:cs="Arial"/>
          <w:lang w:val="pl-PL"/>
        </w:rPr>
        <w:tab/>
        <w:t>Do povećanja domaćeg duga u 2013. godini došlo je i zbog preuzimanja duga od Željezničkog</w:t>
      </w:r>
      <w:r w:rsidR="00AE479F" w:rsidRPr="0021211D">
        <w:rPr>
          <w:rFonts w:ascii="Arial" w:hAnsi="Arial" w:cs="Arial"/>
          <w:lang w:val="pl-PL"/>
        </w:rPr>
        <w:t xml:space="preserve"> prevoza u iznosu od 3,5 mil.</w:t>
      </w:r>
      <w:r w:rsidRPr="0021211D">
        <w:rPr>
          <w:rFonts w:ascii="Arial" w:hAnsi="Arial" w:cs="Arial"/>
          <w:lang w:val="pl-PL"/>
        </w:rPr>
        <w:t xml:space="preserve"> eura, po kreditnom aranžmanu sa Erste bankom</w:t>
      </w:r>
    </w:p>
    <w:p w:rsidR="00566BA4" w:rsidRPr="0021211D" w:rsidRDefault="00566BA4" w:rsidP="00322C39">
      <w:pPr>
        <w:ind w:firstLine="720"/>
        <w:jc w:val="both"/>
        <w:rPr>
          <w:rFonts w:ascii="Arial" w:hAnsi="Arial" w:cs="Arial"/>
        </w:rPr>
      </w:pPr>
    </w:p>
    <w:p w:rsidR="00322C39" w:rsidRPr="0021211D" w:rsidRDefault="00B86185" w:rsidP="00322C39">
      <w:pPr>
        <w:ind w:firstLine="720"/>
        <w:jc w:val="both"/>
        <w:rPr>
          <w:rFonts w:ascii="Arial" w:hAnsi="Arial" w:cs="Arial"/>
          <w:lang w:val="pl-PL"/>
        </w:rPr>
      </w:pPr>
      <w:r w:rsidRPr="0021211D">
        <w:rPr>
          <w:rFonts w:ascii="Arial" w:hAnsi="Arial" w:cs="Arial"/>
        </w:rPr>
        <w:t>S druge strane</w:t>
      </w:r>
      <w:r w:rsidR="00566BA4" w:rsidRPr="0021211D">
        <w:rPr>
          <w:rFonts w:ascii="Arial" w:hAnsi="Arial" w:cs="Arial"/>
        </w:rPr>
        <w:t>,</w:t>
      </w:r>
      <w:r w:rsidRPr="0021211D">
        <w:rPr>
          <w:rFonts w:ascii="Arial" w:hAnsi="Arial" w:cs="Arial"/>
        </w:rPr>
        <w:t xml:space="preserve"> u toku </w:t>
      </w:r>
      <w:r w:rsidR="00564645" w:rsidRPr="0021211D">
        <w:rPr>
          <w:rFonts w:ascii="Arial" w:hAnsi="Arial" w:cs="Arial"/>
        </w:rPr>
        <w:t xml:space="preserve">2013. </w:t>
      </w:r>
      <w:r w:rsidRPr="0021211D">
        <w:rPr>
          <w:rFonts w:ascii="Arial" w:hAnsi="Arial" w:cs="Arial"/>
        </w:rPr>
        <w:t xml:space="preserve">godine izvršena je otplata duga </w:t>
      </w:r>
      <w:r w:rsidR="000F1DF8" w:rsidRPr="0021211D">
        <w:rPr>
          <w:rFonts w:ascii="Arial" w:hAnsi="Arial" w:cs="Arial"/>
          <w:lang w:val="pl-PL"/>
        </w:rPr>
        <w:t xml:space="preserve">po osnovu </w:t>
      </w:r>
      <w:r w:rsidR="00322C39" w:rsidRPr="0021211D">
        <w:rPr>
          <w:rFonts w:ascii="Arial" w:hAnsi="Arial" w:cs="Arial"/>
          <w:lang w:val="pl-PL"/>
        </w:rPr>
        <w:t>kredita kod komercijalnih banaka</w:t>
      </w:r>
      <w:r w:rsidR="00322D91" w:rsidRPr="0021211D">
        <w:rPr>
          <w:rFonts w:ascii="Arial" w:hAnsi="Arial" w:cs="Arial"/>
          <w:lang w:val="pl-PL"/>
        </w:rPr>
        <w:t xml:space="preserve"> (najvećim dijelom </w:t>
      </w:r>
      <w:r w:rsidR="00557BDE" w:rsidRPr="0021211D">
        <w:rPr>
          <w:rFonts w:ascii="Arial" w:hAnsi="Arial" w:cs="Arial"/>
          <w:lang w:val="pl-PL"/>
        </w:rPr>
        <w:t xml:space="preserve">otplate se </w:t>
      </w:r>
      <w:r w:rsidR="00322D91" w:rsidRPr="0021211D">
        <w:rPr>
          <w:rFonts w:ascii="Arial" w:hAnsi="Arial" w:cs="Arial"/>
          <w:lang w:val="pl-PL"/>
        </w:rPr>
        <w:t xml:space="preserve">odnose </w:t>
      </w:r>
      <w:r w:rsidR="00557BDE" w:rsidRPr="0021211D">
        <w:rPr>
          <w:rFonts w:ascii="Arial" w:hAnsi="Arial" w:cs="Arial"/>
          <w:lang w:val="pl-PL"/>
        </w:rPr>
        <w:t>na kratkoročne kredite</w:t>
      </w:r>
      <w:r w:rsidR="00322D91" w:rsidRPr="0021211D">
        <w:rPr>
          <w:rFonts w:ascii="Arial" w:hAnsi="Arial" w:cs="Arial"/>
          <w:lang w:val="pl-PL"/>
        </w:rPr>
        <w:t xml:space="preserve"> koji su korišćeni za tekuću likvidnost, otplatu preuzetih kredita</w:t>
      </w:r>
      <w:r w:rsidR="00322C39" w:rsidRPr="0021211D">
        <w:rPr>
          <w:rFonts w:ascii="Arial" w:hAnsi="Arial" w:cs="Arial"/>
          <w:lang w:val="pl-PL"/>
        </w:rPr>
        <w:t>,</w:t>
      </w:r>
      <w:r w:rsidR="00322D91" w:rsidRPr="0021211D">
        <w:rPr>
          <w:rFonts w:ascii="Arial" w:hAnsi="Arial" w:cs="Arial"/>
          <w:lang w:val="pl-PL"/>
        </w:rPr>
        <w:t xml:space="preserve"> kao i projektnih komercijalnih kredita)</w:t>
      </w:r>
      <w:r w:rsidR="00D06C6C" w:rsidRPr="0021211D">
        <w:rPr>
          <w:rFonts w:ascii="Arial" w:hAnsi="Arial" w:cs="Arial"/>
          <w:lang w:val="pl-PL"/>
        </w:rPr>
        <w:t xml:space="preserve"> u iznosu o</w:t>
      </w:r>
      <w:r w:rsidR="00AE479F" w:rsidRPr="0021211D">
        <w:rPr>
          <w:rFonts w:ascii="Arial" w:hAnsi="Arial" w:cs="Arial"/>
          <w:lang w:val="pl-PL"/>
        </w:rPr>
        <w:t>d oko 66,9 mil.</w:t>
      </w:r>
      <w:r w:rsidR="00D06C6C" w:rsidRPr="0021211D">
        <w:rPr>
          <w:rFonts w:ascii="Arial" w:hAnsi="Arial" w:cs="Arial"/>
          <w:lang w:val="pl-PL"/>
        </w:rPr>
        <w:t xml:space="preserve"> eura</w:t>
      </w:r>
      <w:r w:rsidR="00322D91" w:rsidRPr="0021211D">
        <w:rPr>
          <w:rFonts w:ascii="Arial" w:hAnsi="Arial" w:cs="Arial"/>
          <w:lang w:val="pl-PL"/>
        </w:rPr>
        <w:t>,</w:t>
      </w:r>
      <w:r w:rsidR="00322C39" w:rsidRPr="0021211D">
        <w:rPr>
          <w:rFonts w:ascii="Arial" w:hAnsi="Arial" w:cs="Arial"/>
          <w:lang w:val="pl-PL"/>
        </w:rPr>
        <w:t xml:space="preserve"> </w:t>
      </w:r>
      <w:r w:rsidR="00D06C6C" w:rsidRPr="0021211D">
        <w:rPr>
          <w:rFonts w:ascii="Arial" w:hAnsi="Arial" w:cs="Arial"/>
          <w:lang w:val="pl-PL"/>
        </w:rPr>
        <w:t>otplata duga po osnovu državnih zapisa koji su korišćeni za tekuću likvidnost u iznosu od</w:t>
      </w:r>
      <w:r w:rsidR="00647118" w:rsidRPr="0021211D">
        <w:rPr>
          <w:rFonts w:ascii="Arial" w:hAnsi="Arial" w:cs="Arial"/>
          <w:lang w:val="pl-PL"/>
        </w:rPr>
        <w:t xml:space="preserve"> </w:t>
      </w:r>
      <w:r w:rsidR="00D06C6C" w:rsidRPr="0021211D">
        <w:rPr>
          <w:rFonts w:ascii="Arial" w:hAnsi="Arial" w:cs="Arial"/>
          <w:lang w:val="pl-PL"/>
        </w:rPr>
        <w:t>oko 24,5</w:t>
      </w:r>
      <w:r w:rsidR="00AE479F" w:rsidRPr="0021211D">
        <w:rPr>
          <w:rFonts w:ascii="Arial" w:hAnsi="Arial" w:cs="Arial"/>
          <w:lang w:val="pl-PL"/>
        </w:rPr>
        <w:t xml:space="preserve"> mil.</w:t>
      </w:r>
      <w:r w:rsidR="00322D91" w:rsidRPr="0021211D">
        <w:rPr>
          <w:rFonts w:ascii="Arial" w:hAnsi="Arial" w:cs="Arial"/>
          <w:lang w:val="pl-PL"/>
        </w:rPr>
        <w:t xml:space="preserve"> eura </w:t>
      </w:r>
      <w:r w:rsidR="00322C39" w:rsidRPr="0021211D">
        <w:rPr>
          <w:rFonts w:ascii="Arial" w:hAnsi="Arial" w:cs="Arial"/>
          <w:lang w:val="pl-PL"/>
        </w:rPr>
        <w:t>državnih zapisa</w:t>
      </w:r>
      <w:r w:rsidR="00D06C6C" w:rsidRPr="0021211D">
        <w:rPr>
          <w:rFonts w:ascii="Arial" w:hAnsi="Arial" w:cs="Arial"/>
          <w:lang w:val="pl-PL"/>
        </w:rPr>
        <w:t>, otplata duga po osnovu obveznica Crne Gore za isplatu neisplaćenih potraživanja zaposlenih za čijim radom je prestala pot</w:t>
      </w:r>
      <w:r w:rsidR="00AE479F" w:rsidRPr="0021211D">
        <w:rPr>
          <w:rFonts w:ascii="Arial" w:hAnsi="Arial" w:cs="Arial"/>
          <w:lang w:val="pl-PL"/>
        </w:rPr>
        <w:t>reba u iznosu od oko 1,4 mil.</w:t>
      </w:r>
      <w:r w:rsidR="00D06C6C" w:rsidRPr="0021211D">
        <w:rPr>
          <w:rFonts w:ascii="Arial" w:hAnsi="Arial" w:cs="Arial"/>
          <w:lang w:val="pl-PL"/>
        </w:rPr>
        <w:t xml:space="preserve"> eura </w:t>
      </w:r>
      <w:r w:rsidR="00322C39" w:rsidRPr="0021211D">
        <w:rPr>
          <w:rFonts w:ascii="Arial" w:hAnsi="Arial" w:cs="Arial"/>
          <w:lang w:val="pl-PL"/>
        </w:rPr>
        <w:t xml:space="preserve"> i </w:t>
      </w:r>
      <w:r w:rsidR="00647118" w:rsidRPr="0021211D">
        <w:rPr>
          <w:rFonts w:ascii="Arial" w:hAnsi="Arial" w:cs="Arial"/>
          <w:lang w:val="pl-PL"/>
        </w:rPr>
        <w:t xml:space="preserve">otplatu </w:t>
      </w:r>
      <w:r w:rsidR="00D06C6C" w:rsidRPr="0021211D">
        <w:rPr>
          <w:rFonts w:ascii="Arial" w:hAnsi="Arial" w:cs="Arial"/>
          <w:lang w:val="pl-PL"/>
        </w:rPr>
        <w:t>oko 14,7</w:t>
      </w:r>
      <w:r w:rsidR="00AE479F" w:rsidRPr="0021211D">
        <w:rPr>
          <w:rFonts w:ascii="Arial" w:hAnsi="Arial" w:cs="Arial"/>
          <w:lang w:val="pl-PL"/>
        </w:rPr>
        <w:t xml:space="preserve"> mil.</w:t>
      </w:r>
      <w:r w:rsidR="00322D91" w:rsidRPr="0021211D">
        <w:rPr>
          <w:rFonts w:ascii="Arial" w:hAnsi="Arial" w:cs="Arial"/>
          <w:lang w:val="pl-PL"/>
        </w:rPr>
        <w:t xml:space="preserve"> eura </w:t>
      </w:r>
      <w:r w:rsidR="00322C39" w:rsidRPr="0021211D">
        <w:rPr>
          <w:rFonts w:ascii="Arial" w:hAnsi="Arial" w:cs="Arial"/>
          <w:lang w:val="pl-PL"/>
        </w:rPr>
        <w:t>kredita nefinansijskih institucija uslijed nastavka realizacije projekata Direkcije za saobraćaj</w:t>
      </w:r>
      <w:r w:rsidR="00322D91" w:rsidRPr="0021211D">
        <w:rPr>
          <w:rFonts w:ascii="Arial" w:hAnsi="Arial" w:cs="Arial"/>
          <w:lang w:val="pl-PL"/>
        </w:rPr>
        <w:t>,</w:t>
      </w:r>
      <w:r w:rsidR="00322C39" w:rsidRPr="0021211D">
        <w:rPr>
          <w:rFonts w:ascii="Arial" w:hAnsi="Arial" w:cs="Arial"/>
          <w:lang w:val="pl-PL"/>
        </w:rPr>
        <w:t xml:space="preserve"> otplatom redovne rate </w:t>
      </w:r>
      <w:r w:rsidR="005E620C" w:rsidRPr="0021211D">
        <w:rPr>
          <w:rFonts w:ascii="Arial" w:hAnsi="Arial" w:cs="Arial"/>
          <w:lang w:val="pl-PL"/>
        </w:rPr>
        <w:t>za restituciju u iznosu od oko 2</w:t>
      </w:r>
      <w:r w:rsidR="00322C39" w:rsidRPr="0021211D">
        <w:rPr>
          <w:rFonts w:ascii="Arial" w:hAnsi="Arial" w:cs="Arial"/>
          <w:lang w:val="pl-PL"/>
        </w:rPr>
        <w:t>,</w:t>
      </w:r>
      <w:r w:rsidR="005E620C" w:rsidRPr="0021211D">
        <w:rPr>
          <w:rFonts w:ascii="Arial" w:hAnsi="Arial" w:cs="Arial"/>
          <w:lang w:val="pl-PL"/>
        </w:rPr>
        <w:t>0</w:t>
      </w:r>
      <w:r w:rsidR="00AE479F" w:rsidRPr="0021211D">
        <w:rPr>
          <w:rFonts w:ascii="Arial" w:hAnsi="Arial" w:cs="Arial"/>
          <w:lang w:val="pl-PL"/>
        </w:rPr>
        <w:t xml:space="preserve"> mil.</w:t>
      </w:r>
      <w:r w:rsidR="00322C39" w:rsidRPr="0021211D">
        <w:rPr>
          <w:rFonts w:ascii="Arial" w:hAnsi="Arial" w:cs="Arial"/>
          <w:lang w:val="pl-PL"/>
        </w:rPr>
        <w:t xml:space="preserve"> eura, kao i otplatom redovne rate za de</w:t>
      </w:r>
      <w:r w:rsidR="005E620C" w:rsidRPr="0021211D">
        <w:rPr>
          <w:rFonts w:ascii="Arial" w:hAnsi="Arial" w:cs="Arial"/>
          <w:lang w:val="pl-PL"/>
        </w:rPr>
        <w:t>viznu štednju u iznosu od oko 12</w:t>
      </w:r>
      <w:r w:rsidR="00322C39" w:rsidRPr="0021211D">
        <w:rPr>
          <w:rFonts w:ascii="Arial" w:hAnsi="Arial" w:cs="Arial"/>
          <w:lang w:val="pl-PL"/>
        </w:rPr>
        <w:t>,</w:t>
      </w:r>
      <w:r w:rsidR="005E620C" w:rsidRPr="0021211D">
        <w:rPr>
          <w:rFonts w:ascii="Arial" w:hAnsi="Arial" w:cs="Arial"/>
          <w:lang w:val="pl-PL"/>
        </w:rPr>
        <w:t>3</w:t>
      </w:r>
      <w:r w:rsidR="00AE479F" w:rsidRPr="0021211D">
        <w:rPr>
          <w:rFonts w:ascii="Arial" w:hAnsi="Arial" w:cs="Arial"/>
          <w:lang w:val="pl-PL"/>
        </w:rPr>
        <w:t xml:space="preserve"> mil.</w:t>
      </w:r>
      <w:r w:rsidR="00322C39" w:rsidRPr="0021211D">
        <w:rPr>
          <w:rFonts w:ascii="Arial" w:hAnsi="Arial" w:cs="Arial"/>
          <w:lang w:val="pl-PL"/>
        </w:rPr>
        <w:t xml:space="preserve"> eura.</w:t>
      </w:r>
    </w:p>
    <w:p w:rsidR="000E3F88" w:rsidRPr="0021211D" w:rsidRDefault="000E3F88" w:rsidP="005E620C">
      <w:pPr>
        <w:jc w:val="both"/>
        <w:rPr>
          <w:rFonts w:ascii="Arial" w:hAnsi="Arial" w:cs="Arial"/>
          <w:lang w:val="pl-PL"/>
        </w:rPr>
      </w:pPr>
    </w:p>
    <w:p w:rsidR="00DE3DC9" w:rsidRPr="0021211D" w:rsidRDefault="00DE3DC9" w:rsidP="00DE3DC9">
      <w:pPr>
        <w:jc w:val="both"/>
        <w:rPr>
          <w:rFonts w:ascii="Arial" w:hAnsi="Arial" w:cs="Arial"/>
          <w:lang w:val="pl-PL"/>
        </w:rPr>
      </w:pPr>
      <w:r w:rsidRPr="0021211D">
        <w:rPr>
          <w:rFonts w:ascii="Arial" w:hAnsi="Arial" w:cs="Arial"/>
          <w:lang w:val="pl-PL"/>
        </w:rPr>
        <w:tab/>
        <w:t xml:space="preserve">Ukupna obaveza po </w:t>
      </w:r>
      <w:r w:rsidR="005E620C" w:rsidRPr="0021211D">
        <w:rPr>
          <w:rFonts w:ascii="Arial" w:hAnsi="Arial" w:cs="Arial"/>
          <w:lang w:val="pl-PL"/>
        </w:rPr>
        <w:t>osnovu restitucije iznosi oko 90</w:t>
      </w:r>
      <w:r w:rsidRPr="0021211D">
        <w:rPr>
          <w:rFonts w:ascii="Arial" w:hAnsi="Arial" w:cs="Arial"/>
          <w:lang w:val="pl-PL"/>
        </w:rPr>
        <w:t>,</w:t>
      </w:r>
      <w:r w:rsidR="005E620C" w:rsidRPr="0021211D">
        <w:rPr>
          <w:rFonts w:ascii="Arial" w:hAnsi="Arial" w:cs="Arial"/>
          <w:lang w:val="pl-PL"/>
        </w:rPr>
        <w:t>2 miliona eura, što je za 6,9</w:t>
      </w:r>
      <w:r w:rsidR="00AE479F" w:rsidRPr="0021211D">
        <w:rPr>
          <w:rFonts w:ascii="Arial" w:hAnsi="Arial" w:cs="Arial"/>
          <w:lang w:val="pl-PL"/>
        </w:rPr>
        <w:t xml:space="preserve"> mil.</w:t>
      </w:r>
      <w:r w:rsidR="00647118" w:rsidRPr="0021211D">
        <w:rPr>
          <w:rFonts w:ascii="Arial" w:hAnsi="Arial" w:cs="Arial"/>
          <w:lang w:val="pl-PL"/>
        </w:rPr>
        <w:t xml:space="preserve"> eura više nego na kraju</w:t>
      </w:r>
      <w:r w:rsidR="005E620C" w:rsidRPr="0021211D">
        <w:rPr>
          <w:rFonts w:ascii="Arial" w:hAnsi="Arial" w:cs="Arial"/>
          <w:lang w:val="pl-PL"/>
        </w:rPr>
        <w:t xml:space="preserve"> 2012</w:t>
      </w:r>
      <w:r w:rsidR="00647118" w:rsidRPr="0021211D">
        <w:rPr>
          <w:rFonts w:ascii="Arial" w:hAnsi="Arial" w:cs="Arial"/>
          <w:lang w:val="pl-PL"/>
        </w:rPr>
        <w:t>. godine. Povećanje</w:t>
      </w:r>
      <w:r w:rsidRPr="0021211D">
        <w:rPr>
          <w:rFonts w:ascii="Arial" w:hAnsi="Arial" w:cs="Arial"/>
          <w:lang w:val="pl-PL"/>
        </w:rPr>
        <w:t xml:space="preserve"> iznosa duga po osnovu restitucije uzroko</w:t>
      </w:r>
      <w:r w:rsidR="00D80758" w:rsidRPr="0021211D">
        <w:rPr>
          <w:rFonts w:ascii="Arial" w:hAnsi="Arial" w:cs="Arial"/>
          <w:lang w:val="pl-PL"/>
        </w:rPr>
        <w:t xml:space="preserve">vano je </w:t>
      </w:r>
      <w:r w:rsidR="00647118" w:rsidRPr="0021211D">
        <w:rPr>
          <w:rFonts w:ascii="Arial" w:hAnsi="Arial" w:cs="Arial"/>
          <w:lang w:val="pl-PL"/>
        </w:rPr>
        <w:t>donošenjem novih rješenja za povraćaj oduzetih imovinskih prava.</w:t>
      </w:r>
    </w:p>
    <w:p w:rsidR="000032CC" w:rsidRPr="0021211D" w:rsidRDefault="000032CC" w:rsidP="00DE3DC9">
      <w:pPr>
        <w:jc w:val="both"/>
        <w:rPr>
          <w:rFonts w:ascii="Arial" w:hAnsi="Arial" w:cs="Arial"/>
          <w:lang w:val="pl-PL"/>
        </w:rPr>
      </w:pPr>
    </w:p>
    <w:p w:rsidR="000E3F88" w:rsidRPr="0021211D" w:rsidRDefault="00613C71" w:rsidP="000032CC">
      <w:pPr>
        <w:ind w:firstLine="720"/>
        <w:jc w:val="both"/>
        <w:rPr>
          <w:rFonts w:ascii="Arial" w:hAnsi="Arial" w:cs="Arial"/>
          <w:lang w:val="pl-PL"/>
        </w:rPr>
      </w:pPr>
      <w:r w:rsidRPr="0021211D">
        <w:rPr>
          <w:rFonts w:ascii="Arial" w:hAnsi="Arial" w:cs="Arial"/>
          <w:lang w:val="pl-PL"/>
        </w:rPr>
        <w:t xml:space="preserve">Ukupna obaveza po osnovu stare </w:t>
      </w:r>
      <w:r w:rsidR="008246B7" w:rsidRPr="0021211D">
        <w:rPr>
          <w:rFonts w:ascii="Arial" w:hAnsi="Arial" w:cs="Arial"/>
          <w:lang w:val="pl-PL"/>
        </w:rPr>
        <w:t>devizne štednje na kraju 2013. g</w:t>
      </w:r>
      <w:r w:rsidRPr="0021211D">
        <w:rPr>
          <w:rFonts w:ascii="Arial" w:hAnsi="Arial" w:cs="Arial"/>
          <w:lang w:val="pl-PL"/>
        </w:rPr>
        <w:t xml:space="preserve">odine </w:t>
      </w:r>
      <w:r w:rsidR="008B3B48" w:rsidRPr="0021211D">
        <w:rPr>
          <w:rFonts w:ascii="Arial" w:hAnsi="Arial" w:cs="Arial"/>
        </w:rPr>
        <w:t>iznosi oko 68,9 mil.</w:t>
      </w:r>
      <w:r w:rsidRPr="0021211D">
        <w:rPr>
          <w:rFonts w:ascii="Arial" w:hAnsi="Arial" w:cs="Arial"/>
        </w:rPr>
        <w:t xml:space="preserve"> eura</w:t>
      </w:r>
      <w:r w:rsidRPr="0021211D">
        <w:rPr>
          <w:rFonts w:ascii="Arial" w:hAnsi="Arial" w:cs="Arial"/>
          <w:lang w:val="pl-PL"/>
        </w:rPr>
        <w:t xml:space="preserve">,  </w:t>
      </w:r>
      <w:r w:rsidR="008B3B48" w:rsidRPr="0021211D">
        <w:rPr>
          <w:rFonts w:ascii="Arial" w:hAnsi="Arial" w:cs="Arial"/>
          <w:lang w:val="pl-PL"/>
        </w:rPr>
        <w:t>što je za 11,4 mil.</w:t>
      </w:r>
      <w:r w:rsidRPr="0021211D">
        <w:rPr>
          <w:rFonts w:ascii="Arial" w:hAnsi="Arial" w:cs="Arial"/>
          <w:lang w:val="pl-PL"/>
        </w:rPr>
        <w:t xml:space="preserve"> eura manje nego na kraju 2012. </w:t>
      </w:r>
      <w:r w:rsidR="008B3B48" w:rsidRPr="0021211D">
        <w:rPr>
          <w:rFonts w:ascii="Arial" w:hAnsi="Arial" w:cs="Arial"/>
          <w:lang w:val="pl-PL"/>
        </w:rPr>
        <w:t>g</w:t>
      </w:r>
      <w:r w:rsidRPr="0021211D">
        <w:rPr>
          <w:rFonts w:ascii="Arial" w:hAnsi="Arial" w:cs="Arial"/>
          <w:lang w:val="pl-PL"/>
        </w:rPr>
        <w:t>odine</w:t>
      </w:r>
      <w:r w:rsidR="008246B7" w:rsidRPr="0021211D">
        <w:rPr>
          <w:rFonts w:ascii="Arial" w:hAnsi="Arial" w:cs="Arial"/>
          <w:lang w:val="pl-PL"/>
        </w:rPr>
        <w:t>. Dug je s jedne strane povećan</w:t>
      </w:r>
      <w:r w:rsidRPr="0021211D">
        <w:rPr>
          <w:rFonts w:ascii="Arial" w:hAnsi="Arial" w:cs="Arial"/>
          <w:lang w:val="pl-PL"/>
        </w:rPr>
        <w:t xml:space="preserve"> po osnovu deviznih sredstava položenih kod Dafiment banke AD Beograd i Banke privatne privrede DD Podgorica položenih preko preduzeće Jugoskandik DD Be</w:t>
      </w:r>
      <w:r w:rsidR="008246B7" w:rsidRPr="0021211D">
        <w:rPr>
          <w:rFonts w:ascii="Arial" w:hAnsi="Arial" w:cs="Arial"/>
          <w:lang w:val="pl-PL"/>
        </w:rPr>
        <w:t>ograd u iznosu od oko 0</w:t>
      </w:r>
      <w:r w:rsidR="008B3B48" w:rsidRPr="0021211D">
        <w:rPr>
          <w:rFonts w:ascii="Arial" w:hAnsi="Arial" w:cs="Arial"/>
          <w:lang w:val="pl-PL"/>
        </w:rPr>
        <w:t>,</w:t>
      </w:r>
      <w:r w:rsidR="008246B7" w:rsidRPr="0021211D">
        <w:rPr>
          <w:rFonts w:ascii="Arial" w:hAnsi="Arial" w:cs="Arial"/>
          <w:lang w:val="pl-PL"/>
        </w:rPr>
        <w:t>9</w:t>
      </w:r>
      <w:r w:rsidR="008B3B48" w:rsidRPr="0021211D">
        <w:rPr>
          <w:rFonts w:ascii="Arial" w:hAnsi="Arial" w:cs="Arial"/>
          <w:lang w:val="pl-PL"/>
        </w:rPr>
        <w:t xml:space="preserve"> mil.</w:t>
      </w:r>
      <w:r w:rsidRPr="0021211D">
        <w:rPr>
          <w:rFonts w:ascii="Arial" w:hAnsi="Arial" w:cs="Arial"/>
          <w:lang w:val="pl-PL"/>
        </w:rPr>
        <w:t xml:space="preserve"> eura,</w:t>
      </w:r>
      <w:r w:rsidR="008246B7" w:rsidRPr="0021211D">
        <w:rPr>
          <w:rFonts w:ascii="Arial" w:hAnsi="Arial" w:cs="Arial"/>
          <w:lang w:val="pl-PL"/>
        </w:rPr>
        <w:t xml:space="preserve"> a smanjen za iznos od oko 12,3 mil</w:t>
      </w:r>
      <w:r w:rsidR="008B3B48" w:rsidRPr="0021211D">
        <w:rPr>
          <w:rFonts w:ascii="Arial" w:hAnsi="Arial" w:cs="Arial"/>
          <w:lang w:val="pl-PL"/>
        </w:rPr>
        <w:t>.</w:t>
      </w:r>
      <w:r w:rsidR="008246B7" w:rsidRPr="0021211D">
        <w:rPr>
          <w:rFonts w:ascii="Arial" w:hAnsi="Arial" w:cs="Arial"/>
          <w:lang w:val="pl-PL"/>
        </w:rPr>
        <w:t xml:space="preserve"> eura po osnovu redovne isplate.</w:t>
      </w:r>
    </w:p>
    <w:p w:rsidR="00DE3DC9" w:rsidRPr="0021211D" w:rsidRDefault="00DE3DC9" w:rsidP="00DE3DC9">
      <w:pPr>
        <w:jc w:val="both"/>
        <w:rPr>
          <w:rFonts w:ascii="Arial" w:hAnsi="Arial" w:cs="Arial"/>
          <w:lang w:val="pl-PL"/>
        </w:rPr>
      </w:pPr>
      <w:r w:rsidRPr="0021211D">
        <w:rPr>
          <w:rFonts w:ascii="Arial" w:hAnsi="Arial" w:cs="Arial"/>
          <w:lang w:val="pl-PL"/>
        </w:rPr>
        <w:tab/>
        <w:t>Konsolido</w:t>
      </w:r>
      <w:r w:rsidR="005E620C" w:rsidRPr="0021211D">
        <w:rPr>
          <w:rFonts w:ascii="Arial" w:hAnsi="Arial" w:cs="Arial"/>
          <w:lang w:val="pl-PL"/>
        </w:rPr>
        <w:t>vani dug opština iznosi oko 170,5</w:t>
      </w:r>
      <w:r w:rsidR="008B3B48" w:rsidRPr="0021211D">
        <w:rPr>
          <w:rFonts w:ascii="Arial" w:hAnsi="Arial" w:cs="Arial"/>
          <w:lang w:val="pl-PL"/>
        </w:rPr>
        <w:t xml:space="preserve"> mil.</w:t>
      </w:r>
      <w:r w:rsidRPr="0021211D">
        <w:rPr>
          <w:rFonts w:ascii="Arial" w:hAnsi="Arial" w:cs="Arial"/>
          <w:lang w:val="pl-PL"/>
        </w:rPr>
        <w:t xml:space="preserve"> eura, prema najnovijim podacima dostavljenim od strane opština</w:t>
      </w:r>
      <w:r w:rsidR="00A81DC7" w:rsidRPr="0021211D">
        <w:rPr>
          <w:rFonts w:ascii="Arial" w:hAnsi="Arial" w:cs="Arial"/>
          <w:lang w:val="pl-PL"/>
        </w:rPr>
        <w:t xml:space="preserve"> za kraj 2013. g</w:t>
      </w:r>
      <w:r w:rsidR="008B3B48" w:rsidRPr="0021211D">
        <w:rPr>
          <w:rFonts w:ascii="Arial" w:hAnsi="Arial" w:cs="Arial"/>
          <w:lang w:val="pl-PL"/>
        </w:rPr>
        <w:t>odine, što je za oko 56,5 mil. eura više nego na kraju 2012. g</w:t>
      </w:r>
      <w:r w:rsidR="00566BA4" w:rsidRPr="0021211D">
        <w:rPr>
          <w:rFonts w:ascii="Arial" w:hAnsi="Arial" w:cs="Arial"/>
          <w:lang w:val="pl-PL"/>
        </w:rPr>
        <w:t xml:space="preserve">odine, </w:t>
      </w:r>
      <w:r w:rsidRPr="0021211D">
        <w:rPr>
          <w:rFonts w:ascii="Arial" w:hAnsi="Arial" w:cs="Arial"/>
          <w:lang w:val="pl-PL"/>
        </w:rPr>
        <w:t xml:space="preserve"> i u tabeli </w:t>
      </w:r>
      <w:r w:rsidR="00566BA4" w:rsidRPr="0021211D">
        <w:rPr>
          <w:rFonts w:ascii="Arial" w:hAnsi="Arial" w:cs="Arial"/>
          <w:lang w:val="pl-PL"/>
        </w:rPr>
        <w:t xml:space="preserve">državnog duga </w:t>
      </w:r>
      <w:r w:rsidRPr="0021211D">
        <w:rPr>
          <w:rFonts w:ascii="Arial" w:hAnsi="Arial" w:cs="Arial"/>
          <w:lang w:val="pl-PL"/>
        </w:rPr>
        <w:t>je prikazan na dva načina:</w:t>
      </w:r>
    </w:p>
    <w:p w:rsidR="000E3F88" w:rsidRPr="0021211D" w:rsidRDefault="000E3F88" w:rsidP="00DE3DC9">
      <w:pPr>
        <w:jc w:val="both"/>
        <w:rPr>
          <w:rFonts w:ascii="Arial" w:hAnsi="Arial" w:cs="Arial"/>
          <w:lang w:val="pl-PL"/>
        </w:rPr>
      </w:pPr>
    </w:p>
    <w:p w:rsidR="00DE3DC9" w:rsidRPr="0021211D" w:rsidRDefault="00FA68C2" w:rsidP="00DE3DC9">
      <w:pPr>
        <w:jc w:val="both"/>
        <w:rPr>
          <w:rFonts w:ascii="Arial" w:hAnsi="Arial" w:cs="Arial"/>
          <w:lang w:val="pl-PL"/>
        </w:rPr>
      </w:pPr>
      <w:r w:rsidRPr="0021211D">
        <w:rPr>
          <w:rFonts w:ascii="Arial" w:hAnsi="Arial" w:cs="Arial"/>
          <w:lang w:val="pl-PL"/>
        </w:rPr>
        <w:t xml:space="preserve">- </w:t>
      </w:r>
      <w:r w:rsidR="00073EED" w:rsidRPr="0021211D">
        <w:rPr>
          <w:rFonts w:ascii="Arial" w:hAnsi="Arial" w:cs="Arial"/>
          <w:lang w:val="pl-PL"/>
        </w:rPr>
        <w:t>kroz</w:t>
      </w:r>
      <w:r w:rsidR="00DE3DC9" w:rsidRPr="0021211D">
        <w:rPr>
          <w:rFonts w:ascii="Arial" w:hAnsi="Arial" w:cs="Arial"/>
          <w:lang w:val="pl-PL"/>
        </w:rPr>
        <w:t xml:space="preserve"> stanje ino duga uključen je dug opština po Ugovorima koje je potpisala Vlada Crne Gore sa ino kreditorima, a sa opštinama potkreditne sporazume, u iznosu od oko</w:t>
      </w:r>
      <w:r w:rsidR="006537F3" w:rsidRPr="0021211D">
        <w:rPr>
          <w:rFonts w:ascii="Arial" w:hAnsi="Arial" w:cs="Arial"/>
          <w:lang w:val="pl-PL"/>
        </w:rPr>
        <w:t xml:space="preserve"> </w:t>
      </w:r>
      <w:r w:rsidR="00566BA4" w:rsidRPr="0021211D">
        <w:rPr>
          <w:rFonts w:ascii="Arial" w:hAnsi="Arial" w:cs="Arial"/>
          <w:lang w:val="pl-PL"/>
        </w:rPr>
        <w:t>34,6</w:t>
      </w:r>
      <w:r w:rsidR="008B3B48" w:rsidRPr="0021211D">
        <w:rPr>
          <w:rFonts w:ascii="Arial" w:hAnsi="Arial" w:cs="Arial"/>
          <w:lang w:val="pl-PL"/>
        </w:rPr>
        <w:t xml:space="preserve"> mil.</w:t>
      </w:r>
      <w:r w:rsidR="00DE3DC9" w:rsidRPr="0021211D">
        <w:rPr>
          <w:rFonts w:ascii="Arial" w:hAnsi="Arial" w:cs="Arial"/>
          <w:lang w:val="pl-PL"/>
        </w:rPr>
        <w:t xml:space="preserve"> eura (iznos povučenih</w:t>
      </w:r>
      <w:r w:rsidR="000E3F88" w:rsidRPr="0021211D">
        <w:rPr>
          <w:rFonts w:ascii="Arial" w:hAnsi="Arial" w:cs="Arial"/>
          <w:lang w:val="pl-PL"/>
        </w:rPr>
        <w:t>, neotplaćenih</w:t>
      </w:r>
      <w:r w:rsidR="00DE3DC9" w:rsidRPr="0021211D">
        <w:rPr>
          <w:rFonts w:ascii="Arial" w:hAnsi="Arial" w:cs="Arial"/>
          <w:lang w:val="pl-PL"/>
        </w:rPr>
        <w:t xml:space="preserve"> sredstava)</w:t>
      </w:r>
    </w:p>
    <w:p w:rsidR="00EB3C52" w:rsidRPr="0021211D" w:rsidRDefault="00073EED" w:rsidP="00DE3DC9">
      <w:pPr>
        <w:jc w:val="both"/>
        <w:rPr>
          <w:rFonts w:ascii="Arial" w:hAnsi="Arial" w:cs="Arial"/>
          <w:lang w:val="pl-PL"/>
        </w:rPr>
      </w:pPr>
      <w:r w:rsidRPr="0021211D">
        <w:rPr>
          <w:rFonts w:ascii="Arial" w:hAnsi="Arial" w:cs="Arial"/>
          <w:lang w:val="pl-PL"/>
        </w:rPr>
        <w:t>- kroz</w:t>
      </w:r>
      <w:r w:rsidR="00DE3DC9" w:rsidRPr="0021211D">
        <w:rPr>
          <w:rFonts w:ascii="Arial" w:hAnsi="Arial" w:cs="Arial"/>
          <w:lang w:val="pl-PL"/>
        </w:rPr>
        <w:t xml:space="preserve"> stanje domaćeg duga, kao dug lokalnih samouprava prema kreditnim i</w:t>
      </w:r>
      <w:r w:rsidR="0069532D" w:rsidRPr="0021211D">
        <w:rPr>
          <w:rFonts w:ascii="Arial" w:hAnsi="Arial" w:cs="Arial"/>
          <w:lang w:val="pl-PL"/>
        </w:rPr>
        <w:t>ns</w:t>
      </w:r>
      <w:r w:rsidR="00566BA4" w:rsidRPr="0021211D">
        <w:rPr>
          <w:rFonts w:ascii="Arial" w:hAnsi="Arial" w:cs="Arial"/>
          <w:lang w:val="pl-PL"/>
        </w:rPr>
        <w:t>titucijama, u iznosu od oko 135,9</w:t>
      </w:r>
      <w:r w:rsidR="008B3B48" w:rsidRPr="0021211D">
        <w:rPr>
          <w:rFonts w:ascii="Arial" w:hAnsi="Arial" w:cs="Arial"/>
          <w:lang w:val="pl-PL"/>
        </w:rPr>
        <w:t xml:space="preserve"> mil.</w:t>
      </w:r>
      <w:r w:rsidR="00DE3DC9" w:rsidRPr="0021211D">
        <w:rPr>
          <w:rFonts w:ascii="Arial" w:hAnsi="Arial" w:cs="Arial"/>
          <w:lang w:val="pl-PL"/>
        </w:rPr>
        <w:t xml:space="preserve"> eura.</w:t>
      </w:r>
    </w:p>
    <w:p w:rsidR="00183F40" w:rsidRPr="0021211D" w:rsidRDefault="00183F40" w:rsidP="00DE3DC9">
      <w:pPr>
        <w:jc w:val="both"/>
        <w:rPr>
          <w:rFonts w:ascii="Arial" w:hAnsi="Arial" w:cs="Arial"/>
          <w:lang w:val="pl-PL"/>
        </w:rPr>
      </w:pPr>
    </w:p>
    <w:p w:rsidR="00183F40" w:rsidRPr="0021211D" w:rsidRDefault="00183F40" w:rsidP="00183F40">
      <w:pPr>
        <w:ind w:firstLine="720"/>
        <w:jc w:val="both"/>
        <w:rPr>
          <w:rFonts w:ascii="Arial" w:hAnsi="Arial" w:cs="Arial"/>
          <w:lang w:val="pl-PL"/>
        </w:rPr>
      </w:pPr>
      <w:r w:rsidRPr="0021211D">
        <w:rPr>
          <w:rFonts w:ascii="Arial" w:hAnsi="Arial" w:cs="Arial"/>
          <w:lang w:val="pl-PL"/>
        </w:rPr>
        <w:t>Takođe, naglašavamo da u stanje duga nijesu uključene neizmirene obaveze budžetskih korisnika na 31.12.2013. godine, a biće prikazane kroz završni račun budžeta za 2013. godinu.</w:t>
      </w:r>
    </w:p>
    <w:p w:rsidR="003816BF" w:rsidRPr="0021211D" w:rsidRDefault="003816BF" w:rsidP="00DE3DC9">
      <w:pPr>
        <w:jc w:val="both"/>
        <w:rPr>
          <w:rFonts w:ascii="Arial" w:hAnsi="Arial" w:cs="Arial"/>
          <w:lang w:val="pl-PL"/>
        </w:rPr>
      </w:pPr>
    </w:p>
    <w:tbl>
      <w:tblPr>
        <w:tblW w:w="8205" w:type="dxa"/>
        <w:tblInd w:w="93" w:type="dxa"/>
        <w:tblLook w:val="04A0"/>
      </w:tblPr>
      <w:tblGrid>
        <w:gridCol w:w="6045"/>
        <w:gridCol w:w="2160"/>
      </w:tblGrid>
      <w:tr w:rsidR="003816BF" w:rsidRPr="0021211D" w:rsidTr="0088638D">
        <w:trPr>
          <w:trHeight w:val="300"/>
        </w:trPr>
        <w:tc>
          <w:tcPr>
            <w:tcW w:w="6045" w:type="dxa"/>
            <w:tcBorders>
              <w:top w:val="nil"/>
              <w:left w:val="nil"/>
              <w:bottom w:val="single" w:sz="8" w:space="0" w:color="auto"/>
              <w:right w:val="nil"/>
            </w:tcBorders>
            <w:shd w:val="clear" w:color="auto" w:fill="auto"/>
            <w:vAlign w:val="bottom"/>
            <w:hideMark/>
          </w:tcPr>
          <w:p w:rsidR="003816BF" w:rsidRPr="00A71214" w:rsidRDefault="000032CC" w:rsidP="00FA68C2">
            <w:pPr>
              <w:pStyle w:val="BodyText"/>
              <w:rPr>
                <w:rFonts w:ascii="Arial" w:hAnsi="Arial" w:cs="Arial"/>
                <w:sz w:val="22"/>
                <w:szCs w:val="22"/>
                <w:u w:val="single"/>
              </w:rPr>
            </w:pPr>
            <w:r w:rsidRPr="00A71214">
              <w:rPr>
                <w:rFonts w:ascii="Arial" w:hAnsi="Arial" w:cs="Arial"/>
                <w:sz w:val="22"/>
                <w:szCs w:val="22"/>
                <w:u w:val="single"/>
              </w:rPr>
              <w:t>Tabela 3</w:t>
            </w:r>
            <w:r w:rsidR="00FA68C2" w:rsidRPr="00A71214">
              <w:rPr>
                <w:rFonts w:ascii="Arial" w:hAnsi="Arial" w:cs="Arial"/>
                <w:sz w:val="22"/>
                <w:szCs w:val="22"/>
                <w:u w:val="single"/>
              </w:rPr>
              <w:t>. Podaci o stanju domaćeg duga (u mil. eura)</w:t>
            </w:r>
          </w:p>
        </w:tc>
        <w:tc>
          <w:tcPr>
            <w:tcW w:w="2160" w:type="dxa"/>
            <w:tcBorders>
              <w:top w:val="nil"/>
              <w:left w:val="nil"/>
              <w:bottom w:val="single" w:sz="8" w:space="0" w:color="auto"/>
              <w:right w:val="nil"/>
            </w:tcBorders>
            <w:shd w:val="clear" w:color="auto" w:fill="auto"/>
            <w:vAlign w:val="bottom"/>
            <w:hideMark/>
          </w:tcPr>
          <w:p w:rsidR="003816BF" w:rsidRPr="00A71214" w:rsidRDefault="003816BF" w:rsidP="003816BF">
            <w:pPr>
              <w:rPr>
                <w:rFonts w:ascii="Arial" w:hAnsi="Arial" w:cs="Arial"/>
                <w:sz w:val="22"/>
                <w:szCs w:val="22"/>
              </w:rPr>
            </w:pPr>
          </w:p>
        </w:tc>
      </w:tr>
      <w:tr w:rsidR="003816BF" w:rsidRPr="0021211D" w:rsidTr="0088638D">
        <w:trPr>
          <w:trHeight w:val="270"/>
        </w:trPr>
        <w:tc>
          <w:tcPr>
            <w:tcW w:w="6045" w:type="dxa"/>
            <w:tcBorders>
              <w:top w:val="nil"/>
              <w:left w:val="single" w:sz="8" w:space="0" w:color="auto"/>
              <w:bottom w:val="single" w:sz="8" w:space="0" w:color="auto"/>
              <w:right w:val="single" w:sz="8" w:space="0" w:color="auto"/>
            </w:tcBorders>
            <w:shd w:val="clear" w:color="auto" w:fill="auto"/>
            <w:noWrap/>
            <w:vAlign w:val="bottom"/>
            <w:hideMark/>
          </w:tcPr>
          <w:p w:rsidR="003816BF" w:rsidRPr="0021211D" w:rsidRDefault="003816BF" w:rsidP="003816BF">
            <w:pPr>
              <w:jc w:val="center"/>
              <w:rPr>
                <w:rFonts w:ascii="Arial" w:hAnsi="Arial" w:cs="Arial"/>
                <w:b/>
                <w:bCs/>
              </w:rPr>
            </w:pPr>
            <w:r w:rsidRPr="0021211D">
              <w:rPr>
                <w:rFonts w:ascii="Arial" w:hAnsi="Arial" w:cs="Arial"/>
                <w:b/>
                <w:bCs/>
              </w:rPr>
              <w:t>Kreditor</w:t>
            </w:r>
          </w:p>
        </w:tc>
        <w:tc>
          <w:tcPr>
            <w:tcW w:w="2160" w:type="dxa"/>
            <w:tcBorders>
              <w:top w:val="nil"/>
              <w:left w:val="nil"/>
              <w:bottom w:val="single" w:sz="8" w:space="0" w:color="auto"/>
              <w:right w:val="single" w:sz="8" w:space="0" w:color="auto"/>
            </w:tcBorders>
            <w:shd w:val="clear" w:color="auto" w:fill="auto"/>
            <w:noWrap/>
            <w:vAlign w:val="bottom"/>
            <w:hideMark/>
          </w:tcPr>
          <w:p w:rsidR="003816BF" w:rsidRPr="0021211D" w:rsidRDefault="003816BF" w:rsidP="003816BF">
            <w:pPr>
              <w:jc w:val="center"/>
              <w:rPr>
                <w:rFonts w:ascii="Arial" w:hAnsi="Arial" w:cs="Arial"/>
                <w:b/>
                <w:bCs/>
              </w:rPr>
            </w:pPr>
            <w:r w:rsidRPr="0021211D">
              <w:rPr>
                <w:rFonts w:ascii="Arial" w:hAnsi="Arial" w:cs="Arial"/>
                <w:b/>
                <w:bCs/>
              </w:rPr>
              <w:t xml:space="preserve">Stanje </w:t>
            </w:r>
            <w:r w:rsidR="0088638D">
              <w:rPr>
                <w:rFonts w:ascii="Arial" w:hAnsi="Arial" w:cs="Arial"/>
                <w:b/>
                <w:bCs/>
              </w:rPr>
              <w:t xml:space="preserve">domaćeg </w:t>
            </w:r>
            <w:r w:rsidRPr="0021211D">
              <w:rPr>
                <w:rFonts w:ascii="Arial" w:hAnsi="Arial" w:cs="Arial"/>
                <w:b/>
                <w:bCs/>
              </w:rPr>
              <w:t>duga na 31.12.2013.</w:t>
            </w:r>
          </w:p>
        </w:tc>
      </w:tr>
      <w:tr w:rsidR="003816BF" w:rsidRPr="0021211D" w:rsidTr="0088638D">
        <w:trPr>
          <w:trHeight w:val="255"/>
        </w:trPr>
        <w:tc>
          <w:tcPr>
            <w:tcW w:w="6045" w:type="dxa"/>
            <w:tcBorders>
              <w:top w:val="nil"/>
              <w:left w:val="nil"/>
              <w:bottom w:val="nil"/>
              <w:right w:val="nil"/>
            </w:tcBorders>
            <w:shd w:val="clear" w:color="auto" w:fill="auto"/>
            <w:noWrap/>
            <w:vAlign w:val="bottom"/>
            <w:hideMark/>
          </w:tcPr>
          <w:p w:rsidR="003816BF" w:rsidRPr="0021211D" w:rsidRDefault="003816BF" w:rsidP="003816BF">
            <w:pPr>
              <w:jc w:val="center"/>
              <w:rPr>
                <w:rFonts w:ascii="Arial" w:hAnsi="Arial" w:cs="Arial"/>
                <w:b/>
                <w:bCs/>
              </w:rPr>
            </w:pPr>
          </w:p>
        </w:tc>
        <w:tc>
          <w:tcPr>
            <w:tcW w:w="2160" w:type="dxa"/>
            <w:tcBorders>
              <w:top w:val="nil"/>
              <w:left w:val="nil"/>
              <w:bottom w:val="nil"/>
              <w:right w:val="nil"/>
            </w:tcBorders>
            <w:shd w:val="clear" w:color="auto" w:fill="auto"/>
            <w:noWrap/>
            <w:vAlign w:val="bottom"/>
            <w:hideMark/>
          </w:tcPr>
          <w:p w:rsidR="003816BF" w:rsidRPr="0021211D" w:rsidRDefault="003816BF" w:rsidP="003816BF">
            <w:pPr>
              <w:jc w:val="center"/>
              <w:rPr>
                <w:rFonts w:ascii="Arial" w:hAnsi="Arial" w:cs="Arial"/>
                <w:b/>
                <w:bCs/>
              </w:rPr>
            </w:pPr>
          </w:p>
        </w:tc>
      </w:tr>
      <w:tr w:rsidR="003816BF" w:rsidRPr="0021211D" w:rsidTr="0088638D">
        <w:trPr>
          <w:trHeight w:val="255"/>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Stara devizna štednja</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68.9</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Dug lokalnih samouprava</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135.9</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Obaveze po osnovu obeštećenja</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90.2</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Krediti kod poslovnih banaka</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101.4</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Krediti nefinansijskih institucija</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18.8</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Zaostale penzije</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1.8</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Državni zapisi</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78.4</w:t>
            </w:r>
          </w:p>
        </w:tc>
      </w:tr>
      <w:tr w:rsidR="003816BF" w:rsidRPr="0021211D" w:rsidTr="0088638D">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rPr>
                <w:rFonts w:ascii="Arial" w:hAnsi="Arial" w:cs="Arial"/>
              </w:rPr>
            </w:pPr>
            <w:r w:rsidRPr="0021211D">
              <w:rPr>
                <w:rFonts w:ascii="Arial" w:hAnsi="Arial" w:cs="Arial"/>
              </w:rPr>
              <w:t>Obveznice Fonda rada</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rPr>
            </w:pPr>
            <w:r w:rsidRPr="0021211D">
              <w:rPr>
                <w:rFonts w:ascii="Arial" w:hAnsi="Arial" w:cs="Arial"/>
              </w:rPr>
              <w:t>4.6</w:t>
            </w:r>
          </w:p>
        </w:tc>
      </w:tr>
      <w:tr w:rsidR="003816BF" w:rsidRPr="0021211D" w:rsidTr="0088638D">
        <w:trPr>
          <w:trHeight w:val="270"/>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3816BF" w:rsidRPr="0021211D" w:rsidRDefault="003816BF" w:rsidP="003816BF">
            <w:pPr>
              <w:jc w:val="center"/>
              <w:rPr>
                <w:rFonts w:ascii="Arial" w:hAnsi="Arial" w:cs="Arial"/>
                <w:b/>
                <w:bCs/>
              </w:rPr>
            </w:pPr>
            <w:r w:rsidRPr="0021211D">
              <w:rPr>
                <w:rFonts w:ascii="Arial" w:hAnsi="Arial" w:cs="Arial"/>
                <w:b/>
                <w:bCs/>
              </w:rPr>
              <w:t>UKUPNO</w:t>
            </w:r>
          </w:p>
        </w:tc>
        <w:tc>
          <w:tcPr>
            <w:tcW w:w="2160" w:type="dxa"/>
            <w:tcBorders>
              <w:top w:val="nil"/>
              <w:left w:val="nil"/>
              <w:bottom w:val="single" w:sz="4" w:space="0" w:color="auto"/>
              <w:right w:val="single" w:sz="4" w:space="0" w:color="auto"/>
            </w:tcBorders>
            <w:shd w:val="clear" w:color="auto" w:fill="auto"/>
            <w:noWrap/>
            <w:vAlign w:val="bottom"/>
            <w:hideMark/>
          </w:tcPr>
          <w:p w:rsidR="003816BF" w:rsidRPr="0021211D" w:rsidRDefault="003816BF" w:rsidP="003816BF">
            <w:pPr>
              <w:jc w:val="right"/>
              <w:rPr>
                <w:rFonts w:ascii="Arial" w:hAnsi="Arial" w:cs="Arial"/>
                <w:b/>
                <w:bCs/>
              </w:rPr>
            </w:pPr>
            <w:r w:rsidRPr="0021211D">
              <w:rPr>
                <w:rFonts w:ascii="Arial" w:hAnsi="Arial" w:cs="Arial"/>
                <w:b/>
                <w:bCs/>
              </w:rPr>
              <w:t>500.0</w:t>
            </w:r>
          </w:p>
        </w:tc>
      </w:tr>
    </w:tbl>
    <w:p w:rsidR="000032CC" w:rsidRPr="0021211D" w:rsidRDefault="000032CC" w:rsidP="00DE3DC9">
      <w:pPr>
        <w:jc w:val="both"/>
        <w:rPr>
          <w:rFonts w:ascii="Arial" w:hAnsi="Arial" w:cs="Arial"/>
          <w:lang w:val="pl-PL"/>
        </w:rPr>
      </w:pPr>
    </w:p>
    <w:p w:rsidR="000032CC" w:rsidRPr="0021211D" w:rsidRDefault="000032CC" w:rsidP="00DE3DC9">
      <w:pPr>
        <w:jc w:val="both"/>
        <w:rPr>
          <w:rFonts w:ascii="Arial" w:hAnsi="Arial" w:cs="Arial"/>
          <w:lang w:val="pl-PL"/>
        </w:rPr>
      </w:pPr>
    </w:p>
    <w:p w:rsidR="000032CC" w:rsidRPr="0021211D" w:rsidRDefault="000032CC" w:rsidP="00DE3DC9">
      <w:pPr>
        <w:jc w:val="both"/>
        <w:rPr>
          <w:rFonts w:ascii="Arial" w:hAnsi="Arial" w:cs="Arial"/>
          <w:lang w:val="pl-PL"/>
        </w:rPr>
      </w:pPr>
    </w:p>
    <w:p w:rsidR="000032CC" w:rsidRPr="0021211D" w:rsidRDefault="000032CC" w:rsidP="00DE3DC9">
      <w:pPr>
        <w:jc w:val="both"/>
        <w:rPr>
          <w:rFonts w:ascii="Arial" w:hAnsi="Arial" w:cs="Arial"/>
          <w:lang w:val="pl-PL"/>
        </w:rPr>
      </w:pPr>
    </w:p>
    <w:p w:rsidR="000032CC" w:rsidRPr="0021211D" w:rsidRDefault="000032CC" w:rsidP="00DE3DC9">
      <w:pPr>
        <w:jc w:val="both"/>
        <w:rPr>
          <w:rFonts w:ascii="Arial" w:hAnsi="Arial" w:cs="Arial"/>
          <w:lang w:val="pl-PL"/>
        </w:rPr>
      </w:pPr>
    </w:p>
    <w:p w:rsidR="000032CC" w:rsidRPr="0021211D" w:rsidRDefault="000032CC" w:rsidP="00DE3DC9">
      <w:pPr>
        <w:jc w:val="both"/>
        <w:rPr>
          <w:rFonts w:ascii="Arial" w:hAnsi="Arial" w:cs="Arial"/>
          <w:lang w:val="pl-PL"/>
        </w:rPr>
      </w:pPr>
    </w:p>
    <w:p w:rsidR="000032CC" w:rsidRDefault="000032CC" w:rsidP="00DE3DC9">
      <w:pPr>
        <w:jc w:val="both"/>
        <w:rPr>
          <w:lang w:val="pl-PL"/>
        </w:rPr>
      </w:pPr>
    </w:p>
    <w:p w:rsidR="000032CC" w:rsidRDefault="000032CC" w:rsidP="00DE3DC9">
      <w:pPr>
        <w:jc w:val="both"/>
        <w:rPr>
          <w:lang w:val="pl-PL"/>
        </w:rPr>
      </w:pPr>
    </w:p>
    <w:p w:rsidR="000032CC" w:rsidRDefault="000032CC" w:rsidP="00DE3DC9">
      <w:pPr>
        <w:jc w:val="both"/>
        <w:rPr>
          <w:lang w:val="pl-PL"/>
        </w:rPr>
      </w:pPr>
    </w:p>
    <w:p w:rsidR="000032CC" w:rsidRDefault="000032CC" w:rsidP="00DE3DC9">
      <w:pPr>
        <w:jc w:val="both"/>
        <w:rPr>
          <w:lang w:val="pl-PL"/>
        </w:rPr>
      </w:pPr>
    </w:p>
    <w:p w:rsidR="00AE479F" w:rsidRPr="00A71214" w:rsidRDefault="00AE479F" w:rsidP="00DE3DC9">
      <w:pPr>
        <w:jc w:val="both"/>
        <w:rPr>
          <w:rFonts w:ascii="Arial" w:hAnsi="Arial" w:cs="Arial"/>
          <w:sz w:val="22"/>
          <w:szCs w:val="22"/>
          <w:lang w:val="pl-PL"/>
        </w:rPr>
      </w:pPr>
      <w:r w:rsidRPr="00A71214">
        <w:rPr>
          <w:rFonts w:ascii="Arial" w:hAnsi="Arial" w:cs="Arial"/>
          <w:sz w:val="22"/>
          <w:szCs w:val="22"/>
          <w:lang w:val="pl-PL"/>
        </w:rPr>
        <w:lastRenderedPageBreak/>
        <w:t>Grafikon br.4</w:t>
      </w:r>
    </w:p>
    <w:p w:rsidR="003816BF" w:rsidRDefault="00183F40" w:rsidP="00DE3DC9">
      <w:pPr>
        <w:jc w:val="both"/>
        <w:rPr>
          <w:lang w:val="pl-PL"/>
        </w:rPr>
      </w:pPr>
      <w:r w:rsidRPr="00183F40">
        <w:rPr>
          <w:noProof/>
        </w:rPr>
        <w:drawing>
          <wp:inline distT="0" distB="0" distL="0" distR="0">
            <wp:extent cx="5391150" cy="3251200"/>
            <wp:effectExtent l="19050" t="0" r="19050" b="63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46B7" w:rsidRPr="00D47657" w:rsidRDefault="008246B7" w:rsidP="00DE3DC9">
      <w:pPr>
        <w:jc w:val="both"/>
        <w:rPr>
          <w:lang w:val="pl-PL"/>
        </w:rPr>
      </w:pPr>
    </w:p>
    <w:p w:rsidR="00F174B4" w:rsidRPr="00D47657" w:rsidRDefault="00F174B4" w:rsidP="00F174B4">
      <w:pPr>
        <w:pStyle w:val="BodyText"/>
      </w:pPr>
    </w:p>
    <w:p w:rsidR="00DD2FAF" w:rsidRPr="0088638D" w:rsidRDefault="00DD2FAF" w:rsidP="00DD2FAF">
      <w:pPr>
        <w:pStyle w:val="BodyText"/>
        <w:jc w:val="center"/>
        <w:outlineLvl w:val="0"/>
        <w:rPr>
          <w:rFonts w:ascii="Arial" w:hAnsi="Arial" w:cs="Arial"/>
        </w:rPr>
      </w:pPr>
      <w:r w:rsidRPr="0088638D">
        <w:rPr>
          <w:rFonts w:ascii="Arial" w:hAnsi="Arial" w:cs="Arial"/>
          <w:b/>
          <w:i/>
        </w:rPr>
        <w:t>Kretanje</w:t>
      </w:r>
      <w:r w:rsidR="00CF58D1" w:rsidRPr="0088638D">
        <w:rPr>
          <w:rFonts w:ascii="Arial" w:hAnsi="Arial" w:cs="Arial"/>
          <w:b/>
          <w:i/>
        </w:rPr>
        <w:t xml:space="preserve"> </w:t>
      </w:r>
      <w:r w:rsidRPr="0088638D">
        <w:rPr>
          <w:rFonts w:ascii="Arial" w:hAnsi="Arial" w:cs="Arial"/>
          <w:b/>
          <w:i/>
        </w:rPr>
        <w:t>državnih garancija u toku 2013. godine</w:t>
      </w:r>
    </w:p>
    <w:p w:rsidR="00F174B4" w:rsidRPr="0088638D" w:rsidRDefault="00F174B4" w:rsidP="00F174B4">
      <w:pPr>
        <w:pStyle w:val="BodyText"/>
        <w:rPr>
          <w:rFonts w:ascii="Arial" w:hAnsi="Arial" w:cs="Arial"/>
        </w:rPr>
      </w:pPr>
    </w:p>
    <w:p w:rsidR="00DD2FAF" w:rsidRPr="0088638D" w:rsidRDefault="00FA5D65" w:rsidP="000032CC">
      <w:pPr>
        <w:ind w:firstLine="720"/>
        <w:jc w:val="both"/>
        <w:rPr>
          <w:rFonts w:ascii="Arial" w:hAnsi="Arial" w:cs="Arial"/>
          <w:lang w:val="it-IT"/>
        </w:rPr>
      </w:pPr>
      <w:r w:rsidRPr="0088638D">
        <w:rPr>
          <w:rFonts w:ascii="Arial" w:hAnsi="Arial" w:cs="Arial"/>
          <w:lang w:val="sr-Latn-CS"/>
        </w:rPr>
        <w:t xml:space="preserve">Stanje duga po osnovu </w:t>
      </w:r>
      <w:r w:rsidR="00DD2FAF" w:rsidRPr="0088638D">
        <w:rPr>
          <w:rFonts w:ascii="Arial" w:hAnsi="Arial" w:cs="Arial"/>
          <w:lang w:val="sr-Latn-CS"/>
        </w:rPr>
        <w:t>U</w:t>
      </w:r>
      <w:r w:rsidRPr="0088638D">
        <w:rPr>
          <w:rFonts w:ascii="Arial" w:hAnsi="Arial" w:cs="Arial"/>
          <w:lang w:val="sr-Latn-CS"/>
        </w:rPr>
        <w:t>govorenih garancija koje je Vlada izdala na kraju 2013. godine</w:t>
      </w:r>
      <w:r w:rsidR="00DD2FAF" w:rsidRPr="0088638D">
        <w:rPr>
          <w:rFonts w:ascii="Arial" w:hAnsi="Arial" w:cs="Arial"/>
          <w:lang w:val="sr-Latn-CS"/>
        </w:rPr>
        <w:t xml:space="preserve"> iznosi </w:t>
      </w:r>
      <w:r w:rsidRPr="0088638D">
        <w:rPr>
          <w:rFonts w:ascii="Arial" w:hAnsi="Arial" w:cs="Arial"/>
          <w:lang w:val="sr-Latn-CS"/>
        </w:rPr>
        <w:t>oko 483</w:t>
      </w:r>
      <w:r w:rsidR="00DD2FAF" w:rsidRPr="0088638D">
        <w:rPr>
          <w:rFonts w:ascii="Arial" w:hAnsi="Arial" w:cs="Arial"/>
          <w:lang w:val="sr-Latn-CS"/>
        </w:rPr>
        <w:t>,</w:t>
      </w:r>
      <w:r w:rsidRPr="0088638D">
        <w:rPr>
          <w:rFonts w:ascii="Arial" w:hAnsi="Arial" w:cs="Arial"/>
          <w:lang w:val="sr-Latn-CS"/>
        </w:rPr>
        <w:t>17</w:t>
      </w:r>
      <w:r w:rsidR="00DD2FAF" w:rsidRPr="0088638D">
        <w:rPr>
          <w:rFonts w:ascii="Arial" w:hAnsi="Arial" w:cs="Arial"/>
          <w:lang w:val="sr-Latn-CS"/>
        </w:rPr>
        <w:t xml:space="preserve"> miliona eura, od čega su povu</w:t>
      </w:r>
      <w:r w:rsidRPr="0088638D">
        <w:rPr>
          <w:rFonts w:ascii="Arial" w:hAnsi="Arial" w:cs="Arial"/>
          <w:lang w:val="sr-Latn-CS"/>
        </w:rPr>
        <w:t>čena sredstva u iznosu od oko 371,76</w:t>
      </w:r>
      <w:r w:rsidR="008B3B48" w:rsidRPr="0088638D">
        <w:rPr>
          <w:rFonts w:ascii="Arial" w:hAnsi="Arial" w:cs="Arial"/>
          <w:lang w:val="sr-Latn-CS"/>
        </w:rPr>
        <w:t xml:space="preserve"> mil.</w:t>
      </w:r>
      <w:r w:rsidR="00DD2FAF" w:rsidRPr="0088638D">
        <w:rPr>
          <w:rFonts w:ascii="Arial" w:hAnsi="Arial" w:cs="Arial"/>
          <w:lang w:val="sr-Latn-CS"/>
        </w:rPr>
        <w:t xml:space="preserve"> eura, a stanje duga na kraju </w:t>
      </w:r>
      <w:r w:rsidRPr="0088638D">
        <w:rPr>
          <w:rFonts w:ascii="Arial" w:hAnsi="Arial" w:cs="Arial"/>
          <w:lang w:val="sr-Latn-CS"/>
        </w:rPr>
        <w:t>2013</w:t>
      </w:r>
      <w:r w:rsidR="00DD2FAF" w:rsidRPr="0088638D">
        <w:rPr>
          <w:rFonts w:ascii="Arial" w:hAnsi="Arial" w:cs="Arial"/>
          <w:lang w:val="sr-Latn-CS"/>
        </w:rPr>
        <w:t>. godine, po garancijama izdatim domaći</w:t>
      </w:r>
      <w:r w:rsidRPr="0088638D">
        <w:rPr>
          <w:rFonts w:ascii="Arial" w:hAnsi="Arial" w:cs="Arial"/>
          <w:lang w:val="sr-Latn-CS"/>
        </w:rPr>
        <w:t>m i ino kreditorima iznosi 313,49</w:t>
      </w:r>
      <w:r w:rsidR="008B3B48" w:rsidRPr="0088638D">
        <w:rPr>
          <w:rFonts w:ascii="Arial" w:hAnsi="Arial" w:cs="Arial"/>
          <w:lang w:val="sr-Latn-CS"/>
        </w:rPr>
        <w:t xml:space="preserve"> mil.</w:t>
      </w:r>
      <w:r w:rsidR="00DD2FAF" w:rsidRPr="0088638D">
        <w:rPr>
          <w:rFonts w:ascii="Arial" w:hAnsi="Arial" w:cs="Arial"/>
          <w:lang w:val="sr-Latn-CS"/>
        </w:rPr>
        <w:t xml:space="preserve"> eura</w:t>
      </w:r>
      <w:r w:rsidRPr="0088638D">
        <w:rPr>
          <w:rFonts w:ascii="Arial" w:hAnsi="Arial" w:cs="Arial"/>
          <w:lang w:val="sr-Latn-CS"/>
        </w:rPr>
        <w:t>, što predstavlja 9,4%</w:t>
      </w:r>
      <w:r w:rsidR="00FA68C2" w:rsidRPr="0088638D">
        <w:rPr>
          <w:rFonts w:ascii="Arial" w:hAnsi="Arial" w:cs="Arial"/>
          <w:lang w:val="sr-Latn-CS"/>
        </w:rPr>
        <w:t xml:space="preserve"> </w:t>
      </w:r>
      <w:r w:rsidRPr="0088638D">
        <w:rPr>
          <w:rFonts w:ascii="Arial" w:hAnsi="Arial" w:cs="Arial"/>
          <w:lang w:val="sr-Latn-CS"/>
        </w:rPr>
        <w:t>BDP-a</w:t>
      </w:r>
      <w:r w:rsidR="00F933C4" w:rsidRPr="0088638D">
        <w:rPr>
          <w:rFonts w:ascii="Arial" w:hAnsi="Arial" w:cs="Arial"/>
          <w:lang w:val="sr-Latn-CS"/>
        </w:rPr>
        <w:t xml:space="preserve">, odnosno </w:t>
      </w:r>
      <w:r w:rsidR="00E71D9B" w:rsidRPr="0088638D">
        <w:rPr>
          <w:rFonts w:ascii="Arial" w:hAnsi="Arial" w:cs="Arial"/>
          <w:lang w:val="sr-Latn-CS"/>
        </w:rPr>
        <w:t>16,21% državnog duga</w:t>
      </w:r>
      <w:r w:rsidR="00DD2FAF" w:rsidRPr="0088638D">
        <w:rPr>
          <w:rFonts w:ascii="Arial" w:hAnsi="Arial" w:cs="Arial"/>
          <w:lang w:val="sr-Latn-CS"/>
        </w:rPr>
        <w:t>.</w:t>
      </w:r>
      <w:r w:rsidR="00DD2FAF" w:rsidRPr="0088638D">
        <w:rPr>
          <w:rFonts w:ascii="Arial" w:hAnsi="Arial" w:cs="Arial"/>
          <w:lang w:val="it-IT"/>
        </w:rPr>
        <w:t xml:space="preserve"> </w:t>
      </w:r>
    </w:p>
    <w:p w:rsidR="00DD2FAF" w:rsidRPr="0088638D" w:rsidRDefault="00DD2FAF" w:rsidP="00DD2FAF">
      <w:pPr>
        <w:jc w:val="both"/>
        <w:rPr>
          <w:rFonts w:ascii="Arial" w:hAnsi="Arial" w:cs="Arial"/>
          <w:lang w:val="it-IT"/>
        </w:rPr>
      </w:pPr>
    </w:p>
    <w:p w:rsidR="00DD2FAF" w:rsidRPr="0088638D" w:rsidRDefault="00DD2FAF" w:rsidP="000032CC">
      <w:pPr>
        <w:ind w:firstLine="720"/>
        <w:jc w:val="both"/>
        <w:rPr>
          <w:rFonts w:ascii="Arial" w:hAnsi="Arial" w:cs="Arial"/>
          <w:lang w:val="sr-Latn-CS"/>
        </w:rPr>
      </w:pPr>
      <w:r w:rsidRPr="0088638D">
        <w:rPr>
          <w:rFonts w:ascii="Arial" w:hAnsi="Arial" w:cs="Arial"/>
          <w:lang w:val="it-IT"/>
        </w:rPr>
        <w:t>Domaće garancije su uglavnom predstavljale podršku kompanijama za realizaciju određenih socijalnih aktivnosti i kao podrška realizaciji programa restrukturiranja, dok su ino garancije u prethodnom periodu date za kredite kojim su implementirani razni infrastrukturni projekti, obezbje</w:t>
      </w:r>
      <w:r w:rsidRPr="0088638D">
        <w:rPr>
          <w:rFonts w:ascii="Arial" w:hAnsi="Arial" w:cs="Arial"/>
          <w:lang w:val="sr-Latn-CS"/>
        </w:rPr>
        <w:t>đivana podrška razvoju malih i srednjih preduzeća kroz kredit Evropske investicione banke odobren bankarskom sektoru u Crnoj Gori. Osim toga, nekim preduzećima su izdate i ino garancije  u cilju podrške za restrukturiranja.</w:t>
      </w:r>
    </w:p>
    <w:p w:rsidR="00373E94" w:rsidRPr="0088638D" w:rsidRDefault="00373E94" w:rsidP="00DD2FAF">
      <w:pPr>
        <w:jc w:val="both"/>
        <w:rPr>
          <w:rFonts w:ascii="Arial" w:hAnsi="Arial" w:cs="Arial"/>
          <w:lang w:val="sr-Latn-CS"/>
        </w:rPr>
      </w:pPr>
    </w:p>
    <w:p w:rsidR="00DD2FAF" w:rsidRPr="0088638D" w:rsidRDefault="00DD2FAF" w:rsidP="000032CC">
      <w:pPr>
        <w:pStyle w:val="BodyText"/>
        <w:ind w:firstLine="720"/>
        <w:rPr>
          <w:rFonts w:ascii="Arial" w:hAnsi="Arial" w:cs="Arial"/>
        </w:rPr>
      </w:pPr>
      <w:r w:rsidRPr="0088638D">
        <w:rPr>
          <w:rFonts w:ascii="Arial" w:hAnsi="Arial" w:cs="Arial"/>
        </w:rPr>
        <w:t>Angažovani iznos garancija koje je Vlada Crne Gore izdala za zajmove</w:t>
      </w:r>
      <w:r w:rsidR="00FA5D65" w:rsidRPr="0088638D">
        <w:rPr>
          <w:rFonts w:ascii="Arial" w:hAnsi="Arial" w:cs="Arial"/>
        </w:rPr>
        <w:t xml:space="preserve"> kod ino kreditora  iznosi oko 341,61</w:t>
      </w:r>
      <w:r w:rsidRPr="0088638D">
        <w:rPr>
          <w:rFonts w:ascii="Arial" w:hAnsi="Arial" w:cs="Arial"/>
        </w:rPr>
        <w:t xml:space="preserve"> mil. eura</w:t>
      </w:r>
      <w:r w:rsidR="00F40A17" w:rsidRPr="0088638D">
        <w:rPr>
          <w:rFonts w:ascii="Arial" w:hAnsi="Arial" w:cs="Arial"/>
        </w:rPr>
        <w:t>, dok je stanje duga po istim 289,5</w:t>
      </w:r>
      <w:r w:rsidR="00FA68C2" w:rsidRPr="0088638D">
        <w:rPr>
          <w:rFonts w:ascii="Arial" w:hAnsi="Arial" w:cs="Arial"/>
        </w:rPr>
        <w:t>5 mil. eura ili 8,68</w:t>
      </w:r>
      <w:r w:rsidRPr="0088638D">
        <w:rPr>
          <w:rFonts w:ascii="Arial" w:hAnsi="Arial" w:cs="Arial"/>
        </w:rPr>
        <w:t xml:space="preserve">% BDP-a, odnosno </w:t>
      </w:r>
      <w:r w:rsidR="00FA68C2" w:rsidRPr="0088638D">
        <w:rPr>
          <w:rFonts w:ascii="Arial" w:hAnsi="Arial" w:cs="Arial"/>
        </w:rPr>
        <w:t>14,98</w:t>
      </w:r>
      <w:r w:rsidRPr="0088638D">
        <w:rPr>
          <w:rFonts w:ascii="Arial" w:hAnsi="Arial" w:cs="Arial"/>
        </w:rPr>
        <w:t>% državnog duga</w:t>
      </w:r>
      <w:r w:rsidR="00E37AFD" w:rsidRPr="0088638D">
        <w:rPr>
          <w:rFonts w:ascii="Arial" w:hAnsi="Arial" w:cs="Arial"/>
        </w:rPr>
        <w:t xml:space="preserve"> (Tabela br.4).</w:t>
      </w:r>
    </w:p>
    <w:p w:rsidR="00F174B4" w:rsidRPr="00D47657" w:rsidRDefault="00F174B4" w:rsidP="00F174B4">
      <w:pPr>
        <w:pStyle w:val="BodyText"/>
        <w:sectPr w:rsidR="00F174B4" w:rsidRPr="00D47657">
          <w:footerReference w:type="even" r:id="rId11"/>
          <w:footerReference w:type="default" r:id="rId12"/>
          <w:pgSz w:w="12240" w:h="15840" w:code="1"/>
          <w:pgMar w:top="1440" w:right="1800" w:bottom="1440" w:left="1800" w:header="720" w:footer="720" w:gutter="0"/>
          <w:cols w:space="720"/>
          <w:docGrid w:linePitch="360"/>
        </w:sectPr>
      </w:pPr>
    </w:p>
    <w:p w:rsidR="00F174B4" w:rsidRPr="0088638D" w:rsidRDefault="00E37AFD" w:rsidP="00F174B4">
      <w:pPr>
        <w:pStyle w:val="BodyText"/>
        <w:rPr>
          <w:rFonts w:ascii="Arial" w:hAnsi="Arial" w:cs="Arial"/>
          <w:sz w:val="22"/>
          <w:szCs w:val="22"/>
          <w:u w:val="single"/>
        </w:rPr>
      </w:pPr>
      <w:r w:rsidRPr="0088638D">
        <w:rPr>
          <w:rFonts w:ascii="Arial" w:hAnsi="Arial" w:cs="Arial"/>
          <w:sz w:val="22"/>
          <w:szCs w:val="22"/>
          <w:u w:val="single"/>
        </w:rPr>
        <w:lastRenderedPageBreak/>
        <w:t>Tabela 4</w:t>
      </w:r>
      <w:r w:rsidR="00F174B4" w:rsidRPr="0088638D">
        <w:rPr>
          <w:rFonts w:ascii="Arial" w:hAnsi="Arial" w:cs="Arial"/>
          <w:sz w:val="22"/>
          <w:szCs w:val="22"/>
          <w:u w:val="single"/>
        </w:rPr>
        <w:t>. Izdate ino garancije (u mil. eura)</w:t>
      </w:r>
    </w:p>
    <w:tbl>
      <w:tblPr>
        <w:tblW w:w="5780" w:type="pct"/>
        <w:tblInd w:w="-540" w:type="dxa"/>
        <w:tblLayout w:type="fixed"/>
        <w:tblCellMar>
          <w:left w:w="70" w:type="dxa"/>
          <w:right w:w="70" w:type="dxa"/>
        </w:tblCellMar>
        <w:tblLook w:val="04A0"/>
      </w:tblPr>
      <w:tblGrid>
        <w:gridCol w:w="1039"/>
        <w:gridCol w:w="1734"/>
        <w:gridCol w:w="1362"/>
        <w:gridCol w:w="1248"/>
        <w:gridCol w:w="1618"/>
        <w:gridCol w:w="1618"/>
        <w:gridCol w:w="1531"/>
      </w:tblGrid>
      <w:tr w:rsidR="0088638D" w:rsidRPr="00A272BA" w:rsidTr="00A272BA">
        <w:trPr>
          <w:trHeight w:val="510"/>
        </w:trPr>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Kreditor</w:t>
            </w:r>
          </w:p>
        </w:tc>
        <w:tc>
          <w:tcPr>
            <w:tcW w:w="854"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Zajam</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Zajmoprimac</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Godina potpisivanja.</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Ugovoreni iznos</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Angažovani iznos</w:t>
            </w:r>
          </w:p>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31.12.2013</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Stanje duga</w:t>
            </w:r>
          </w:p>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31.12.2013</w:t>
            </w:r>
          </w:p>
        </w:tc>
      </w:tr>
      <w:tr w:rsidR="0088638D" w:rsidRPr="00A272BA" w:rsidTr="00A272BA">
        <w:trPr>
          <w:trHeight w:val="510"/>
        </w:trPr>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EIB</w:t>
            </w:r>
          </w:p>
        </w:tc>
        <w:tc>
          <w:tcPr>
            <w:tcW w:w="854"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evropskih puteva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Monteput</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17.05.2004.</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24,000,000.00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24,000,000.00</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21,480,014.15</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EIB</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Rekonstrukcija elektroenergetskog sistema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Elektroprivreda CG AD</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15.08.2002.</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11,000,000.00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8,023,090.00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5,974,324.14</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EIB</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Modernizacija aerodroma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JP Aerodromi Crne Gore</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27.03.2004.</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11,000,000.00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8,866,666.67</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EIB</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Mala i srednja preduzeća preko poslovnih banaka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Poslovne banke</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02.07.2009.</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90,000,000.00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90,000,000.00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75,771,740.04</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EIB</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91249A"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Modernizacija željeznič</w:t>
            </w:r>
            <w:r w:rsidR="00F174B4" w:rsidRPr="00A272BA">
              <w:rPr>
                <w:rFonts w:ascii="Arial" w:hAnsi="Arial" w:cs="Arial"/>
                <w:sz w:val="18"/>
                <w:szCs w:val="18"/>
                <w:lang w:val="sr-Latn-CS" w:eastAsia="sr-Latn-CS"/>
              </w:rPr>
              <w:t>ke infrastrukture</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ZICG</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20.12.2010.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134,000.00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134,000.00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EBRD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Modernizacija aerodroma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JP Aerodromi Crne Gore</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12.12.2003.</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11,000,000.00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10,235,127.00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4,258,820.72</w:t>
            </w:r>
          </w:p>
        </w:tc>
      </w:tr>
      <w:tr w:rsidR="0088638D" w:rsidRPr="00A272BA" w:rsidTr="00A272BA">
        <w:trPr>
          <w:trHeight w:val="510"/>
        </w:trPr>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EBRD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izgradnje regionalnog vodovoda - južni krak faza I</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JP Regionalni vodovod - prva tranša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09.11.2007.</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8,000,000.00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8,000,000.00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6,000,000.00</w:t>
            </w:r>
          </w:p>
        </w:tc>
      </w:tr>
      <w:tr w:rsidR="0088638D" w:rsidRPr="00A272BA" w:rsidTr="00A272BA">
        <w:trPr>
          <w:trHeight w:val="510"/>
        </w:trPr>
        <w:tc>
          <w:tcPr>
            <w:tcW w:w="512" w:type="pct"/>
            <w:vMerge/>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izgradnje regionalnog vodovoda - južni krak faza II</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JP Regionalni vodovod - druga tranša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16.05.2008.</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5,541,666.63</w:t>
            </w:r>
          </w:p>
        </w:tc>
      </w:tr>
      <w:tr w:rsidR="0088638D" w:rsidRPr="00A272BA" w:rsidTr="00A272BA">
        <w:trPr>
          <w:trHeight w:val="510"/>
        </w:trPr>
        <w:tc>
          <w:tcPr>
            <w:tcW w:w="512" w:type="pct"/>
            <w:vMerge/>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izgradnje regionalnog vodovoda - južni krak faza I - Anex</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JP Regionalni vodovod - prosirenje druge transe</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10.07.2009.</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2,375,000.00</w:t>
            </w:r>
          </w:p>
        </w:tc>
      </w:tr>
      <w:tr w:rsidR="0088638D" w:rsidRPr="00A272BA" w:rsidTr="00A272BA">
        <w:trPr>
          <w:trHeight w:val="510"/>
        </w:trPr>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EBRD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obnove željezničke infrastrukture - Faza III</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JP Željeznice CG - treća tranša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08.11.2010.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4,000,000.00</w:t>
            </w:r>
          </w:p>
        </w:tc>
        <w:tc>
          <w:tcPr>
            <w:tcW w:w="797" w:type="pct"/>
            <w:vMerge w:val="restart"/>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3,509,247.60</w:t>
            </w:r>
          </w:p>
        </w:tc>
        <w:tc>
          <w:tcPr>
            <w:tcW w:w="75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3,383,917.31</w:t>
            </w:r>
          </w:p>
        </w:tc>
      </w:tr>
      <w:tr w:rsidR="0088638D" w:rsidRPr="00A272BA" w:rsidTr="00A272BA">
        <w:trPr>
          <w:trHeight w:val="510"/>
        </w:trPr>
        <w:tc>
          <w:tcPr>
            <w:tcW w:w="512" w:type="pct"/>
            <w:vMerge/>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obnove željezničke infrastrukture - Faza III Anex</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Željeznička infrastruktura AD, Podgorica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10.12.2012.</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10,000,000.00</w:t>
            </w:r>
          </w:p>
        </w:tc>
        <w:tc>
          <w:tcPr>
            <w:tcW w:w="797" w:type="pct"/>
            <w:vMerge/>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p>
        </w:tc>
        <w:tc>
          <w:tcPr>
            <w:tcW w:w="754" w:type="pct"/>
            <w:vMerge/>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EBRD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hitne obnove Željezničke infrastrukture 2</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Željeznička infrastruktura AD, Podgorica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11.12.2009.</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15,000,000.00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12.477.787,09</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12.477.787,09</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EBRD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nabavke elektromotornih jedinica i dijagnosticke opreme</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91249A"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Željeznič</w:t>
            </w:r>
            <w:r w:rsidR="00F174B4" w:rsidRPr="00A272BA">
              <w:rPr>
                <w:rFonts w:ascii="Arial" w:hAnsi="Arial" w:cs="Arial"/>
                <w:sz w:val="18"/>
                <w:szCs w:val="18"/>
                <w:lang w:val="sr-Latn-CS" w:eastAsia="sr-Latn-CS"/>
              </w:rPr>
              <w:t>ki prevoz AD</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rPr>
            </w:pPr>
            <w:r w:rsidRPr="00A272BA">
              <w:rPr>
                <w:rFonts w:ascii="Arial" w:hAnsi="Arial" w:cs="Arial"/>
                <w:sz w:val="18"/>
                <w:szCs w:val="18"/>
                <w:lang w:val="sr-Latn-CS" w:eastAsia="sr-Latn-CS"/>
              </w:rPr>
              <w:t>08.11.2010.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13,550,000.00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12,304,396.00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12,304,396.00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EBRD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 xml:space="preserve">Kreditna linija za </w:t>
            </w:r>
            <w:r w:rsidR="0091249A" w:rsidRPr="00A272BA">
              <w:rPr>
                <w:rFonts w:ascii="Arial" w:hAnsi="Arial" w:cs="Arial"/>
                <w:sz w:val="18"/>
                <w:szCs w:val="18"/>
                <w:lang w:val="sr-Latn-CS" w:eastAsia="sr-Latn-CS"/>
              </w:rPr>
              <w:t>zaš</w:t>
            </w:r>
            <w:r w:rsidRPr="00A272BA">
              <w:rPr>
                <w:rFonts w:ascii="Arial" w:hAnsi="Arial" w:cs="Arial"/>
                <w:sz w:val="18"/>
                <w:szCs w:val="18"/>
                <w:lang w:val="sr-Latn-CS" w:eastAsia="sr-Latn-CS"/>
              </w:rPr>
              <w:t>titu depozita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91249A"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Fond za zaš</w:t>
            </w:r>
            <w:r w:rsidR="00F174B4" w:rsidRPr="00A272BA">
              <w:rPr>
                <w:rFonts w:ascii="Arial" w:hAnsi="Arial" w:cs="Arial"/>
                <w:sz w:val="18"/>
                <w:szCs w:val="18"/>
                <w:lang w:val="sr-Latn-CS" w:eastAsia="sr-Latn-CS"/>
              </w:rPr>
              <w:t>titu depozita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rPr>
            </w:pPr>
            <w:r w:rsidRPr="00A272BA">
              <w:rPr>
                <w:rFonts w:ascii="Arial" w:hAnsi="Arial" w:cs="Arial"/>
                <w:sz w:val="18"/>
                <w:szCs w:val="18"/>
                <w:lang w:val="sr-Latn-CS" w:eastAsia="sr-Latn-CS"/>
              </w:rPr>
              <w:t>08.11.2010.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30,000,000.00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KfW</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EPCG-Perućica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EPCG</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15.12.2003.</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3,580,000.00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3,580,000.00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796,000.00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KfW</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EPCG-Piva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EPCG</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28.12.2007.</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16,000,000.00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5,453,382.00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5,453,382.00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KfW</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EPCG - trafo stanica Podgorica-Ribarevine</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EPCG</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20.07.2007.</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5,400,000.00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4,586,898.00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3,405,648.00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KfW</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 xml:space="preserve">EPCG - Zamjena filtera u TE Pljevlja I proširenje trafo </w:t>
            </w:r>
            <w:r w:rsidRPr="00A272BA">
              <w:rPr>
                <w:rFonts w:ascii="Arial" w:hAnsi="Arial" w:cs="Arial"/>
                <w:sz w:val="18"/>
                <w:szCs w:val="18"/>
                <w:lang w:val="sr-Latn-CS" w:eastAsia="sr-Latn-CS"/>
              </w:rPr>
              <w:lastRenderedPageBreak/>
              <w:t>stanica Podgorica-Ribarevine</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lastRenderedPageBreak/>
              <w:t>EPCG</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11.12.2008.</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15,000,000.00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14,181,782.00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13,431,782.00</w:t>
            </w:r>
          </w:p>
        </w:tc>
      </w:tr>
      <w:tr w:rsidR="0088638D" w:rsidRPr="00A272BA" w:rsidTr="00A272BA">
        <w:trPr>
          <w:trHeight w:val="510"/>
        </w:trPr>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lastRenderedPageBreak/>
              <w:t>KfW</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Erste banka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Erste banka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20012"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25.06</w:t>
            </w:r>
            <w:r w:rsidR="00F174B4" w:rsidRPr="00A272BA">
              <w:rPr>
                <w:rFonts w:ascii="Arial" w:hAnsi="Arial" w:cs="Arial"/>
                <w:sz w:val="18"/>
                <w:szCs w:val="18"/>
                <w:lang w:val="sr-Latn-CS" w:eastAsia="sr-Latn-CS"/>
              </w:rPr>
              <w:t>.2009.</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15,000,000.00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15,000,000.00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6,818,181.84</w:t>
            </w:r>
          </w:p>
        </w:tc>
      </w:tr>
      <w:tr w:rsidR="0088638D" w:rsidRPr="00A272BA" w:rsidTr="00A272BA">
        <w:trPr>
          <w:trHeight w:val="510"/>
        </w:trPr>
        <w:tc>
          <w:tcPr>
            <w:tcW w:w="512" w:type="pct"/>
            <w:vMerge/>
            <w:tcBorders>
              <w:top w:val="nil"/>
              <w:left w:val="single" w:sz="4" w:space="0" w:color="auto"/>
              <w:bottom w:val="single" w:sz="4" w:space="0" w:color="000000"/>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NLB</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NLB</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26.10.2009.</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16,000,000.00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16,000,000.00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9,090,909.11</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KfW</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Interkonektivni kabl</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CG Elektroprenosni sistem AD</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08.05.2013</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25,000,000.00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0.00</w:t>
            </w:r>
          </w:p>
        </w:tc>
      </w:tr>
      <w:tr w:rsidR="0088638D" w:rsidRPr="00A272BA" w:rsidTr="00A272BA">
        <w:trPr>
          <w:trHeight w:val="890"/>
        </w:trPr>
        <w:tc>
          <w:tcPr>
            <w:tcW w:w="512" w:type="pct"/>
            <w:vMerge w:val="restart"/>
            <w:tcBorders>
              <w:top w:val="nil"/>
              <w:left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EXIM Kina</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Nabavka i remont brodova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Crnogorska plovidba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21.01.2010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p>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34.385.798,00</w:t>
            </w:r>
          </w:p>
          <w:p w:rsidR="00F174B4" w:rsidRPr="00A272BA" w:rsidRDefault="00F174B4" w:rsidP="00F174B4">
            <w:pPr>
              <w:jc w:val="center"/>
              <w:rPr>
                <w:rFonts w:ascii="Arial" w:hAnsi="Arial" w:cs="Arial"/>
                <w:sz w:val="18"/>
                <w:szCs w:val="18"/>
                <w:lang w:val="sr-Latn-CS" w:eastAsia="sr-Latn-CS"/>
              </w:rPr>
            </w:pP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rPr>
            </w:pPr>
            <w:r w:rsidRPr="00A272BA">
              <w:rPr>
                <w:rFonts w:ascii="Arial" w:hAnsi="Arial" w:cs="Arial"/>
                <w:sz w:val="18"/>
                <w:szCs w:val="18"/>
                <w:lang w:val="sr-Latn-CS" w:eastAsia="sr-Latn-CS"/>
              </w:rPr>
              <w:t>34.385.798,00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rPr>
            </w:pPr>
            <w:r w:rsidRPr="00A272BA">
              <w:rPr>
                <w:rFonts w:ascii="Arial" w:hAnsi="Arial" w:cs="Arial"/>
                <w:sz w:val="18"/>
                <w:szCs w:val="18"/>
                <w:lang w:val="sr-Latn-CS" w:eastAsia="sr-Latn-CS"/>
              </w:rPr>
              <w:t>34.385.798,00</w:t>
            </w:r>
          </w:p>
        </w:tc>
      </w:tr>
      <w:tr w:rsidR="0088638D" w:rsidRPr="00A272BA" w:rsidTr="00A272BA">
        <w:trPr>
          <w:trHeight w:val="510"/>
        </w:trPr>
        <w:tc>
          <w:tcPr>
            <w:tcW w:w="512" w:type="pct"/>
            <w:vMerge/>
            <w:tcBorders>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Nabavka i remont brodova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Barska plovidba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29.01.2013</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p>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33.663.200,00</w:t>
            </w:r>
          </w:p>
          <w:p w:rsidR="00F174B4" w:rsidRPr="00A272BA" w:rsidRDefault="00F174B4" w:rsidP="00F174B4">
            <w:pPr>
              <w:jc w:val="center"/>
              <w:rPr>
                <w:rFonts w:ascii="Arial" w:hAnsi="Arial" w:cs="Arial"/>
                <w:sz w:val="18"/>
                <w:szCs w:val="18"/>
                <w:lang w:val="sr-Latn-CS" w:eastAsia="sr-Latn-CS"/>
              </w:rPr>
            </w:pP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6.732.640,00</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6.732.640,00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WTE Wassertechnik</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otpadnih voda</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Opstina Budva</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16.03.2010.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29,250,000.00</w:t>
            </w:r>
          </w:p>
        </w:tc>
        <w:tc>
          <w:tcPr>
            <w:tcW w:w="797" w:type="pct"/>
            <w:tcBorders>
              <w:top w:val="nil"/>
              <w:left w:val="nil"/>
              <w:bottom w:val="single" w:sz="4" w:space="0" w:color="auto"/>
              <w:right w:val="single" w:sz="4" w:space="0" w:color="auto"/>
            </w:tcBorders>
            <w:shd w:val="clear" w:color="auto" w:fill="auto"/>
            <w:hideMark/>
          </w:tcPr>
          <w:p w:rsidR="00F174B4" w:rsidRPr="00A272BA" w:rsidRDefault="00F174B4" w:rsidP="00F174B4">
            <w:pPr>
              <w:jc w:val="center"/>
              <w:rPr>
                <w:rFonts w:ascii="Arial" w:hAnsi="Arial" w:cs="Arial"/>
                <w:sz w:val="18"/>
                <w:szCs w:val="18"/>
                <w:lang w:val="sr-Latn-CS" w:eastAsia="sr-Latn-CS"/>
              </w:rPr>
            </w:pPr>
          </w:p>
          <w:p w:rsidR="00F174B4" w:rsidRPr="00A272BA" w:rsidRDefault="00F174B4" w:rsidP="00F174B4">
            <w:pPr>
              <w:jc w:val="center"/>
              <w:rPr>
                <w:rFonts w:ascii="Arial" w:hAnsi="Arial" w:cs="Arial"/>
                <w:sz w:val="18"/>
                <w:szCs w:val="18"/>
                <w:lang w:val="sr-Latn-CS"/>
              </w:rPr>
            </w:pPr>
            <w:r w:rsidRPr="00A272BA">
              <w:rPr>
                <w:rFonts w:ascii="Arial" w:hAnsi="Arial" w:cs="Arial"/>
                <w:sz w:val="18"/>
                <w:szCs w:val="18"/>
                <w:lang w:val="sr-Latn-CS" w:eastAsia="sr-Latn-CS"/>
              </w:rPr>
              <w:t>29,250,000.00</w:t>
            </w:r>
          </w:p>
        </w:tc>
        <w:tc>
          <w:tcPr>
            <w:tcW w:w="754" w:type="pct"/>
            <w:tcBorders>
              <w:top w:val="nil"/>
              <w:left w:val="nil"/>
              <w:bottom w:val="single" w:sz="4" w:space="0" w:color="auto"/>
              <w:right w:val="single" w:sz="4" w:space="0" w:color="auto"/>
            </w:tcBorders>
            <w:shd w:val="clear" w:color="auto" w:fill="auto"/>
            <w:noWrap/>
            <w:hideMark/>
          </w:tcPr>
          <w:p w:rsidR="00F174B4" w:rsidRPr="00A272BA" w:rsidRDefault="00F174B4" w:rsidP="00F174B4">
            <w:pPr>
              <w:jc w:val="center"/>
              <w:rPr>
                <w:rFonts w:ascii="Arial" w:hAnsi="Arial" w:cs="Arial"/>
                <w:sz w:val="18"/>
                <w:szCs w:val="18"/>
                <w:lang w:val="sr-Latn-CS" w:eastAsia="sr-Latn-CS"/>
              </w:rPr>
            </w:pPr>
          </w:p>
          <w:p w:rsidR="00F174B4" w:rsidRPr="00A272BA" w:rsidRDefault="00F174B4" w:rsidP="00F174B4">
            <w:pPr>
              <w:jc w:val="center"/>
              <w:rPr>
                <w:rFonts w:ascii="Arial" w:hAnsi="Arial" w:cs="Arial"/>
                <w:sz w:val="18"/>
                <w:szCs w:val="18"/>
                <w:lang w:val="sr-Latn-CS"/>
              </w:rPr>
            </w:pPr>
            <w:r w:rsidRPr="00A272BA">
              <w:rPr>
                <w:rFonts w:ascii="Arial" w:hAnsi="Arial" w:cs="Arial"/>
                <w:sz w:val="18"/>
                <w:szCs w:val="18"/>
                <w:lang w:val="sr-Latn-CS" w:eastAsia="sr-Latn-CS"/>
              </w:rPr>
              <w:t>29,250,000.00</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bCs/>
                <w:sz w:val="18"/>
                <w:szCs w:val="18"/>
                <w:lang w:val="sr-Latn-CS" w:eastAsia="sr-Latn-CS"/>
              </w:rPr>
            </w:pPr>
            <w:r w:rsidRPr="00A272BA">
              <w:rPr>
                <w:rFonts w:ascii="Arial" w:hAnsi="Arial" w:cs="Arial"/>
                <w:b/>
                <w:bCs/>
                <w:sz w:val="18"/>
                <w:szCs w:val="18"/>
                <w:lang w:val="sr-Latn-CS" w:eastAsia="sr-Latn-CS"/>
              </w:rPr>
              <w:t>Abu Dhabi fond</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Projekat vodosnabdijevanje</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Regionalni vodovod</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07.04.2010.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7.703.375,99</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7.681.282,12</w:t>
            </w:r>
          </w:p>
        </w:tc>
        <w:tc>
          <w:tcPr>
            <w:tcW w:w="7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5.572.770,18</w:t>
            </w:r>
          </w:p>
        </w:tc>
      </w:tr>
      <w:tr w:rsidR="0088638D" w:rsidRPr="00A272BA" w:rsidTr="00A272BA">
        <w:trPr>
          <w:trHeight w:val="510"/>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sz w:val="18"/>
                <w:szCs w:val="18"/>
                <w:lang w:val="sr-Latn-CS" w:eastAsia="sr-Latn-CS"/>
              </w:rPr>
            </w:pPr>
            <w:r w:rsidRPr="00A272BA">
              <w:rPr>
                <w:rFonts w:ascii="Arial" w:hAnsi="Arial" w:cs="Arial"/>
                <w:b/>
                <w:sz w:val="18"/>
                <w:szCs w:val="18"/>
                <w:lang w:val="sr-Latn-CS" w:eastAsia="sr-Latn-CS"/>
              </w:rPr>
              <w:t>Ceska Exportna banka</w:t>
            </w:r>
          </w:p>
        </w:tc>
        <w:tc>
          <w:tcPr>
            <w:tcW w:w="85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91249A">
            <w:pPr>
              <w:jc w:val="center"/>
              <w:rPr>
                <w:rFonts w:ascii="Arial" w:hAnsi="Arial" w:cs="Arial"/>
                <w:sz w:val="18"/>
                <w:szCs w:val="18"/>
                <w:lang w:val="sr-Latn-CS" w:eastAsia="sr-Latn-CS"/>
              </w:rPr>
            </w:pPr>
            <w:r w:rsidRPr="00A272BA">
              <w:rPr>
                <w:rFonts w:ascii="Arial" w:hAnsi="Arial" w:cs="Arial"/>
                <w:sz w:val="18"/>
                <w:szCs w:val="18"/>
                <w:lang w:val="sr-Latn-CS" w:eastAsia="sr-Latn-CS"/>
              </w:rPr>
              <w:t>Zavr</w:t>
            </w:r>
            <w:r w:rsidR="0091249A" w:rsidRPr="00A272BA">
              <w:rPr>
                <w:rFonts w:ascii="Arial" w:hAnsi="Arial" w:cs="Arial"/>
                <w:sz w:val="18"/>
                <w:szCs w:val="18"/>
                <w:lang w:val="sr-Latn-CS" w:eastAsia="sr-Latn-CS"/>
              </w:rPr>
              <w:t>š</w:t>
            </w:r>
            <w:r w:rsidRPr="00A272BA">
              <w:rPr>
                <w:rFonts w:ascii="Arial" w:hAnsi="Arial" w:cs="Arial"/>
                <w:sz w:val="18"/>
                <w:szCs w:val="18"/>
                <w:lang w:val="sr-Latn-CS" w:eastAsia="sr-Latn-CS"/>
              </w:rPr>
              <w:t>etak pruge Podgorica- Niksic</w:t>
            </w:r>
          </w:p>
        </w:tc>
        <w:tc>
          <w:tcPr>
            <w:tcW w:w="671"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ZICG</w:t>
            </w:r>
          </w:p>
        </w:tc>
        <w:tc>
          <w:tcPr>
            <w:tcW w:w="614"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12/12/2011</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5,000,000.00</w:t>
            </w:r>
          </w:p>
        </w:tc>
        <w:tc>
          <w:tcPr>
            <w:tcW w:w="797" w:type="pct"/>
            <w:tcBorders>
              <w:top w:val="nil"/>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4,978,101.65</w:t>
            </w:r>
          </w:p>
        </w:tc>
        <w:tc>
          <w:tcPr>
            <w:tcW w:w="754" w:type="pct"/>
            <w:tcBorders>
              <w:top w:val="nil"/>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sz w:val="18"/>
                <w:szCs w:val="18"/>
                <w:lang w:val="sr-Latn-CS" w:eastAsia="sr-Latn-CS"/>
              </w:rPr>
              <w:t>4,480,291.62</w:t>
            </w:r>
          </w:p>
        </w:tc>
      </w:tr>
      <w:tr w:rsidR="00F174B4" w:rsidRPr="0088638D" w:rsidTr="00A272BA">
        <w:trPr>
          <w:trHeight w:val="510"/>
        </w:trPr>
        <w:tc>
          <w:tcPr>
            <w:tcW w:w="265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sz w:val="18"/>
                <w:szCs w:val="18"/>
                <w:lang w:val="sr-Latn-CS" w:eastAsia="sr-Latn-CS"/>
              </w:rPr>
            </w:pPr>
            <w:r w:rsidRPr="00A272BA">
              <w:rPr>
                <w:rFonts w:ascii="Arial" w:hAnsi="Arial" w:cs="Arial"/>
                <w:b/>
                <w:sz w:val="18"/>
                <w:szCs w:val="18"/>
                <w:lang w:val="sr-Latn-CS" w:eastAsia="sr-Latn-CS"/>
              </w:rPr>
              <w:t>UKUPNO</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F174B4" w:rsidP="00F174B4">
            <w:pPr>
              <w:jc w:val="center"/>
              <w:rPr>
                <w:rFonts w:ascii="Arial" w:hAnsi="Arial" w:cs="Arial"/>
                <w:b/>
                <w:sz w:val="18"/>
                <w:szCs w:val="18"/>
                <w:lang w:val="sr-Latn-CS" w:eastAsia="sr-Latn-CS"/>
              </w:rPr>
            </w:pPr>
          </w:p>
          <w:p w:rsidR="00F174B4" w:rsidRPr="00A272BA" w:rsidRDefault="00342A84" w:rsidP="00F174B4">
            <w:pPr>
              <w:jc w:val="center"/>
              <w:rPr>
                <w:rFonts w:ascii="Arial" w:hAnsi="Arial" w:cs="Arial"/>
                <w:b/>
                <w:sz w:val="18"/>
                <w:szCs w:val="18"/>
                <w:lang w:val="sr-Latn-CS" w:eastAsia="sr-Latn-CS"/>
              </w:rPr>
            </w:pPr>
            <w:r w:rsidRPr="00A272BA">
              <w:rPr>
                <w:rFonts w:ascii="Arial" w:hAnsi="Arial" w:cs="Arial"/>
                <w:b/>
                <w:sz w:val="18"/>
                <w:szCs w:val="18"/>
                <w:lang w:val="sr-Latn-CS" w:eastAsia="sr-Latn-CS"/>
              </w:rPr>
              <w:t>451.532.373,99</w:t>
            </w:r>
          </w:p>
          <w:p w:rsidR="00F174B4" w:rsidRPr="00A272BA" w:rsidRDefault="00F174B4" w:rsidP="00F174B4">
            <w:pPr>
              <w:jc w:val="center"/>
              <w:rPr>
                <w:rFonts w:ascii="Arial" w:hAnsi="Arial" w:cs="Arial"/>
                <w:b/>
                <w:sz w:val="18"/>
                <w:szCs w:val="18"/>
                <w:lang w:val="sr-Latn-CS" w:eastAsia="sr-Latn-CS"/>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F174B4" w:rsidRPr="00A272BA" w:rsidRDefault="00342A84" w:rsidP="00342A84">
            <w:pPr>
              <w:jc w:val="center"/>
              <w:rPr>
                <w:rFonts w:ascii="Arial" w:hAnsi="Arial" w:cs="Arial"/>
                <w:b/>
                <w:sz w:val="18"/>
                <w:szCs w:val="18"/>
                <w:lang w:val="sr-Latn-CS" w:eastAsia="sr-Latn-CS"/>
              </w:rPr>
            </w:pPr>
            <w:r w:rsidRPr="00A272BA">
              <w:rPr>
                <w:rFonts w:ascii="Arial" w:hAnsi="Arial" w:cs="Arial"/>
                <w:b/>
                <w:sz w:val="18"/>
                <w:szCs w:val="18"/>
                <w:lang w:val="sr-Latn-CS" w:eastAsia="sr-Latn-CS"/>
              </w:rPr>
              <w:t>3</w:t>
            </w:r>
            <w:r w:rsidR="00F174B4" w:rsidRPr="00A272BA">
              <w:rPr>
                <w:rFonts w:ascii="Arial" w:hAnsi="Arial" w:cs="Arial"/>
                <w:b/>
                <w:sz w:val="18"/>
                <w:szCs w:val="18"/>
                <w:lang w:val="sr-Latn-CS" w:eastAsia="sr-Latn-CS"/>
              </w:rPr>
              <w:t>41.</w:t>
            </w:r>
            <w:r w:rsidRPr="00A272BA">
              <w:rPr>
                <w:rFonts w:ascii="Arial" w:hAnsi="Arial" w:cs="Arial"/>
                <w:b/>
                <w:sz w:val="18"/>
                <w:szCs w:val="18"/>
                <w:lang w:val="sr-Latn-CS" w:eastAsia="sr-Latn-CS"/>
              </w:rPr>
              <w:t>612</w:t>
            </w:r>
            <w:r w:rsidR="00F174B4" w:rsidRPr="00A272BA">
              <w:rPr>
                <w:rFonts w:ascii="Arial" w:hAnsi="Arial" w:cs="Arial"/>
                <w:b/>
                <w:sz w:val="18"/>
                <w:szCs w:val="18"/>
                <w:lang w:val="sr-Latn-CS" w:eastAsia="sr-Latn-CS"/>
              </w:rPr>
              <w:t>.</w:t>
            </w:r>
            <w:r w:rsidRPr="00A272BA">
              <w:rPr>
                <w:rFonts w:ascii="Arial" w:hAnsi="Arial" w:cs="Arial"/>
                <w:b/>
                <w:sz w:val="18"/>
                <w:szCs w:val="18"/>
                <w:lang w:val="sr-Latn-CS" w:eastAsia="sr-Latn-CS"/>
              </w:rPr>
              <w:t>491</w:t>
            </w:r>
            <w:r w:rsidR="00F174B4" w:rsidRPr="00A272BA">
              <w:rPr>
                <w:rFonts w:ascii="Arial" w:hAnsi="Arial" w:cs="Arial"/>
                <w:b/>
                <w:sz w:val="18"/>
                <w:szCs w:val="18"/>
                <w:lang w:val="sr-Latn-CS" w:eastAsia="sr-Latn-CS"/>
              </w:rPr>
              <w:t>,46</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F174B4" w:rsidRPr="00A272BA" w:rsidRDefault="00F174B4" w:rsidP="00F174B4">
            <w:pPr>
              <w:jc w:val="center"/>
              <w:rPr>
                <w:rFonts w:ascii="Arial" w:hAnsi="Arial" w:cs="Arial"/>
                <w:b/>
                <w:sz w:val="18"/>
                <w:szCs w:val="18"/>
                <w:lang w:val="sr-Latn-CS" w:eastAsia="sr-Latn-CS"/>
              </w:rPr>
            </w:pPr>
          </w:p>
          <w:p w:rsidR="00F174B4" w:rsidRPr="00A272BA" w:rsidRDefault="00342A84" w:rsidP="00F174B4">
            <w:pPr>
              <w:jc w:val="center"/>
              <w:rPr>
                <w:rFonts w:ascii="Arial" w:hAnsi="Arial" w:cs="Arial"/>
                <w:b/>
                <w:sz w:val="18"/>
                <w:szCs w:val="18"/>
                <w:lang w:val="sr-Latn-CS" w:eastAsia="sr-Latn-CS"/>
              </w:rPr>
            </w:pPr>
            <w:r w:rsidRPr="00A272BA">
              <w:rPr>
                <w:rFonts w:ascii="Arial" w:hAnsi="Arial" w:cs="Arial"/>
                <w:b/>
                <w:sz w:val="18"/>
                <w:szCs w:val="18"/>
                <w:lang w:val="sr-Latn-CS" w:eastAsia="sr-Latn-CS"/>
              </w:rPr>
              <w:t>289.553.234,67</w:t>
            </w:r>
          </w:p>
          <w:p w:rsidR="00F174B4" w:rsidRPr="00A272BA" w:rsidRDefault="00F174B4" w:rsidP="00F174B4">
            <w:pPr>
              <w:jc w:val="center"/>
              <w:rPr>
                <w:rFonts w:ascii="Arial" w:hAnsi="Arial" w:cs="Arial"/>
                <w:b/>
                <w:sz w:val="18"/>
                <w:szCs w:val="18"/>
                <w:lang w:val="sr-Latn-CS" w:eastAsia="sr-Latn-CS"/>
              </w:rPr>
            </w:pPr>
          </w:p>
        </w:tc>
      </w:tr>
    </w:tbl>
    <w:p w:rsidR="004A7292" w:rsidRDefault="004A7292" w:rsidP="00A272BA">
      <w:pPr>
        <w:pStyle w:val="BodyText"/>
      </w:pPr>
    </w:p>
    <w:p w:rsidR="004A7292" w:rsidRDefault="004A7292" w:rsidP="00F174B4">
      <w:pPr>
        <w:pStyle w:val="BodyText"/>
        <w:ind w:firstLine="720"/>
      </w:pPr>
    </w:p>
    <w:p w:rsidR="00F174B4" w:rsidRPr="0088638D" w:rsidRDefault="00F174B4" w:rsidP="008B3B48">
      <w:pPr>
        <w:pStyle w:val="BodyText"/>
        <w:ind w:firstLine="720"/>
        <w:rPr>
          <w:rFonts w:ascii="Arial" w:hAnsi="Arial" w:cs="Arial"/>
        </w:rPr>
      </w:pPr>
      <w:r w:rsidRPr="0088638D">
        <w:rPr>
          <w:rFonts w:ascii="Arial" w:hAnsi="Arial" w:cs="Arial"/>
        </w:rPr>
        <w:t>Angažovani iznos garancija koje je Vlada Crne Gore izdala za zajmove kod domaćih kreditora iznosi oko 30,16 miliona eura, dok je stanje duga po istim 23,94 mil. eura ili 0,72% BDP-a, odnosno 1,23% državnog duga</w:t>
      </w:r>
      <w:r w:rsidR="0003167E" w:rsidRPr="0088638D">
        <w:rPr>
          <w:rFonts w:ascii="Arial" w:hAnsi="Arial" w:cs="Arial"/>
        </w:rPr>
        <w:t xml:space="preserve"> (Tabela br.5)</w:t>
      </w:r>
      <w:r w:rsidRPr="0088638D">
        <w:rPr>
          <w:rFonts w:ascii="Arial" w:hAnsi="Arial" w:cs="Arial"/>
        </w:rPr>
        <w:t>.</w:t>
      </w:r>
    </w:p>
    <w:p w:rsidR="00D46406" w:rsidRPr="0088638D" w:rsidRDefault="00D46406" w:rsidP="00373E94">
      <w:pPr>
        <w:pStyle w:val="BodyText"/>
        <w:ind w:firstLine="720"/>
        <w:rPr>
          <w:rFonts w:ascii="Arial" w:hAnsi="Arial" w:cs="Arial"/>
        </w:rPr>
      </w:pPr>
    </w:p>
    <w:p w:rsidR="00F174B4" w:rsidRPr="0088638D" w:rsidRDefault="0003167E" w:rsidP="00F174B4">
      <w:pPr>
        <w:jc w:val="both"/>
        <w:rPr>
          <w:rFonts w:ascii="Arial" w:hAnsi="Arial" w:cs="Arial"/>
          <w:lang w:val="pl-PL"/>
        </w:rPr>
      </w:pPr>
      <w:r w:rsidRPr="0088638D">
        <w:rPr>
          <w:rFonts w:ascii="Arial" w:hAnsi="Arial" w:cs="Arial"/>
          <w:lang w:val="pl-PL"/>
        </w:rPr>
        <w:t>Tabela 5</w:t>
      </w:r>
      <w:r w:rsidR="00D46406" w:rsidRPr="0088638D">
        <w:rPr>
          <w:rFonts w:ascii="Arial" w:hAnsi="Arial" w:cs="Arial"/>
          <w:lang w:val="pl-PL"/>
        </w:rPr>
        <w:t>. Izdate domaće garancije (u mil.eura)</w:t>
      </w:r>
    </w:p>
    <w:tbl>
      <w:tblPr>
        <w:tblW w:w="10170" w:type="dxa"/>
        <w:tblInd w:w="-522" w:type="dxa"/>
        <w:tblLayout w:type="fixed"/>
        <w:tblLook w:val="04A0"/>
      </w:tblPr>
      <w:tblGrid>
        <w:gridCol w:w="990"/>
        <w:gridCol w:w="2070"/>
        <w:gridCol w:w="1350"/>
        <w:gridCol w:w="1350"/>
        <w:gridCol w:w="1440"/>
        <w:gridCol w:w="1530"/>
        <w:gridCol w:w="1440"/>
      </w:tblGrid>
      <w:tr w:rsidR="00FE596B" w:rsidRPr="0088638D" w:rsidTr="00FE596B">
        <w:trPr>
          <w:trHeight w:val="1320"/>
        </w:trPr>
        <w:tc>
          <w:tcPr>
            <w:tcW w:w="99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174B4" w:rsidRPr="0088638D" w:rsidRDefault="00F174B4" w:rsidP="00F174B4">
            <w:pPr>
              <w:rPr>
                <w:rFonts w:ascii="Arial" w:hAnsi="Arial" w:cs="Arial"/>
                <w:b/>
                <w:bCs/>
                <w:sz w:val="18"/>
                <w:szCs w:val="18"/>
              </w:rPr>
            </w:pPr>
            <w:r w:rsidRPr="0088638D">
              <w:rPr>
                <w:rFonts w:ascii="Arial" w:hAnsi="Arial" w:cs="Arial"/>
                <w:b/>
                <w:bCs/>
                <w:sz w:val="18"/>
                <w:szCs w:val="18"/>
              </w:rPr>
              <w:t>RED.BROJ</w:t>
            </w:r>
          </w:p>
        </w:tc>
        <w:tc>
          <w:tcPr>
            <w:tcW w:w="207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KREDITOR</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ZAJMOPRIMAC</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DATUM POTPISIVANJA GARANCIJE</w:t>
            </w:r>
          </w:p>
        </w:tc>
        <w:tc>
          <w:tcPr>
            <w:tcW w:w="144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POTPISANI IZNOS (EUR)</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POVUČENI IZNOS SREDSTAVA DO 31.12.2013. (EUR)</w:t>
            </w:r>
          </w:p>
        </w:tc>
        <w:tc>
          <w:tcPr>
            <w:tcW w:w="144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Stanje duga na 31.12.2013. (EUR)</w:t>
            </w:r>
          </w:p>
        </w:tc>
      </w:tr>
      <w:tr w:rsidR="00FE596B" w:rsidRPr="0088638D" w:rsidTr="00FE596B">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rPr>
                <w:rFonts w:ascii="Arial" w:hAnsi="Arial" w:cs="Arial"/>
                <w:sz w:val="18"/>
                <w:szCs w:val="18"/>
              </w:rPr>
            </w:pPr>
            <w:r w:rsidRPr="0088638D">
              <w:rPr>
                <w:rFonts w:ascii="Arial" w:hAnsi="Arial" w:cs="Arial"/>
                <w:sz w:val="18"/>
                <w:szCs w:val="18"/>
              </w:rPr>
              <w:t> </w:t>
            </w:r>
          </w:p>
        </w:tc>
        <w:tc>
          <w:tcPr>
            <w:tcW w:w="2070" w:type="dxa"/>
            <w:tcBorders>
              <w:top w:val="nil"/>
              <w:left w:val="nil"/>
              <w:bottom w:val="nil"/>
              <w:right w:val="nil"/>
            </w:tcBorders>
            <w:shd w:val="clear" w:color="auto" w:fill="auto"/>
            <w:vAlign w:val="bottom"/>
            <w:hideMark/>
          </w:tcPr>
          <w:p w:rsidR="00F174B4" w:rsidRPr="0088638D" w:rsidRDefault="00F174B4" w:rsidP="00F174B4">
            <w:pPr>
              <w:rPr>
                <w:rFonts w:ascii="Arial" w:hAnsi="Arial" w:cs="Arial"/>
                <w:sz w:val="18"/>
                <w:szCs w:val="18"/>
              </w:rPr>
            </w:pPr>
          </w:p>
        </w:tc>
        <w:tc>
          <w:tcPr>
            <w:tcW w:w="1350" w:type="dxa"/>
            <w:tcBorders>
              <w:top w:val="nil"/>
              <w:left w:val="nil"/>
              <w:bottom w:val="nil"/>
              <w:right w:val="nil"/>
            </w:tcBorders>
            <w:shd w:val="clear" w:color="auto" w:fill="auto"/>
            <w:vAlign w:val="bottom"/>
            <w:hideMark/>
          </w:tcPr>
          <w:p w:rsidR="00F174B4" w:rsidRPr="0088638D" w:rsidRDefault="00F174B4" w:rsidP="00F174B4">
            <w:pPr>
              <w:rPr>
                <w:rFonts w:ascii="Arial" w:hAnsi="Arial" w:cs="Arial"/>
                <w:sz w:val="18"/>
                <w:szCs w:val="18"/>
              </w:rPr>
            </w:pPr>
          </w:p>
        </w:tc>
        <w:tc>
          <w:tcPr>
            <w:tcW w:w="1350" w:type="dxa"/>
            <w:tcBorders>
              <w:top w:val="nil"/>
              <w:left w:val="nil"/>
              <w:bottom w:val="nil"/>
              <w:right w:val="nil"/>
            </w:tcBorders>
            <w:shd w:val="clear" w:color="auto" w:fill="auto"/>
            <w:vAlign w:val="bottom"/>
            <w:hideMark/>
          </w:tcPr>
          <w:p w:rsidR="00F174B4" w:rsidRPr="0088638D" w:rsidRDefault="00F174B4" w:rsidP="00F174B4">
            <w:pPr>
              <w:jc w:val="center"/>
              <w:rPr>
                <w:rFonts w:ascii="Arial" w:hAnsi="Arial" w:cs="Arial"/>
                <w:sz w:val="18"/>
                <w:szCs w:val="18"/>
              </w:rPr>
            </w:pPr>
          </w:p>
        </w:tc>
        <w:tc>
          <w:tcPr>
            <w:tcW w:w="1440" w:type="dxa"/>
            <w:tcBorders>
              <w:top w:val="nil"/>
              <w:left w:val="nil"/>
              <w:bottom w:val="nil"/>
              <w:right w:val="nil"/>
            </w:tcBorders>
            <w:shd w:val="clear" w:color="auto" w:fill="auto"/>
            <w:vAlign w:val="bottom"/>
            <w:hideMark/>
          </w:tcPr>
          <w:p w:rsidR="00F174B4" w:rsidRPr="0088638D" w:rsidRDefault="00F174B4" w:rsidP="00F174B4">
            <w:pPr>
              <w:rPr>
                <w:rFonts w:ascii="Arial" w:hAnsi="Arial" w:cs="Arial"/>
                <w:sz w:val="18"/>
                <w:szCs w:val="18"/>
              </w:rPr>
            </w:pPr>
          </w:p>
        </w:tc>
        <w:tc>
          <w:tcPr>
            <w:tcW w:w="1530" w:type="dxa"/>
            <w:tcBorders>
              <w:top w:val="nil"/>
              <w:left w:val="nil"/>
              <w:bottom w:val="nil"/>
              <w:right w:val="nil"/>
            </w:tcBorders>
            <w:shd w:val="clear" w:color="auto" w:fill="auto"/>
            <w:vAlign w:val="bottom"/>
            <w:hideMark/>
          </w:tcPr>
          <w:p w:rsidR="00F174B4" w:rsidRPr="0088638D" w:rsidRDefault="00F174B4" w:rsidP="00F174B4">
            <w:pPr>
              <w:rPr>
                <w:rFonts w:ascii="Arial" w:hAnsi="Arial" w:cs="Arial"/>
                <w:sz w:val="18"/>
                <w:szCs w:val="18"/>
              </w:rPr>
            </w:pPr>
          </w:p>
        </w:tc>
        <w:tc>
          <w:tcPr>
            <w:tcW w:w="1440" w:type="dxa"/>
            <w:tcBorders>
              <w:top w:val="nil"/>
              <w:left w:val="nil"/>
              <w:bottom w:val="nil"/>
              <w:right w:val="nil"/>
            </w:tcBorders>
            <w:shd w:val="clear" w:color="auto" w:fill="auto"/>
            <w:vAlign w:val="bottom"/>
            <w:hideMark/>
          </w:tcPr>
          <w:p w:rsidR="00F174B4" w:rsidRPr="0088638D" w:rsidRDefault="00F174B4" w:rsidP="00F174B4">
            <w:pPr>
              <w:rPr>
                <w:rFonts w:ascii="Arial" w:hAnsi="Arial" w:cs="Arial"/>
                <w:sz w:val="18"/>
                <w:szCs w:val="18"/>
              </w:rPr>
            </w:pPr>
          </w:p>
        </w:tc>
      </w:tr>
      <w:tr w:rsidR="00FE596B" w:rsidRPr="0088638D" w:rsidTr="00FE596B">
        <w:trPr>
          <w:trHeight w:val="69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NLB Montenegrobanka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Rudnici boksita a.d. Nikšič</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09.06.2009.</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5,000,000.00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5,000,000.00</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5,000,000.00</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2</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NLB Montenegrobanka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Montenegro Airlines</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25.02.2010.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1,800,000.00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1,800,000.00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1,487,282.08</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3</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NLB Montenegrobanka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Montenegro Airlines</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13.12.2011.</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2,400,000.00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1,410,000.00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1,410,000.00</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4</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NLB Montenegrobanka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Melgonia-Primorka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22.12.2010.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4,000,000.00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4,000,000.00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4,000,000.00</w:t>
            </w:r>
          </w:p>
        </w:tc>
      </w:tr>
      <w:tr w:rsidR="00FE596B" w:rsidRPr="0088638D" w:rsidTr="00FE596B">
        <w:trPr>
          <w:trHeight w:val="548"/>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5</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Hipotekarna banka a.d.</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Montenegro Airlines</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31.12.2009.</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2,700,000.00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2,700,000.00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2,700,000.00</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lastRenderedPageBreak/>
              <w:t>6</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Hipotekarna banka a.d.</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MI-RAI GROUP DOO NIKŠIĆ</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27.07.2010.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800,000.00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800,000.00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0.00</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7</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Hipotekarna banka a.d.</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Montenegro Airlines</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06.05.2011.</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2,000,000.00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2,000,000.00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1,802,533.54</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8</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Hipotekarna banka a.d.</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MI-RAI GROUP DOO NIKŠIĆ</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13.09.2011.</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700,000.00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700,000.00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0.00</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9</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Erste banka a.d. Podgorica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Pobjeda a.d. Podgorica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01.07.2010.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3,500,000.00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3,500,000.00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3,500,000.00</w:t>
            </w:r>
          </w:p>
        </w:tc>
      </w:tr>
      <w:tr w:rsidR="00FE596B" w:rsidRPr="0088638D" w:rsidTr="00FE596B">
        <w:trPr>
          <w:trHeight w:val="5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10</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Erste banka a.d. Podgorica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Fabrika elektroda "Piva" Plužine</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27.07.2011.</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1,500,000.00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1,500,000.00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0.00</w:t>
            </w:r>
          </w:p>
        </w:tc>
      </w:tr>
      <w:tr w:rsidR="00FE596B" w:rsidRPr="0088638D" w:rsidTr="00FE596B">
        <w:trPr>
          <w:trHeight w:val="593"/>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11</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 xml:space="preserve">Podgorička banka </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Pobjeda a.d. Podgorica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10.07.2009.</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2,970,000.00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2,970,000.00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1,446,502.68</w:t>
            </w:r>
          </w:p>
        </w:tc>
      </w:tr>
      <w:tr w:rsidR="00FE596B" w:rsidRPr="0088638D" w:rsidTr="00FE596B">
        <w:trPr>
          <w:trHeight w:val="6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12</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Investiciono razvojni fond AD</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Crnogorska plovidba a.d. Kotor</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30.12.2011.</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1,500,000.00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1,000,000.00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518,297.63</w:t>
            </w:r>
          </w:p>
        </w:tc>
      </w:tr>
      <w:tr w:rsidR="00FE596B" w:rsidRPr="0088638D" w:rsidTr="00FE596B">
        <w:trPr>
          <w:trHeight w:val="9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13</w:t>
            </w:r>
          </w:p>
        </w:tc>
        <w:tc>
          <w:tcPr>
            <w:tcW w:w="207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Crnogorska komercijalna banka a.d. Podgorica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Jadransko brodogradilište a.d. Bijela</w:t>
            </w:r>
          </w:p>
        </w:tc>
        <w:tc>
          <w:tcPr>
            <w:tcW w:w="135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19.01.2012.</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1,050,000.00</w:t>
            </w:r>
          </w:p>
        </w:tc>
        <w:tc>
          <w:tcPr>
            <w:tcW w:w="153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1,050,000.00</w:t>
            </w:r>
          </w:p>
        </w:tc>
        <w:tc>
          <w:tcPr>
            <w:tcW w:w="1440" w:type="dxa"/>
            <w:tcBorders>
              <w:top w:val="nil"/>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875,000.00</w:t>
            </w:r>
          </w:p>
        </w:tc>
      </w:tr>
      <w:tr w:rsidR="00FE596B" w:rsidRPr="0088638D" w:rsidTr="00FE596B">
        <w:trPr>
          <w:trHeight w:val="615"/>
        </w:trPr>
        <w:tc>
          <w:tcPr>
            <w:tcW w:w="990" w:type="dxa"/>
            <w:tcBorders>
              <w:top w:val="nil"/>
              <w:left w:val="single" w:sz="4" w:space="0" w:color="auto"/>
              <w:bottom w:val="nil"/>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14</w:t>
            </w:r>
          </w:p>
        </w:tc>
        <w:tc>
          <w:tcPr>
            <w:tcW w:w="2070" w:type="dxa"/>
            <w:tcBorders>
              <w:top w:val="nil"/>
              <w:left w:val="nil"/>
              <w:bottom w:val="nil"/>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Hypo Alpe Adria banka</w:t>
            </w:r>
          </w:p>
        </w:tc>
        <w:tc>
          <w:tcPr>
            <w:tcW w:w="1350" w:type="dxa"/>
            <w:tcBorders>
              <w:top w:val="nil"/>
              <w:left w:val="nil"/>
              <w:bottom w:val="nil"/>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Lenka a.d. Bijelo Polje</w:t>
            </w:r>
          </w:p>
        </w:tc>
        <w:tc>
          <w:tcPr>
            <w:tcW w:w="1350" w:type="dxa"/>
            <w:tcBorders>
              <w:top w:val="nil"/>
              <w:left w:val="nil"/>
              <w:bottom w:val="nil"/>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30.12.2011.</w:t>
            </w:r>
          </w:p>
        </w:tc>
        <w:tc>
          <w:tcPr>
            <w:tcW w:w="1440" w:type="dxa"/>
            <w:tcBorders>
              <w:top w:val="nil"/>
              <w:left w:val="nil"/>
              <w:bottom w:val="nil"/>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525,000.00</w:t>
            </w:r>
          </w:p>
        </w:tc>
        <w:tc>
          <w:tcPr>
            <w:tcW w:w="1530" w:type="dxa"/>
            <w:tcBorders>
              <w:top w:val="nil"/>
              <w:left w:val="nil"/>
              <w:bottom w:val="nil"/>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525,000.00</w:t>
            </w:r>
          </w:p>
        </w:tc>
        <w:tc>
          <w:tcPr>
            <w:tcW w:w="1440" w:type="dxa"/>
            <w:tcBorders>
              <w:top w:val="nil"/>
              <w:left w:val="nil"/>
              <w:bottom w:val="nil"/>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0.00</w:t>
            </w:r>
          </w:p>
        </w:tc>
      </w:tr>
      <w:tr w:rsidR="00FE596B" w:rsidRPr="0088638D" w:rsidTr="00FE596B">
        <w:trPr>
          <w:trHeight w:val="6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15</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Prva banka a.d. Podgorica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Montenegro Airlines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20.02.2013.</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1,200,000.00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1,200,000.00</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174B4" w:rsidRPr="0088638D" w:rsidRDefault="00F174B4" w:rsidP="00F174B4">
            <w:pPr>
              <w:jc w:val="right"/>
              <w:rPr>
                <w:rFonts w:ascii="Arial" w:hAnsi="Arial" w:cs="Arial"/>
                <w:sz w:val="18"/>
                <w:szCs w:val="18"/>
              </w:rPr>
            </w:pPr>
            <w:r w:rsidRPr="0088638D">
              <w:rPr>
                <w:rFonts w:ascii="Arial" w:hAnsi="Arial" w:cs="Arial"/>
                <w:sz w:val="18"/>
                <w:szCs w:val="18"/>
              </w:rPr>
              <w:t>1,200,000.00</w:t>
            </w:r>
          </w:p>
        </w:tc>
      </w:tr>
      <w:tr w:rsidR="00FE596B" w:rsidRPr="0088638D" w:rsidTr="00FE596B">
        <w:trPr>
          <w:trHeight w:val="520"/>
        </w:trPr>
        <w:tc>
          <w:tcPr>
            <w:tcW w:w="99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 </w:t>
            </w:r>
          </w:p>
        </w:tc>
        <w:tc>
          <w:tcPr>
            <w:tcW w:w="207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b/>
                <w:bCs/>
                <w:sz w:val="18"/>
                <w:szCs w:val="18"/>
              </w:rPr>
            </w:pPr>
            <w:r w:rsidRPr="0088638D">
              <w:rPr>
                <w:rFonts w:ascii="Arial" w:hAnsi="Arial" w:cs="Arial"/>
                <w:b/>
                <w:bCs/>
                <w:sz w:val="18"/>
                <w:szCs w:val="18"/>
              </w:rPr>
              <w:t>UKUPNO</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 </w:t>
            </w:r>
          </w:p>
        </w:tc>
        <w:tc>
          <w:tcPr>
            <w:tcW w:w="1350" w:type="dxa"/>
            <w:tcBorders>
              <w:top w:val="single" w:sz="8" w:space="0" w:color="auto"/>
              <w:left w:val="nil"/>
              <w:bottom w:val="single" w:sz="8" w:space="0" w:color="auto"/>
              <w:right w:val="nil"/>
            </w:tcBorders>
            <w:shd w:val="clear" w:color="auto" w:fill="auto"/>
            <w:vAlign w:val="bottom"/>
            <w:hideMark/>
          </w:tcPr>
          <w:p w:rsidR="00F174B4" w:rsidRPr="0088638D" w:rsidRDefault="00F174B4" w:rsidP="00F174B4">
            <w:pPr>
              <w:jc w:val="center"/>
              <w:rPr>
                <w:rFonts w:ascii="Arial" w:hAnsi="Arial" w:cs="Arial"/>
                <w:sz w:val="18"/>
                <w:szCs w:val="18"/>
              </w:rPr>
            </w:pPr>
            <w:r w:rsidRPr="0088638D">
              <w:rPr>
                <w:rFonts w:ascii="Arial" w:hAnsi="Arial" w:cs="Arial"/>
                <w:sz w:val="18"/>
                <w:szCs w:val="18"/>
              </w:rPr>
              <w:t> </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174B4" w:rsidRPr="0088638D" w:rsidRDefault="00F174B4" w:rsidP="00F174B4">
            <w:pPr>
              <w:jc w:val="right"/>
              <w:rPr>
                <w:rFonts w:ascii="Arial" w:hAnsi="Arial" w:cs="Arial"/>
                <w:b/>
                <w:bCs/>
                <w:sz w:val="18"/>
                <w:szCs w:val="18"/>
              </w:rPr>
            </w:pPr>
            <w:r w:rsidRPr="0088638D">
              <w:rPr>
                <w:rFonts w:ascii="Arial" w:hAnsi="Arial" w:cs="Arial"/>
                <w:b/>
                <w:bCs/>
                <w:sz w:val="18"/>
                <w:szCs w:val="18"/>
              </w:rPr>
              <w:t>31,645,000.00</w:t>
            </w:r>
          </w:p>
        </w:tc>
        <w:tc>
          <w:tcPr>
            <w:tcW w:w="1530" w:type="dxa"/>
            <w:tcBorders>
              <w:top w:val="single" w:sz="8" w:space="0" w:color="auto"/>
              <w:left w:val="nil"/>
              <w:bottom w:val="single" w:sz="8" w:space="0" w:color="auto"/>
              <w:right w:val="single" w:sz="8" w:space="0" w:color="auto"/>
            </w:tcBorders>
            <w:shd w:val="clear" w:color="auto" w:fill="auto"/>
            <w:vAlign w:val="bottom"/>
            <w:hideMark/>
          </w:tcPr>
          <w:p w:rsidR="00F174B4" w:rsidRPr="0088638D" w:rsidRDefault="00F174B4" w:rsidP="00F174B4">
            <w:pPr>
              <w:jc w:val="right"/>
              <w:rPr>
                <w:rFonts w:ascii="Arial" w:hAnsi="Arial" w:cs="Arial"/>
                <w:b/>
                <w:bCs/>
                <w:sz w:val="18"/>
                <w:szCs w:val="18"/>
              </w:rPr>
            </w:pPr>
            <w:r w:rsidRPr="0088638D">
              <w:rPr>
                <w:rFonts w:ascii="Arial" w:hAnsi="Arial" w:cs="Arial"/>
                <w:b/>
                <w:bCs/>
                <w:sz w:val="18"/>
                <w:szCs w:val="18"/>
              </w:rPr>
              <w:t>30,155,000.00</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F174B4" w:rsidRPr="0088638D" w:rsidRDefault="00F174B4" w:rsidP="00F174B4">
            <w:pPr>
              <w:jc w:val="right"/>
              <w:rPr>
                <w:rFonts w:ascii="Arial" w:hAnsi="Arial" w:cs="Arial"/>
                <w:b/>
                <w:bCs/>
                <w:sz w:val="18"/>
                <w:szCs w:val="18"/>
              </w:rPr>
            </w:pPr>
            <w:r w:rsidRPr="0088638D">
              <w:rPr>
                <w:rFonts w:ascii="Arial" w:hAnsi="Arial" w:cs="Arial"/>
                <w:b/>
                <w:bCs/>
                <w:sz w:val="18"/>
                <w:szCs w:val="18"/>
              </w:rPr>
              <w:t>23,939,615.93</w:t>
            </w:r>
          </w:p>
        </w:tc>
      </w:tr>
    </w:tbl>
    <w:p w:rsidR="00F174B4" w:rsidRPr="00452904" w:rsidRDefault="00F174B4" w:rsidP="00F174B4">
      <w:pPr>
        <w:rPr>
          <w:lang w:val="pl-PL"/>
        </w:rPr>
      </w:pPr>
    </w:p>
    <w:p w:rsidR="00373E94" w:rsidRPr="002E3E40" w:rsidRDefault="00373E94" w:rsidP="000032CC">
      <w:pPr>
        <w:ind w:firstLine="360"/>
        <w:jc w:val="both"/>
        <w:rPr>
          <w:rFonts w:ascii="Arial" w:hAnsi="Arial" w:cs="Arial"/>
          <w:lang w:val="sr-Latn-CS"/>
        </w:rPr>
      </w:pPr>
      <w:r w:rsidRPr="002E3E40">
        <w:rPr>
          <w:rFonts w:ascii="Arial" w:hAnsi="Arial" w:cs="Arial"/>
          <w:lang w:val="sr-Latn-CS"/>
        </w:rPr>
        <w:t>Crna Gora je tokom 2013. godine potpisala Ugovore o garanciji u ukupnom iznosu od oko 66,00 mil. € i to:</w:t>
      </w:r>
    </w:p>
    <w:p w:rsidR="008B3B48" w:rsidRPr="002E3E40" w:rsidRDefault="00373E94" w:rsidP="008B3B48">
      <w:pPr>
        <w:pStyle w:val="ListParagraph"/>
        <w:numPr>
          <w:ilvl w:val="0"/>
          <w:numId w:val="10"/>
        </w:numPr>
        <w:jc w:val="both"/>
        <w:rPr>
          <w:rFonts w:ascii="Arial" w:hAnsi="Arial" w:cs="Arial"/>
          <w:sz w:val="24"/>
          <w:szCs w:val="24"/>
          <w:lang w:val="sr-Latn-CS"/>
        </w:rPr>
      </w:pPr>
      <w:r w:rsidRPr="002E3E40">
        <w:rPr>
          <w:rFonts w:ascii="Arial" w:hAnsi="Arial" w:cs="Arial"/>
          <w:bCs/>
          <w:sz w:val="24"/>
          <w:szCs w:val="24"/>
          <w:lang w:val="sr-Latn-CS"/>
        </w:rPr>
        <w:t>Njemačka banka za razvoj (KfW) (25,0 mil. €)</w:t>
      </w:r>
      <w:r w:rsidR="008B3B48" w:rsidRPr="002E3E40">
        <w:rPr>
          <w:rFonts w:ascii="Arial" w:hAnsi="Arial" w:cs="Arial"/>
          <w:sz w:val="24"/>
          <w:szCs w:val="24"/>
          <w:lang w:val="sr-Latn-CS"/>
        </w:rPr>
        <w:t>, g</w:t>
      </w:r>
      <w:r w:rsidRPr="002E3E40">
        <w:rPr>
          <w:rFonts w:ascii="Arial" w:hAnsi="Arial" w:cs="Arial"/>
          <w:sz w:val="24"/>
          <w:szCs w:val="24"/>
          <w:lang w:val="sr-Latn-BA"/>
        </w:rPr>
        <w:t xml:space="preserve">arancija je izdata 08.05.2013. godine, za kreditni aranžman između KfW-a i Crnogorskog elektroprenosnog sistema, namijenjenog za finansiranje dijela projekta </w:t>
      </w:r>
      <w:r w:rsidRPr="002E3E40">
        <w:rPr>
          <w:rFonts w:ascii="Arial" w:hAnsi="Arial" w:cs="Arial"/>
          <w:bCs/>
          <w:sz w:val="24"/>
          <w:szCs w:val="24"/>
          <w:lang w:val="sr-Latn-CS"/>
        </w:rPr>
        <w:t>izgradnje trafostanica u Lastvi Grbaljskoj, kao i, kao i rekonstrukciju trafostanice u Pljevljima, i postavljanje 150 kilometra visokonaponskog 400 kV kabla između Lastve Grbaljske i Pljevalja.</w:t>
      </w:r>
    </w:p>
    <w:p w:rsidR="008B3B48" w:rsidRPr="002E3E40" w:rsidRDefault="00373E94" w:rsidP="008B3B48">
      <w:pPr>
        <w:pStyle w:val="ListParagraph"/>
        <w:numPr>
          <w:ilvl w:val="0"/>
          <w:numId w:val="10"/>
        </w:numPr>
        <w:jc w:val="both"/>
        <w:rPr>
          <w:rFonts w:ascii="Arial" w:hAnsi="Arial" w:cs="Arial"/>
          <w:sz w:val="24"/>
          <w:szCs w:val="24"/>
          <w:lang w:val="sr-Latn-CS"/>
        </w:rPr>
      </w:pPr>
      <w:r w:rsidRPr="002E3E40">
        <w:rPr>
          <w:rFonts w:ascii="Arial" w:hAnsi="Arial" w:cs="Arial"/>
          <w:sz w:val="24"/>
          <w:szCs w:val="24"/>
          <w:lang w:val="sr-Latn-BA"/>
        </w:rPr>
        <w:t>Kineska Exim banka (46.4 mil. US dolara)</w:t>
      </w:r>
      <w:r w:rsidR="008B3B48" w:rsidRPr="002E3E40">
        <w:rPr>
          <w:rFonts w:ascii="Arial" w:hAnsi="Arial" w:cs="Arial"/>
          <w:sz w:val="24"/>
          <w:szCs w:val="24"/>
          <w:lang w:val="sr-Latn-BA"/>
        </w:rPr>
        <w:t>, g</w:t>
      </w:r>
      <w:r w:rsidRPr="002E3E40">
        <w:rPr>
          <w:rFonts w:ascii="Arial" w:hAnsi="Arial" w:cs="Arial"/>
          <w:sz w:val="24"/>
          <w:szCs w:val="24"/>
        </w:rPr>
        <w:t>arancija je izdata 29.01.2013. godine, za kreditni aranžman između Kineske Exim banke i Barska plovidba AD Bar, za potrebe nabavke 2 teretna broda.</w:t>
      </w:r>
    </w:p>
    <w:p w:rsidR="00373E94" w:rsidRPr="002E3E40" w:rsidRDefault="00373E94" w:rsidP="00373E94">
      <w:pPr>
        <w:pStyle w:val="ListParagraph"/>
        <w:numPr>
          <w:ilvl w:val="0"/>
          <w:numId w:val="10"/>
        </w:numPr>
        <w:jc w:val="both"/>
        <w:rPr>
          <w:rFonts w:ascii="Arial" w:hAnsi="Arial" w:cs="Arial"/>
          <w:sz w:val="24"/>
          <w:szCs w:val="24"/>
          <w:lang w:val="sr-Latn-CS"/>
        </w:rPr>
      </w:pPr>
      <w:r w:rsidRPr="002E3E40">
        <w:rPr>
          <w:rFonts w:ascii="Arial" w:hAnsi="Arial" w:cs="Arial"/>
          <w:sz w:val="24"/>
          <w:szCs w:val="24"/>
          <w:lang w:val="sr-Latn-BA"/>
        </w:rPr>
        <w:t>Prva banka Crne Gore (1.2 mil. €)</w:t>
      </w:r>
      <w:r w:rsidR="008B3B48" w:rsidRPr="002E3E40">
        <w:rPr>
          <w:rFonts w:ascii="Arial" w:hAnsi="Arial" w:cs="Arial"/>
          <w:sz w:val="24"/>
          <w:szCs w:val="24"/>
          <w:lang w:val="sr-Latn-BA"/>
        </w:rPr>
        <w:t>, g</w:t>
      </w:r>
      <w:r w:rsidRPr="002E3E40">
        <w:rPr>
          <w:rFonts w:ascii="Arial" w:hAnsi="Arial" w:cs="Arial"/>
          <w:sz w:val="24"/>
          <w:szCs w:val="24"/>
          <w:lang w:val="sr-Latn-BA"/>
        </w:rPr>
        <w:t>aracnija je izdata 20.02.2013. godine za kreditni aranžman između Prve banke Crne Gore i Montenegroairlines-a, za potrebe finansiranja poslovanja kompanije.</w:t>
      </w:r>
    </w:p>
    <w:p w:rsidR="00373E94" w:rsidRPr="002E3E40" w:rsidRDefault="00373E94" w:rsidP="00373E94">
      <w:pPr>
        <w:pStyle w:val="BodyText"/>
        <w:rPr>
          <w:rFonts w:ascii="Arial" w:hAnsi="Arial" w:cs="Arial"/>
        </w:rPr>
      </w:pPr>
    </w:p>
    <w:p w:rsidR="001B7ADC" w:rsidRDefault="001B7ADC" w:rsidP="000032CC">
      <w:pPr>
        <w:pStyle w:val="BodyText"/>
        <w:ind w:firstLine="360"/>
        <w:rPr>
          <w:rFonts w:ascii="Arial" w:hAnsi="Arial" w:cs="Arial"/>
        </w:rPr>
      </w:pPr>
    </w:p>
    <w:p w:rsidR="00A25286" w:rsidRDefault="00DB51CB" w:rsidP="00A25286">
      <w:pPr>
        <w:pStyle w:val="BodyText"/>
        <w:ind w:firstLine="360"/>
        <w:rPr>
          <w:rFonts w:ascii="Arial" w:hAnsi="Arial" w:cs="Arial"/>
        </w:rPr>
      </w:pPr>
      <w:r w:rsidRPr="002E3E40">
        <w:rPr>
          <w:rFonts w:ascii="Arial" w:hAnsi="Arial" w:cs="Arial"/>
        </w:rPr>
        <w:lastRenderedPageBreak/>
        <w:t>Na kraju napominjemo da je tokom 2013. godine izvršena otplata duga po glavnici</w:t>
      </w:r>
      <w:r w:rsidR="00A25286">
        <w:rPr>
          <w:rFonts w:ascii="Arial" w:hAnsi="Arial" w:cs="Arial"/>
        </w:rPr>
        <w:t xml:space="preserve">, rezidentima i nerezidentima, u ukupnom </w:t>
      </w:r>
      <w:r w:rsidRPr="002E3E40">
        <w:rPr>
          <w:rFonts w:ascii="Arial" w:hAnsi="Arial" w:cs="Arial"/>
        </w:rPr>
        <w:t xml:space="preserve">iznosu od 174.025.451,29 eura, otplata duga iz ranijeg perioda u iznosu od </w:t>
      </w:r>
      <w:r w:rsidR="0019044F" w:rsidRPr="002E3E40">
        <w:rPr>
          <w:rFonts w:ascii="Arial" w:hAnsi="Arial" w:cs="Arial"/>
        </w:rPr>
        <w:t>37.426.565,27 eura</w:t>
      </w:r>
      <w:r w:rsidRPr="002E3E40">
        <w:rPr>
          <w:rFonts w:ascii="Arial" w:hAnsi="Arial" w:cs="Arial"/>
        </w:rPr>
        <w:t xml:space="preserve"> kao i otplata </w:t>
      </w:r>
      <w:r w:rsidR="0019044F" w:rsidRPr="002E3E40">
        <w:rPr>
          <w:rFonts w:ascii="Arial" w:hAnsi="Arial" w:cs="Arial"/>
        </w:rPr>
        <w:t>kamata</w:t>
      </w:r>
      <w:r w:rsidR="00A25286">
        <w:rPr>
          <w:rFonts w:ascii="Arial" w:hAnsi="Arial" w:cs="Arial"/>
        </w:rPr>
        <w:t xml:space="preserve">, rezidentima i nerezidentima, </w:t>
      </w:r>
      <w:r w:rsidR="0019044F" w:rsidRPr="002E3E40">
        <w:rPr>
          <w:rFonts w:ascii="Arial" w:hAnsi="Arial" w:cs="Arial"/>
        </w:rPr>
        <w:t xml:space="preserve"> u</w:t>
      </w:r>
      <w:r w:rsidR="00A25286">
        <w:rPr>
          <w:rFonts w:ascii="Arial" w:hAnsi="Arial" w:cs="Arial"/>
        </w:rPr>
        <w:t xml:space="preserve"> ukupnom</w:t>
      </w:r>
      <w:r w:rsidR="0019044F" w:rsidRPr="002E3E40">
        <w:rPr>
          <w:rFonts w:ascii="Arial" w:hAnsi="Arial" w:cs="Arial"/>
        </w:rPr>
        <w:t xml:space="preserve"> iznosu od 67.851.972,74</w:t>
      </w:r>
      <w:r w:rsidRPr="002E3E40">
        <w:rPr>
          <w:rFonts w:ascii="Arial" w:hAnsi="Arial" w:cs="Arial"/>
        </w:rPr>
        <w:t xml:space="preserve"> eura.</w:t>
      </w:r>
      <w:r w:rsidR="00A25286">
        <w:rPr>
          <w:rFonts w:ascii="Arial" w:hAnsi="Arial" w:cs="Arial"/>
        </w:rPr>
        <w:t xml:space="preserve"> Takođe, tokom 2013. godine otplaćeno je i 107.230.592,50 eura duga po izdatim garancijama.</w:t>
      </w:r>
    </w:p>
    <w:p w:rsidR="00A25286" w:rsidRDefault="00A25286" w:rsidP="000032CC">
      <w:pPr>
        <w:pStyle w:val="BodyText"/>
        <w:ind w:firstLine="360"/>
        <w:rPr>
          <w:rFonts w:ascii="Arial" w:hAnsi="Arial" w:cs="Arial"/>
        </w:rPr>
      </w:pPr>
    </w:p>
    <w:p w:rsidR="00DB51CB" w:rsidRPr="002E3E40" w:rsidRDefault="00DB51CB" w:rsidP="000032CC">
      <w:pPr>
        <w:pStyle w:val="BodyText"/>
        <w:ind w:firstLine="360"/>
        <w:rPr>
          <w:rFonts w:ascii="Arial" w:hAnsi="Arial" w:cs="Arial"/>
        </w:rPr>
      </w:pPr>
      <w:r w:rsidRPr="002E3E40">
        <w:rPr>
          <w:rFonts w:ascii="Arial" w:hAnsi="Arial" w:cs="Arial"/>
        </w:rPr>
        <w:t xml:space="preserve"> Struktura otplate je prikazana u narednoj tabeli: </w:t>
      </w:r>
    </w:p>
    <w:p w:rsidR="00DB51CB" w:rsidRPr="002E3E40" w:rsidRDefault="00DB51CB" w:rsidP="00DB51CB">
      <w:pPr>
        <w:rPr>
          <w:rFonts w:ascii="Arial" w:hAnsi="Arial" w:cs="Arial"/>
          <w:u w:val="single"/>
          <w:lang w:val="pl-PL"/>
        </w:rPr>
      </w:pPr>
    </w:p>
    <w:p w:rsidR="00DB51CB" w:rsidRPr="002E3E40" w:rsidRDefault="00DB51CB" w:rsidP="00DB51CB">
      <w:pPr>
        <w:jc w:val="center"/>
        <w:rPr>
          <w:rFonts w:ascii="Arial" w:hAnsi="Arial" w:cs="Arial"/>
          <w:u w:val="single"/>
          <w:lang w:val="pl-PL"/>
        </w:rPr>
      </w:pPr>
      <w:r w:rsidRPr="002E3E40">
        <w:rPr>
          <w:rFonts w:ascii="Arial" w:hAnsi="Arial" w:cs="Arial"/>
          <w:u w:val="single"/>
          <w:lang w:val="pl-PL"/>
        </w:rPr>
        <w:t xml:space="preserve">Tabela </w:t>
      </w:r>
      <w:r w:rsidR="0003167E" w:rsidRPr="002E3E40">
        <w:rPr>
          <w:rFonts w:ascii="Arial" w:hAnsi="Arial" w:cs="Arial"/>
          <w:u w:val="single"/>
          <w:lang w:val="pl-PL"/>
        </w:rPr>
        <w:t>br.6</w:t>
      </w:r>
      <w:r w:rsidRPr="002E3E40">
        <w:rPr>
          <w:rFonts w:ascii="Arial" w:hAnsi="Arial" w:cs="Arial"/>
          <w:u w:val="single"/>
          <w:lang w:val="pl-PL"/>
        </w:rPr>
        <w:t>. -  S</w:t>
      </w:r>
      <w:r w:rsidR="0019044F" w:rsidRPr="002E3E40">
        <w:rPr>
          <w:rFonts w:ascii="Arial" w:hAnsi="Arial" w:cs="Arial"/>
          <w:u w:val="single"/>
          <w:lang w:val="pl-PL"/>
        </w:rPr>
        <w:t>ervisiranje državnog duga u 2013</w:t>
      </w:r>
      <w:r w:rsidRPr="002E3E40">
        <w:rPr>
          <w:rFonts w:ascii="Arial" w:hAnsi="Arial" w:cs="Arial"/>
          <w:u w:val="single"/>
          <w:lang w:val="pl-PL"/>
        </w:rPr>
        <w:t xml:space="preserve">. godini </w:t>
      </w:r>
    </w:p>
    <w:tbl>
      <w:tblPr>
        <w:tblW w:w="0" w:type="auto"/>
        <w:jc w:val="center"/>
        <w:tblInd w:w="-227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1E0"/>
      </w:tblPr>
      <w:tblGrid>
        <w:gridCol w:w="5116"/>
        <w:gridCol w:w="2056"/>
      </w:tblGrid>
      <w:tr w:rsidR="00DB51CB" w:rsidRPr="002E3E40" w:rsidTr="002E4D67">
        <w:trPr>
          <w:jc w:val="center"/>
        </w:trPr>
        <w:tc>
          <w:tcPr>
            <w:tcW w:w="5116" w:type="dxa"/>
            <w:tcBorders>
              <w:top w:val="double" w:sz="2" w:space="0" w:color="auto"/>
              <w:left w:val="double" w:sz="2" w:space="0" w:color="auto"/>
              <w:bottom w:val="double" w:sz="2" w:space="0" w:color="auto"/>
              <w:right w:val="double" w:sz="2" w:space="0" w:color="auto"/>
            </w:tcBorders>
          </w:tcPr>
          <w:p w:rsidR="00DB51CB" w:rsidRPr="002E3E40" w:rsidRDefault="00DB51CB" w:rsidP="002E4D67">
            <w:pPr>
              <w:spacing w:before="240" w:after="240"/>
              <w:jc w:val="center"/>
              <w:rPr>
                <w:rFonts w:ascii="Arial" w:hAnsi="Arial" w:cs="Arial"/>
                <w:b/>
                <w:lang w:val="pl-PL"/>
              </w:rPr>
            </w:pPr>
            <w:r w:rsidRPr="002E3E40">
              <w:rPr>
                <w:rFonts w:ascii="Arial" w:hAnsi="Arial" w:cs="Arial"/>
                <w:b/>
                <w:lang w:val="pl-PL"/>
              </w:rPr>
              <w:t>Budžetska pozicija</w:t>
            </w:r>
          </w:p>
        </w:tc>
        <w:tc>
          <w:tcPr>
            <w:tcW w:w="2056" w:type="dxa"/>
            <w:tcBorders>
              <w:top w:val="double" w:sz="2" w:space="0" w:color="auto"/>
              <w:left w:val="double" w:sz="2" w:space="0" w:color="auto"/>
              <w:bottom w:val="double" w:sz="2" w:space="0" w:color="auto"/>
              <w:right w:val="double" w:sz="2" w:space="0" w:color="auto"/>
            </w:tcBorders>
          </w:tcPr>
          <w:p w:rsidR="00DB51CB" w:rsidRPr="002E3E40" w:rsidRDefault="0019044F" w:rsidP="002E4D67">
            <w:pPr>
              <w:spacing w:before="240"/>
              <w:jc w:val="center"/>
              <w:rPr>
                <w:rFonts w:ascii="Arial" w:hAnsi="Arial" w:cs="Arial"/>
                <w:b/>
                <w:lang w:val="pl-PL"/>
              </w:rPr>
            </w:pPr>
            <w:r w:rsidRPr="002E3E40">
              <w:rPr>
                <w:rFonts w:ascii="Arial" w:hAnsi="Arial" w:cs="Arial"/>
                <w:b/>
                <w:lang w:val="pl-PL"/>
              </w:rPr>
              <w:t>Plaćeno u 2013</w:t>
            </w:r>
            <w:r w:rsidR="00DB51CB" w:rsidRPr="002E3E40">
              <w:rPr>
                <w:rFonts w:ascii="Arial" w:hAnsi="Arial" w:cs="Arial"/>
                <w:b/>
                <w:lang w:val="pl-PL"/>
              </w:rPr>
              <w:t>. godini</w:t>
            </w:r>
          </w:p>
        </w:tc>
      </w:tr>
      <w:tr w:rsidR="00DB51CB" w:rsidRPr="002E3E40" w:rsidTr="002E4D67">
        <w:trPr>
          <w:trHeight w:val="255"/>
          <w:jc w:val="center"/>
        </w:trPr>
        <w:tc>
          <w:tcPr>
            <w:tcW w:w="5116" w:type="dxa"/>
            <w:tcBorders>
              <w:top w:val="double" w:sz="2" w:space="0" w:color="auto"/>
              <w:left w:val="double" w:sz="2" w:space="0" w:color="auto"/>
              <w:bottom w:val="single" w:sz="2" w:space="0" w:color="auto"/>
              <w:right w:val="single" w:sz="2" w:space="0" w:color="auto"/>
            </w:tcBorders>
          </w:tcPr>
          <w:p w:rsidR="00DB51CB" w:rsidRPr="002E3E40" w:rsidRDefault="00DB51CB" w:rsidP="002E4D67">
            <w:pPr>
              <w:jc w:val="both"/>
              <w:rPr>
                <w:rFonts w:ascii="Arial" w:hAnsi="Arial" w:cs="Arial"/>
                <w:lang w:val="pl-PL"/>
              </w:rPr>
            </w:pPr>
            <w:r w:rsidRPr="002E3E40">
              <w:rPr>
                <w:rFonts w:ascii="Arial" w:hAnsi="Arial" w:cs="Arial"/>
                <w:lang w:val="pl-PL"/>
              </w:rPr>
              <w:t>4611 - Otplata glavnice rezidentima</w:t>
            </w:r>
          </w:p>
        </w:tc>
        <w:tc>
          <w:tcPr>
            <w:tcW w:w="2056" w:type="dxa"/>
            <w:tcBorders>
              <w:top w:val="double" w:sz="2" w:space="0" w:color="auto"/>
              <w:left w:val="single" w:sz="2" w:space="0" w:color="auto"/>
              <w:bottom w:val="single" w:sz="2" w:space="0" w:color="auto"/>
              <w:right w:val="double" w:sz="2" w:space="0" w:color="auto"/>
            </w:tcBorders>
            <w:vAlign w:val="center"/>
          </w:tcPr>
          <w:p w:rsidR="00DB51CB" w:rsidRPr="002E3E40" w:rsidRDefault="0019044F" w:rsidP="002E4D67">
            <w:pPr>
              <w:jc w:val="right"/>
              <w:rPr>
                <w:rFonts w:ascii="Arial" w:hAnsi="Arial" w:cs="Arial"/>
                <w:lang w:val="pl-PL"/>
              </w:rPr>
            </w:pPr>
            <w:r w:rsidRPr="002E3E40">
              <w:rPr>
                <w:rFonts w:ascii="Arial" w:hAnsi="Arial" w:cs="Arial"/>
                <w:lang w:val="pl-PL"/>
              </w:rPr>
              <w:t>107.621.020,42</w:t>
            </w:r>
          </w:p>
        </w:tc>
      </w:tr>
      <w:tr w:rsidR="00DB51CB" w:rsidRPr="002E3E40" w:rsidTr="002E4D67">
        <w:trPr>
          <w:trHeight w:val="265"/>
          <w:jc w:val="center"/>
        </w:trPr>
        <w:tc>
          <w:tcPr>
            <w:tcW w:w="5116" w:type="dxa"/>
            <w:tcBorders>
              <w:top w:val="single" w:sz="2" w:space="0" w:color="auto"/>
              <w:left w:val="double" w:sz="2" w:space="0" w:color="auto"/>
              <w:bottom w:val="single" w:sz="2" w:space="0" w:color="auto"/>
              <w:right w:val="single" w:sz="2" w:space="0" w:color="auto"/>
            </w:tcBorders>
          </w:tcPr>
          <w:p w:rsidR="00DB51CB" w:rsidRPr="002E3E40" w:rsidRDefault="00DB51CB" w:rsidP="002E4D67">
            <w:pPr>
              <w:rPr>
                <w:rFonts w:ascii="Arial" w:hAnsi="Arial" w:cs="Arial"/>
                <w:lang w:val="pl-PL"/>
              </w:rPr>
            </w:pPr>
            <w:r w:rsidRPr="002E3E40">
              <w:rPr>
                <w:rFonts w:ascii="Arial" w:hAnsi="Arial" w:cs="Arial"/>
                <w:lang w:val="pl-PL"/>
              </w:rPr>
              <w:t xml:space="preserve">4612 - Otplata glavnice nerezidentima   </w:t>
            </w:r>
          </w:p>
        </w:tc>
        <w:tc>
          <w:tcPr>
            <w:tcW w:w="2056" w:type="dxa"/>
            <w:tcBorders>
              <w:top w:val="single" w:sz="2" w:space="0" w:color="auto"/>
              <w:left w:val="single" w:sz="2" w:space="0" w:color="auto"/>
              <w:bottom w:val="single" w:sz="2" w:space="0" w:color="auto"/>
              <w:right w:val="double" w:sz="2" w:space="0" w:color="auto"/>
            </w:tcBorders>
            <w:vAlign w:val="center"/>
          </w:tcPr>
          <w:p w:rsidR="00DB51CB" w:rsidRPr="002E3E40" w:rsidRDefault="0019044F" w:rsidP="002E4D67">
            <w:pPr>
              <w:jc w:val="right"/>
              <w:rPr>
                <w:rFonts w:ascii="Arial" w:hAnsi="Arial" w:cs="Arial"/>
                <w:lang w:val="pl-PL"/>
              </w:rPr>
            </w:pPr>
            <w:r w:rsidRPr="002E3E40">
              <w:rPr>
                <w:rFonts w:ascii="Arial" w:hAnsi="Arial" w:cs="Arial"/>
                <w:lang w:val="pl-PL"/>
              </w:rPr>
              <w:t>66.404.430,87</w:t>
            </w:r>
          </w:p>
        </w:tc>
      </w:tr>
      <w:tr w:rsidR="00DB51CB" w:rsidRPr="002E3E40" w:rsidTr="002E4D67">
        <w:trPr>
          <w:jc w:val="center"/>
        </w:trPr>
        <w:tc>
          <w:tcPr>
            <w:tcW w:w="5116" w:type="dxa"/>
            <w:tcBorders>
              <w:top w:val="single" w:sz="2" w:space="0" w:color="auto"/>
              <w:left w:val="double" w:sz="2" w:space="0" w:color="auto"/>
              <w:bottom w:val="single" w:sz="2" w:space="0" w:color="auto"/>
              <w:right w:val="single" w:sz="2" w:space="0" w:color="auto"/>
            </w:tcBorders>
          </w:tcPr>
          <w:p w:rsidR="00DB51CB" w:rsidRPr="002E3E40" w:rsidRDefault="00DB51CB" w:rsidP="002E4D67">
            <w:pPr>
              <w:rPr>
                <w:rFonts w:ascii="Arial" w:hAnsi="Arial" w:cs="Arial"/>
                <w:lang w:val="pl-PL"/>
              </w:rPr>
            </w:pPr>
            <w:r w:rsidRPr="002E3E40">
              <w:rPr>
                <w:rFonts w:ascii="Arial" w:hAnsi="Arial" w:cs="Arial"/>
                <w:lang w:val="pl-PL"/>
              </w:rPr>
              <w:t>4621 - Otplata duga po garanciji rezidentima</w:t>
            </w:r>
          </w:p>
        </w:tc>
        <w:tc>
          <w:tcPr>
            <w:tcW w:w="2056" w:type="dxa"/>
            <w:tcBorders>
              <w:top w:val="single" w:sz="2" w:space="0" w:color="auto"/>
              <w:left w:val="single" w:sz="2" w:space="0" w:color="auto"/>
              <w:bottom w:val="single" w:sz="2" w:space="0" w:color="auto"/>
              <w:right w:val="double" w:sz="2" w:space="0" w:color="auto"/>
            </w:tcBorders>
            <w:vAlign w:val="center"/>
          </w:tcPr>
          <w:p w:rsidR="00DB51CB" w:rsidRPr="002E3E40" w:rsidRDefault="0019044F" w:rsidP="002E4D67">
            <w:pPr>
              <w:jc w:val="right"/>
              <w:rPr>
                <w:rFonts w:ascii="Arial" w:hAnsi="Arial" w:cs="Arial"/>
                <w:lang w:val="pl-PL"/>
              </w:rPr>
            </w:pPr>
            <w:r w:rsidRPr="002E3E40">
              <w:rPr>
                <w:rFonts w:ascii="Arial" w:hAnsi="Arial" w:cs="Arial"/>
                <w:lang w:val="pl-PL"/>
              </w:rPr>
              <w:t>4.453.321,57</w:t>
            </w:r>
          </w:p>
        </w:tc>
      </w:tr>
      <w:tr w:rsidR="00DB51CB" w:rsidRPr="002E3E40" w:rsidTr="002E4D67">
        <w:trPr>
          <w:jc w:val="center"/>
        </w:trPr>
        <w:tc>
          <w:tcPr>
            <w:tcW w:w="5116" w:type="dxa"/>
            <w:tcBorders>
              <w:top w:val="single" w:sz="2" w:space="0" w:color="auto"/>
              <w:left w:val="double" w:sz="2" w:space="0" w:color="auto"/>
              <w:bottom w:val="single" w:sz="2" w:space="0" w:color="auto"/>
              <w:right w:val="single" w:sz="2" w:space="0" w:color="auto"/>
            </w:tcBorders>
          </w:tcPr>
          <w:p w:rsidR="00DB51CB" w:rsidRPr="002E3E40" w:rsidRDefault="00DB51CB" w:rsidP="002E4D67">
            <w:pPr>
              <w:tabs>
                <w:tab w:val="left" w:pos="1863"/>
              </w:tabs>
              <w:rPr>
                <w:rFonts w:ascii="Arial" w:hAnsi="Arial" w:cs="Arial"/>
                <w:lang w:val="pl-PL"/>
              </w:rPr>
            </w:pPr>
            <w:r w:rsidRPr="002E3E40">
              <w:rPr>
                <w:rFonts w:ascii="Arial" w:hAnsi="Arial" w:cs="Arial"/>
                <w:lang w:val="pl-PL"/>
              </w:rPr>
              <w:t>4622 - Otplata  duga po garanciji nerezidentima</w:t>
            </w:r>
          </w:p>
        </w:tc>
        <w:tc>
          <w:tcPr>
            <w:tcW w:w="2056" w:type="dxa"/>
            <w:tcBorders>
              <w:top w:val="single" w:sz="2" w:space="0" w:color="auto"/>
              <w:left w:val="single" w:sz="2" w:space="0" w:color="auto"/>
              <w:bottom w:val="single" w:sz="2" w:space="0" w:color="auto"/>
              <w:right w:val="double" w:sz="2" w:space="0" w:color="auto"/>
            </w:tcBorders>
            <w:vAlign w:val="center"/>
          </w:tcPr>
          <w:p w:rsidR="00DB51CB" w:rsidRPr="002E3E40" w:rsidRDefault="0019044F" w:rsidP="00A25286">
            <w:pPr>
              <w:jc w:val="right"/>
              <w:rPr>
                <w:rFonts w:ascii="Arial" w:hAnsi="Arial" w:cs="Arial"/>
                <w:lang w:val="pl-PL"/>
              </w:rPr>
            </w:pPr>
            <w:r w:rsidRPr="002E3E40">
              <w:rPr>
                <w:rFonts w:ascii="Arial" w:hAnsi="Arial" w:cs="Arial"/>
                <w:lang w:val="pl-PL"/>
              </w:rPr>
              <w:t>10</w:t>
            </w:r>
            <w:r w:rsidR="00A25286">
              <w:rPr>
                <w:rFonts w:ascii="Arial" w:hAnsi="Arial" w:cs="Arial"/>
                <w:lang w:val="pl-PL"/>
              </w:rPr>
              <w:t>2</w:t>
            </w:r>
            <w:r w:rsidRPr="002E3E40">
              <w:rPr>
                <w:rFonts w:ascii="Arial" w:hAnsi="Arial" w:cs="Arial"/>
                <w:lang w:val="pl-PL"/>
              </w:rPr>
              <w:t>.</w:t>
            </w:r>
            <w:r w:rsidR="00A25286">
              <w:rPr>
                <w:rFonts w:ascii="Arial" w:hAnsi="Arial" w:cs="Arial"/>
                <w:lang w:val="pl-PL"/>
              </w:rPr>
              <w:t>777</w:t>
            </w:r>
            <w:r w:rsidRPr="002E3E40">
              <w:rPr>
                <w:rFonts w:ascii="Arial" w:hAnsi="Arial" w:cs="Arial"/>
                <w:lang w:val="pl-PL"/>
              </w:rPr>
              <w:t>.</w:t>
            </w:r>
            <w:r w:rsidR="00A25286">
              <w:rPr>
                <w:rFonts w:ascii="Arial" w:hAnsi="Arial" w:cs="Arial"/>
                <w:lang w:val="pl-PL"/>
              </w:rPr>
              <w:t>270</w:t>
            </w:r>
            <w:r w:rsidRPr="002E3E40">
              <w:rPr>
                <w:rFonts w:ascii="Arial" w:hAnsi="Arial" w:cs="Arial"/>
                <w:lang w:val="pl-PL"/>
              </w:rPr>
              <w:t>,</w:t>
            </w:r>
            <w:r w:rsidR="00A25286">
              <w:rPr>
                <w:rFonts w:ascii="Arial" w:hAnsi="Arial" w:cs="Arial"/>
                <w:lang w:val="pl-PL"/>
              </w:rPr>
              <w:t>93</w:t>
            </w:r>
          </w:p>
        </w:tc>
      </w:tr>
      <w:tr w:rsidR="00DB51CB" w:rsidRPr="002E3E40" w:rsidTr="002E4D67">
        <w:trPr>
          <w:jc w:val="center"/>
        </w:trPr>
        <w:tc>
          <w:tcPr>
            <w:tcW w:w="5116" w:type="dxa"/>
            <w:tcBorders>
              <w:top w:val="single" w:sz="2" w:space="0" w:color="auto"/>
              <w:left w:val="double" w:sz="2" w:space="0" w:color="auto"/>
              <w:bottom w:val="single" w:sz="2" w:space="0" w:color="auto"/>
              <w:right w:val="single" w:sz="2" w:space="0" w:color="auto"/>
            </w:tcBorders>
          </w:tcPr>
          <w:p w:rsidR="00DB51CB" w:rsidRPr="002E3E40" w:rsidRDefault="00DB51CB" w:rsidP="002E4D67">
            <w:pPr>
              <w:rPr>
                <w:rFonts w:ascii="Arial" w:hAnsi="Arial" w:cs="Arial"/>
                <w:lang w:val="pl-PL"/>
              </w:rPr>
            </w:pPr>
            <w:r w:rsidRPr="002E3E40">
              <w:rPr>
                <w:rFonts w:ascii="Arial" w:hAnsi="Arial" w:cs="Arial"/>
                <w:lang w:val="pl-PL"/>
              </w:rPr>
              <w:t>4630 - Otplata obaveza iz prethodnih godina</w:t>
            </w:r>
          </w:p>
        </w:tc>
        <w:tc>
          <w:tcPr>
            <w:tcW w:w="2056" w:type="dxa"/>
            <w:tcBorders>
              <w:top w:val="single" w:sz="2" w:space="0" w:color="auto"/>
              <w:left w:val="single" w:sz="2" w:space="0" w:color="auto"/>
              <w:bottom w:val="single" w:sz="2" w:space="0" w:color="auto"/>
              <w:right w:val="double" w:sz="2" w:space="0" w:color="auto"/>
            </w:tcBorders>
            <w:vAlign w:val="center"/>
          </w:tcPr>
          <w:p w:rsidR="00DB51CB" w:rsidRPr="002E3E40" w:rsidRDefault="0019044F" w:rsidP="002E4D67">
            <w:pPr>
              <w:jc w:val="right"/>
              <w:rPr>
                <w:rFonts w:ascii="Arial" w:hAnsi="Arial" w:cs="Arial"/>
                <w:lang w:val="pl-PL"/>
              </w:rPr>
            </w:pPr>
            <w:r w:rsidRPr="002E3E40">
              <w:rPr>
                <w:rFonts w:ascii="Arial" w:hAnsi="Arial" w:cs="Arial"/>
                <w:lang w:val="pl-PL"/>
              </w:rPr>
              <w:t>37.426.565,27</w:t>
            </w:r>
          </w:p>
        </w:tc>
      </w:tr>
      <w:tr w:rsidR="00DB51CB" w:rsidRPr="002E3E40" w:rsidTr="002E4D67">
        <w:trPr>
          <w:jc w:val="center"/>
        </w:trPr>
        <w:tc>
          <w:tcPr>
            <w:tcW w:w="5116" w:type="dxa"/>
            <w:tcBorders>
              <w:top w:val="single" w:sz="2" w:space="0" w:color="auto"/>
              <w:left w:val="double" w:sz="2" w:space="0" w:color="auto"/>
              <w:bottom w:val="single" w:sz="2" w:space="0" w:color="auto"/>
              <w:right w:val="single" w:sz="2" w:space="0" w:color="auto"/>
            </w:tcBorders>
          </w:tcPr>
          <w:p w:rsidR="00DB51CB" w:rsidRPr="002E3E40" w:rsidRDefault="00DB51CB" w:rsidP="002E4D67">
            <w:pPr>
              <w:rPr>
                <w:rFonts w:ascii="Arial" w:hAnsi="Arial" w:cs="Arial"/>
                <w:lang w:val="pl-PL"/>
              </w:rPr>
            </w:pPr>
            <w:r w:rsidRPr="002E3E40">
              <w:rPr>
                <w:rFonts w:ascii="Arial" w:hAnsi="Arial" w:cs="Arial"/>
                <w:lang w:val="pl-PL"/>
              </w:rPr>
              <w:t>4151 - Otplata kamate rezidentima</w:t>
            </w:r>
          </w:p>
        </w:tc>
        <w:tc>
          <w:tcPr>
            <w:tcW w:w="2056" w:type="dxa"/>
            <w:tcBorders>
              <w:top w:val="single" w:sz="2" w:space="0" w:color="auto"/>
              <w:left w:val="single" w:sz="2" w:space="0" w:color="auto"/>
              <w:bottom w:val="single" w:sz="2" w:space="0" w:color="auto"/>
              <w:right w:val="double" w:sz="2" w:space="0" w:color="auto"/>
            </w:tcBorders>
            <w:vAlign w:val="center"/>
          </w:tcPr>
          <w:p w:rsidR="00DB51CB" w:rsidRPr="002E3E40" w:rsidRDefault="000C5187" w:rsidP="002E4D67">
            <w:pPr>
              <w:jc w:val="right"/>
              <w:rPr>
                <w:rFonts w:ascii="Arial" w:hAnsi="Arial" w:cs="Arial"/>
                <w:lang w:val="pl-PL"/>
              </w:rPr>
            </w:pPr>
            <w:r w:rsidRPr="002E3E40">
              <w:rPr>
                <w:rFonts w:ascii="Arial" w:hAnsi="Arial" w:cs="Arial"/>
                <w:lang w:val="pl-PL"/>
              </w:rPr>
              <w:t>8.266.497,88</w:t>
            </w:r>
          </w:p>
        </w:tc>
      </w:tr>
      <w:tr w:rsidR="00DB51CB" w:rsidRPr="002E3E40" w:rsidTr="002E4D67">
        <w:trPr>
          <w:trHeight w:val="193"/>
          <w:jc w:val="center"/>
        </w:trPr>
        <w:tc>
          <w:tcPr>
            <w:tcW w:w="5116" w:type="dxa"/>
            <w:tcBorders>
              <w:top w:val="single" w:sz="2" w:space="0" w:color="auto"/>
              <w:left w:val="double" w:sz="2" w:space="0" w:color="auto"/>
              <w:bottom w:val="double" w:sz="2" w:space="0" w:color="auto"/>
              <w:right w:val="single" w:sz="2" w:space="0" w:color="auto"/>
            </w:tcBorders>
          </w:tcPr>
          <w:p w:rsidR="00DB51CB" w:rsidRPr="002E3E40" w:rsidRDefault="00DB51CB" w:rsidP="002E4D67">
            <w:pPr>
              <w:rPr>
                <w:rFonts w:ascii="Arial" w:hAnsi="Arial" w:cs="Arial"/>
                <w:lang w:val="pl-PL"/>
              </w:rPr>
            </w:pPr>
            <w:r w:rsidRPr="002E3E40">
              <w:rPr>
                <w:rFonts w:ascii="Arial" w:hAnsi="Arial" w:cs="Arial"/>
                <w:lang w:val="pl-PL"/>
              </w:rPr>
              <w:t>4152 - Otplata kamate nerezidentima</w:t>
            </w:r>
          </w:p>
        </w:tc>
        <w:tc>
          <w:tcPr>
            <w:tcW w:w="2056" w:type="dxa"/>
            <w:tcBorders>
              <w:top w:val="single" w:sz="2" w:space="0" w:color="auto"/>
              <w:left w:val="single" w:sz="2" w:space="0" w:color="auto"/>
              <w:bottom w:val="double" w:sz="2" w:space="0" w:color="auto"/>
              <w:right w:val="double" w:sz="2" w:space="0" w:color="auto"/>
            </w:tcBorders>
            <w:vAlign w:val="center"/>
          </w:tcPr>
          <w:p w:rsidR="00DB51CB" w:rsidRPr="002E3E40" w:rsidRDefault="000C5187" w:rsidP="002E4D67">
            <w:pPr>
              <w:jc w:val="right"/>
              <w:rPr>
                <w:rFonts w:ascii="Arial" w:hAnsi="Arial" w:cs="Arial"/>
                <w:lang w:val="pl-PL"/>
              </w:rPr>
            </w:pPr>
            <w:r w:rsidRPr="002E3E40">
              <w:rPr>
                <w:rFonts w:ascii="Arial" w:hAnsi="Arial" w:cs="Arial"/>
                <w:lang w:val="pl-PL"/>
              </w:rPr>
              <w:t>59.585.474,86</w:t>
            </w:r>
          </w:p>
        </w:tc>
      </w:tr>
      <w:tr w:rsidR="00DB51CB" w:rsidRPr="002E3E40" w:rsidTr="002E4D67">
        <w:trPr>
          <w:trHeight w:val="462"/>
          <w:jc w:val="center"/>
        </w:trPr>
        <w:tc>
          <w:tcPr>
            <w:tcW w:w="5116" w:type="dxa"/>
            <w:tcBorders>
              <w:top w:val="double" w:sz="2" w:space="0" w:color="auto"/>
              <w:left w:val="double" w:sz="2" w:space="0" w:color="auto"/>
              <w:bottom w:val="double" w:sz="2" w:space="0" w:color="auto"/>
              <w:right w:val="double" w:sz="2" w:space="0" w:color="auto"/>
            </w:tcBorders>
          </w:tcPr>
          <w:p w:rsidR="00DB51CB" w:rsidRPr="002E3E40" w:rsidRDefault="00DB51CB" w:rsidP="002E4D67">
            <w:pPr>
              <w:spacing w:before="240"/>
              <w:jc w:val="center"/>
              <w:rPr>
                <w:rFonts w:ascii="Arial" w:hAnsi="Arial" w:cs="Arial"/>
                <w:b/>
                <w:lang w:val="pl-PL"/>
              </w:rPr>
            </w:pPr>
            <w:r w:rsidRPr="002E3E40">
              <w:rPr>
                <w:rFonts w:ascii="Arial" w:hAnsi="Arial" w:cs="Arial"/>
                <w:b/>
                <w:lang w:val="pl-PL"/>
              </w:rPr>
              <w:t xml:space="preserve">UKUPNO </w:t>
            </w:r>
          </w:p>
        </w:tc>
        <w:tc>
          <w:tcPr>
            <w:tcW w:w="2056" w:type="dxa"/>
            <w:tcBorders>
              <w:top w:val="double" w:sz="2" w:space="0" w:color="auto"/>
              <w:left w:val="double" w:sz="2" w:space="0" w:color="auto"/>
              <w:bottom w:val="double" w:sz="2" w:space="0" w:color="auto"/>
              <w:right w:val="double" w:sz="2" w:space="0" w:color="auto"/>
            </w:tcBorders>
          </w:tcPr>
          <w:p w:rsidR="00DB51CB" w:rsidRPr="002E3E40" w:rsidRDefault="00A25286" w:rsidP="00A25286">
            <w:pPr>
              <w:spacing w:before="240"/>
              <w:jc w:val="right"/>
              <w:rPr>
                <w:rFonts w:ascii="Arial" w:hAnsi="Arial" w:cs="Arial"/>
                <w:b/>
                <w:lang w:val="pl-PL"/>
              </w:rPr>
            </w:pPr>
            <w:r>
              <w:rPr>
                <w:rFonts w:ascii="Arial" w:hAnsi="Arial" w:cs="Arial"/>
                <w:b/>
                <w:lang w:val="pl-PL"/>
              </w:rPr>
              <w:t>386.534</w:t>
            </w:r>
            <w:r w:rsidR="000C5187" w:rsidRPr="002E3E40">
              <w:rPr>
                <w:rFonts w:ascii="Arial" w:hAnsi="Arial" w:cs="Arial"/>
                <w:b/>
                <w:lang w:val="pl-PL"/>
              </w:rPr>
              <w:t>.</w:t>
            </w:r>
            <w:r>
              <w:rPr>
                <w:rFonts w:ascii="Arial" w:hAnsi="Arial" w:cs="Arial"/>
                <w:b/>
                <w:lang w:val="pl-PL"/>
              </w:rPr>
              <w:t>581</w:t>
            </w:r>
            <w:r w:rsidR="000C5187" w:rsidRPr="002E3E40">
              <w:rPr>
                <w:rFonts w:ascii="Arial" w:hAnsi="Arial" w:cs="Arial"/>
                <w:b/>
                <w:lang w:val="pl-PL"/>
              </w:rPr>
              <w:t>,</w:t>
            </w:r>
            <w:r>
              <w:rPr>
                <w:rFonts w:ascii="Arial" w:hAnsi="Arial" w:cs="Arial"/>
                <w:b/>
                <w:lang w:val="pl-PL"/>
              </w:rPr>
              <w:t>80</w:t>
            </w:r>
          </w:p>
        </w:tc>
      </w:tr>
    </w:tbl>
    <w:p w:rsidR="00A272BA" w:rsidRDefault="00A272BA" w:rsidP="00DB51CB">
      <w:pPr>
        <w:pStyle w:val="BodyText"/>
        <w:rPr>
          <w:rFonts w:ascii="Arial" w:hAnsi="Arial" w:cs="Arial"/>
        </w:rPr>
      </w:pPr>
    </w:p>
    <w:p w:rsidR="00A272BA" w:rsidRDefault="00A272BA" w:rsidP="00DB51CB">
      <w:pPr>
        <w:pStyle w:val="BodyText"/>
        <w:rPr>
          <w:rFonts w:ascii="Arial" w:hAnsi="Arial" w:cs="Arial"/>
        </w:rPr>
      </w:pPr>
    </w:p>
    <w:p w:rsidR="00A272BA" w:rsidRDefault="00A272BA"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1B7ADC" w:rsidRDefault="001B7ADC" w:rsidP="00DB51CB">
      <w:pPr>
        <w:pStyle w:val="BodyText"/>
        <w:rPr>
          <w:rFonts w:ascii="Arial" w:hAnsi="Arial" w:cs="Arial"/>
        </w:rPr>
      </w:pPr>
    </w:p>
    <w:p w:rsidR="00A272BA" w:rsidRDefault="00A272BA" w:rsidP="00DB51CB">
      <w:pPr>
        <w:pStyle w:val="BodyText"/>
        <w:rPr>
          <w:rFonts w:ascii="Arial" w:hAnsi="Arial" w:cs="Arial"/>
        </w:rPr>
      </w:pPr>
    </w:p>
    <w:p w:rsidR="00A272BA" w:rsidRDefault="00A272BA" w:rsidP="00A272BA">
      <w:pPr>
        <w:rPr>
          <w:rFonts w:ascii="Arial" w:hAnsi="Arial" w:cs="Arial"/>
          <w:lang w:val="sl-SI"/>
        </w:rPr>
      </w:pPr>
    </w:p>
    <w:sectPr w:rsidR="00A272BA" w:rsidSect="007B6FA6">
      <w:footerReference w:type="even" r:id="rId13"/>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14A" w:rsidRDefault="00BC614A">
      <w:r>
        <w:separator/>
      </w:r>
    </w:p>
  </w:endnote>
  <w:endnote w:type="continuationSeparator" w:id="1">
    <w:p w:rsidR="00BC614A" w:rsidRDefault="00BC6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C2" w:rsidRDefault="00E95382">
    <w:pPr>
      <w:pStyle w:val="Footer"/>
      <w:framePr w:wrap="around" w:vAnchor="text" w:hAnchor="margin" w:xAlign="right" w:y="1"/>
      <w:rPr>
        <w:rStyle w:val="PageNumber"/>
      </w:rPr>
    </w:pPr>
    <w:r>
      <w:rPr>
        <w:rStyle w:val="PageNumber"/>
      </w:rPr>
      <w:fldChar w:fldCharType="begin"/>
    </w:r>
    <w:r w:rsidR="00745FC2">
      <w:rPr>
        <w:rStyle w:val="PageNumber"/>
      </w:rPr>
      <w:instrText xml:space="preserve">PAGE  </w:instrText>
    </w:r>
    <w:r>
      <w:rPr>
        <w:rStyle w:val="PageNumber"/>
      </w:rPr>
      <w:fldChar w:fldCharType="end"/>
    </w:r>
  </w:p>
  <w:p w:rsidR="00745FC2" w:rsidRDefault="00745F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C2" w:rsidRDefault="00745FC2" w:rsidP="00091A7D">
    <w:pPr>
      <w:pStyle w:val="Footer"/>
      <w:ind w:right="36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C2" w:rsidRDefault="00E95382">
    <w:pPr>
      <w:pStyle w:val="Footer"/>
      <w:framePr w:wrap="around" w:vAnchor="text" w:hAnchor="margin" w:xAlign="right" w:y="1"/>
      <w:rPr>
        <w:rStyle w:val="PageNumber"/>
      </w:rPr>
    </w:pPr>
    <w:r>
      <w:rPr>
        <w:rStyle w:val="PageNumber"/>
      </w:rPr>
      <w:fldChar w:fldCharType="begin"/>
    </w:r>
    <w:r w:rsidR="00745FC2">
      <w:rPr>
        <w:rStyle w:val="PageNumber"/>
      </w:rPr>
      <w:instrText xml:space="preserve">PAGE  </w:instrText>
    </w:r>
    <w:r>
      <w:rPr>
        <w:rStyle w:val="PageNumber"/>
      </w:rPr>
      <w:fldChar w:fldCharType="end"/>
    </w:r>
  </w:p>
  <w:p w:rsidR="00745FC2" w:rsidRDefault="00745F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14A" w:rsidRDefault="00BC614A">
      <w:r>
        <w:separator/>
      </w:r>
    </w:p>
  </w:footnote>
  <w:footnote w:type="continuationSeparator" w:id="1">
    <w:p w:rsidR="00BC614A" w:rsidRDefault="00BC6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5C84"/>
    <w:multiLevelType w:val="hybridMultilevel"/>
    <w:tmpl w:val="E30A7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7E46C8"/>
    <w:multiLevelType w:val="hybridMultilevel"/>
    <w:tmpl w:val="72E64290"/>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14BC20E1"/>
    <w:multiLevelType w:val="hybridMultilevel"/>
    <w:tmpl w:val="66E87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AB6D4A"/>
    <w:multiLevelType w:val="hybridMultilevel"/>
    <w:tmpl w:val="B314B998"/>
    <w:lvl w:ilvl="0" w:tplc="7ED2D4F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1312A8"/>
    <w:multiLevelType w:val="hybridMultilevel"/>
    <w:tmpl w:val="C6487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1274D"/>
    <w:multiLevelType w:val="hybridMultilevel"/>
    <w:tmpl w:val="58A04EEE"/>
    <w:lvl w:ilvl="0" w:tplc="0409000F">
      <w:start w:val="1"/>
      <w:numFmt w:val="decimal"/>
      <w:lvlText w:val="%1."/>
      <w:lvlJc w:val="left"/>
      <w:pPr>
        <w:tabs>
          <w:tab w:val="num" w:pos="947"/>
        </w:tabs>
        <w:ind w:left="947" w:hanging="360"/>
      </w:pPr>
    </w:lvl>
    <w:lvl w:ilvl="1" w:tplc="04090001">
      <w:start w:val="1"/>
      <w:numFmt w:val="bullet"/>
      <w:lvlText w:val=""/>
      <w:lvlJc w:val="left"/>
      <w:pPr>
        <w:tabs>
          <w:tab w:val="num" w:pos="1620"/>
        </w:tabs>
        <w:ind w:left="1620" w:hanging="360"/>
      </w:pPr>
      <w:rPr>
        <w:rFonts w:ascii="Symbol" w:hAnsi="Symbol" w:hint="default"/>
      </w:rPr>
    </w:lvl>
    <w:lvl w:ilvl="2" w:tplc="0409000F">
      <w:start w:val="1"/>
      <w:numFmt w:val="decimal"/>
      <w:lvlText w:val="%3."/>
      <w:lvlJc w:val="left"/>
      <w:pPr>
        <w:tabs>
          <w:tab w:val="num" w:pos="2567"/>
        </w:tabs>
        <w:ind w:left="2567" w:hanging="36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6">
    <w:nsid w:val="46432EB0"/>
    <w:multiLevelType w:val="hybridMultilevel"/>
    <w:tmpl w:val="962EF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A16E85"/>
    <w:multiLevelType w:val="hybridMultilevel"/>
    <w:tmpl w:val="4156EA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5C5A3546"/>
    <w:multiLevelType w:val="hybridMultilevel"/>
    <w:tmpl w:val="5A086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674ADF"/>
    <w:multiLevelType w:val="hybridMultilevel"/>
    <w:tmpl w:val="29DE9C9E"/>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0">
    <w:nsid w:val="6497437B"/>
    <w:multiLevelType w:val="hybridMultilevel"/>
    <w:tmpl w:val="3A52BE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B26B05"/>
    <w:multiLevelType w:val="hybridMultilevel"/>
    <w:tmpl w:val="375AEF7A"/>
    <w:lvl w:ilvl="0" w:tplc="0908DACA">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2D2D36"/>
    <w:multiLevelType w:val="hybridMultilevel"/>
    <w:tmpl w:val="CA6ACB80"/>
    <w:lvl w:ilvl="0" w:tplc="0409000F">
      <w:start w:val="1"/>
      <w:numFmt w:val="decimal"/>
      <w:lvlText w:val="%1."/>
      <w:lvlJc w:val="left"/>
      <w:pPr>
        <w:tabs>
          <w:tab w:val="num" w:pos="947"/>
        </w:tabs>
        <w:ind w:left="947" w:hanging="360"/>
      </w:pPr>
    </w:lvl>
    <w:lvl w:ilvl="1" w:tplc="04090001">
      <w:start w:val="1"/>
      <w:numFmt w:val="bullet"/>
      <w:lvlText w:val=""/>
      <w:lvlJc w:val="left"/>
      <w:pPr>
        <w:tabs>
          <w:tab w:val="num" w:pos="1620"/>
        </w:tabs>
        <w:ind w:left="1620" w:hanging="360"/>
      </w:pPr>
      <w:rPr>
        <w:rFonts w:ascii="Symbol" w:hAnsi="Symbol" w:hint="default"/>
      </w:rPr>
    </w:lvl>
    <w:lvl w:ilvl="2" w:tplc="0409000F">
      <w:start w:val="1"/>
      <w:numFmt w:val="decimal"/>
      <w:lvlText w:val="%3."/>
      <w:lvlJc w:val="left"/>
      <w:pPr>
        <w:tabs>
          <w:tab w:val="num" w:pos="2567"/>
        </w:tabs>
        <w:ind w:left="2567" w:hanging="36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num w:numId="1">
    <w:abstractNumId w:val="10"/>
  </w:num>
  <w:num w:numId="2">
    <w:abstractNumId w:val="8"/>
  </w:num>
  <w:num w:numId="3">
    <w:abstractNumId w:val="6"/>
  </w:num>
  <w:num w:numId="4">
    <w:abstractNumId w:val="2"/>
  </w:num>
  <w:num w:numId="5">
    <w:abstractNumId w:val="4"/>
  </w:num>
  <w:num w:numId="6">
    <w:abstractNumId w:val="7"/>
  </w:num>
  <w:num w:numId="7">
    <w:abstractNumId w:val="1"/>
  </w:num>
  <w:num w:numId="8">
    <w:abstractNumId w:val="9"/>
  </w:num>
  <w:num w:numId="9">
    <w:abstractNumId w:val="3"/>
  </w:num>
  <w:num w:numId="10">
    <w:abstractNumId w:val="11"/>
  </w:num>
  <w:num w:numId="11">
    <w:abstractNumId w:val="0"/>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91A7D"/>
    <w:rsid w:val="00000A72"/>
    <w:rsid w:val="00000B9C"/>
    <w:rsid w:val="00001544"/>
    <w:rsid w:val="00002541"/>
    <w:rsid w:val="00002756"/>
    <w:rsid w:val="000032CC"/>
    <w:rsid w:val="000032F1"/>
    <w:rsid w:val="00003C81"/>
    <w:rsid w:val="000060FE"/>
    <w:rsid w:val="000068C7"/>
    <w:rsid w:val="00007F9A"/>
    <w:rsid w:val="0001072E"/>
    <w:rsid w:val="00013215"/>
    <w:rsid w:val="0001380E"/>
    <w:rsid w:val="00015CA3"/>
    <w:rsid w:val="0001682E"/>
    <w:rsid w:val="0001733C"/>
    <w:rsid w:val="000179B3"/>
    <w:rsid w:val="00020627"/>
    <w:rsid w:val="0002174E"/>
    <w:rsid w:val="00022307"/>
    <w:rsid w:val="00022C5D"/>
    <w:rsid w:val="00022EB4"/>
    <w:rsid w:val="0002320E"/>
    <w:rsid w:val="000236A4"/>
    <w:rsid w:val="00023E7F"/>
    <w:rsid w:val="000249F6"/>
    <w:rsid w:val="00025F41"/>
    <w:rsid w:val="000262B2"/>
    <w:rsid w:val="0002691F"/>
    <w:rsid w:val="00026B1A"/>
    <w:rsid w:val="00027FE3"/>
    <w:rsid w:val="00030CDB"/>
    <w:rsid w:val="0003167E"/>
    <w:rsid w:val="00032824"/>
    <w:rsid w:val="00033808"/>
    <w:rsid w:val="00033A7D"/>
    <w:rsid w:val="000347DA"/>
    <w:rsid w:val="0003586F"/>
    <w:rsid w:val="00036F20"/>
    <w:rsid w:val="000372A1"/>
    <w:rsid w:val="000418F3"/>
    <w:rsid w:val="00042930"/>
    <w:rsid w:val="00042D54"/>
    <w:rsid w:val="00043006"/>
    <w:rsid w:val="000432FA"/>
    <w:rsid w:val="00044925"/>
    <w:rsid w:val="00044EFC"/>
    <w:rsid w:val="00044F6B"/>
    <w:rsid w:val="00045B70"/>
    <w:rsid w:val="00046249"/>
    <w:rsid w:val="0004732E"/>
    <w:rsid w:val="000511C3"/>
    <w:rsid w:val="0005300A"/>
    <w:rsid w:val="00053CCC"/>
    <w:rsid w:val="00054B22"/>
    <w:rsid w:val="00056771"/>
    <w:rsid w:val="000571D3"/>
    <w:rsid w:val="00060B6E"/>
    <w:rsid w:val="00061985"/>
    <w:rsid w:val="00061BB5"/>
    <w:rsid w:val="00061DCF"/>
    <w:rsid w:val="00062868"/>
    <w:rsid w:val="000635B2"/>
    <w:rsid w:val="00064013"/>
    <w:rsid w:val="000648D3"/>
    <w:rsid w:val="0006494A"/>
    <w:rsid w:val="000660A4"/>
    <w:rsid w:val="00070D33"/>
    <w:rsid w:val="0007118A"/>
    <w:rsid w:val="00071545"/>
    <w:rsid w:val="00073ACA"/>
    <w:rsid w:val="00073EED"/>
    <w:rsid w:val="00074E41"/>
    <w:rsid w:val="00075A71"/>
    <w:rsid w:val="00076A2E"/>
    <w:rsid w:val="00076E2A"/>
    <w:rsid w:val="00077377"/>
    <w:rsid w:val="00077D98"/>
    <w:rsid w:val="00080717"/>
    <w:rsid w:val="0008456B"/>
    <w:rsid w:val="000846D1"/>
    <w:rsid w:val="00084984"/>
    <w:rsid w:val="000857F8"/>
    <w:rsid w:val="0008592C"/>
    <w:rsid w:val="00085FCE"/>
    <w:rsid w:val="00091831"/>
    <w:rsid w:val="000919C5"/>
    <w:rsid w:val="00091A7D"/>
    <w:rsid w:val="00092356"/>
    <w:rsid w:val="000924D8"/>
    <w:rsid w:val="00092B21"/>
    <w:rsid w:val="000937BA"/>
    <w:rsid w:val="00093FE3"/>
    <w:rsid w:val="0009704E"/>
    <w:rsid w:val="00097479"/>
    <w:rsid w:val="00097685"/>
    <w:rsid w:val="000A3394"/>
    <w:rsid w:val="000A359A"/>
    <w:rsid w:val="000A35E4"/>
    <w:rsid w:val="000A44A2"/>
    <w:rsid w:val="000A5B60"/>
    <w:rsid w:val="000A6776"/>
    <w:rsid w:val="000A79AF"/>
    <w:rsid w:val="000B006B"/>
    <w:rsid w:val="000B1B1D"/>
    <w:rsid w:val="000B27FE"/>
    <w:rsid w:val="000B3F30"/>
    <w:rsid w:val="000B5AED"/>
    <w:rsid w:val="000B666B"/>
    <w:rsid w:val="000B6803"/>
    <w:rsid w:val="000B79B6"/>
    <w:rsid w:val="000B7DF9"/>
    <w:rsid w:val="000C1B99"/>
    <w:rsid w:val="000C1EB9"/>
    <w:rsid w:val="000C3F07"/>
    <w:rsid w:val="000C4840"/>
    <w:rsid w:val="000C48D8"/>
    <w:rsid w:val="000C5187"/>
    <w:rsid w:val="000C5753"/>
    <w:rsid w:val="000C5A56"/>
    <w:rsid w:val="000D3596"/>
    <w:rsid w:val="000D38B0"/>
    <w:rsid w:val="000D42F4"/>
    <w:rsid w:val="000D5A79"/>
    <w:rsid w:val="000D6591"/>
    <w:rsid w:val="000D661F"/>
    <w:rsid w:val="000D70AE"/>
    <w:rsid w:val="000D768C"/>
    <w:rsid w:val="000E0156"/>
    <w:rsid w:val="000E08AE"/>
    <w:rsid w:val="000E1BBC"/>
    <w:rsid w:val="000E32CB"/>
    <w:rsid w:val="000E3316"/>
    <w:rsid w:val="000E37CB"/>
    <w:rsid w:val="000E3ABA"/>
    <w:rsid w:val="000E3F88"/>
    <w:rsid w:val="000E41E7"/>
    <w:rsid w:val="000E49C4"/>
    <w:rsid w:val="000E4F75"/>
    <w:rsid w:val="000E602D"/>
    <w:rsid w:val="000E677D"/>
    <w:rsid w:val="000E7120"/>
    <w:rsid w:val="000F1DF8"/>
    <w:rsid w:val="000F31C0"/>
    <w:rsid w:val="000F4A38"/>
    <w:rsid w:val="000F5EC1"/>
    <w:rsid w:val="000F6768"/>
    <w:rsid w:val="000F6CC8"/>
    <w:rsid w:val="00100B0B"/>
    <w:rsid w:val="00100C52"/>
    <w:rsid w:val="00100E9F"/>
    <w:rsid w:val="001035D7"/>
    <w:rsid w:val="00103764"/>
    <w:rsid w:val="00103FA0"/>
    <w:rsid w:val="0010426A"/>
    <w:rsid w:val="00107D44"/>
    <w:rsid w:val="00110AF5"/>
    <w:rsid w:val="00111776"/>
    <w:rsid w:val="001119CB"/>
    <w:rsid w:val="0011427A"/>
    <w:rsid w:val="00114DA1"/>
    <w:rsid w:val="00115B79"/>
    <w:rsid w:val="00115C30"/>
    <w:rsid w:val="001205E8"/>
    <w:rsid w:val="001210AF"/>
    <w:rsid w:val="00121B88"/>
    <w:rsid w:val="00122626"/>
    <w:rsid w:val="00123538"/>
    <w:rsid w:val="00123E80"/>
    <w:rsid w:val="00124417"/>
    <w:rsid w:val="00124A46"/>
    <w:rsid w:val="00124D2B"/>
    <w:rsid w:val="001257EC"/>
    <w:rsid w:val="001259E4"/>
    <w:rsid w:val="00125F17"/>
    <w:rsid w:val="001260D2"/>
    <w:rsid w:val="001261DD"/>
    <w:rsid w:val="001276A6"/>
    <w:rsid w:val="00127A1D"/>
    <w:rsid w:val="001306D5"/>
    <w:rsid w:val="0013173C"/>
    <w:rsid w:val="00131FFE"/>
    <w:rsid w:val="00132185"/>
    <w:rsid w:val="00132357"/>
    <w:rsid w:val="00137DB4"/>
    <w:rsid w:val="00141B51"/>
    <w:rsid w:val="00143315"/>
    <w:rsid w:val="001433E8"/>
    <w:rsid w:val="00143656"/>
    <w:rsid w:val="00144B46"/>
    <w:rsid w:val="00146205"/>
    <w:rsid w:val="00146489"/>
    <w:rsid w:val="00150438"/>
    <w:rsid w:val="00150A9C"/>
    <w:rsid w:val="00150CB2"/>
    <w:rsid w:val="001553E4"/>
    <w:rsid w:val="00155CF3"/>
    <w:rsid w:val="00156634"/>
    <w:rsid w:val="00156D90"/>
    <w:rsid w:val="00160378"/>
    <w:rsid w:val="00160740"/>
    <w:rsid w:val="00161098"/>
    <w:rsid w:val="00161E8F"/>
    <w:rsid w:val="00162CE0"/>
    <w:rsid w:val="001636C5"/>
    <w:rsid w:val="00163C0A"/>
    <w:rsid w:val="00165A96"/>
    <w:rsid w:val="00166350"/>
    <w:rsid w:val="00166AB3"/>
    <w:rsid w:val="00170C30"/>
    <w:rsid w:val="0017178D"/>
    <w:rsid w:val="00172FD1"/>
    <w:rsid w:val="00173311"/>
    <w:rsid w:val="001736B8"/>
    <w:rsid w:val="0017384D"/>
    <w:rsid w:val="00174BF2"/>
    <w:rsid w:val="00174D7F"/>
    <w:rsid w:val="0017687D"/>
    <w:rsid w:val="00177FBB"/>
    <w:rsid w:val="00180BCA"/>
    <w:rsid w:val="00182726"/>
    <w:rsid w:val="00183F40"/>
    <w:rsid w:val="001847A7"/>
    <w:rsid w:val="001851FD"/>
    <w:rsid w:val="00185306"/>
    <w:rsid w:val="00185DED"/>
    <w:rsid w:val="00186273"/>
    <w:rsid w:val="00186B4E"/>
    <w:rsid w:val="001871B9"/>
    <w:rsid w:val="001873FF"/>
    <w:rsid w:val="0019044F"/>
    <w:rsid w:val="00190C0A"/>
    <w:rsid w:val="00190C5F"/>
    <w:rsid w:val="00191475"/>
    <w:rsid w:val="00192A4D"/>
    <w:rsid w:val="001951C0"/>
    <w:rsid w:val="001955D4"/>
    <w:rsid w:val="00196482"/>
    <w:rsid w:val="0019699D"/>
    <w:rsid w:val="00196C0F"/>
    <w:rsid w:val="001A28E6"/>
    <w:rsid w:val="001A3174"/>
    <w:rsid w:val="001A44ED"/>
    <w:rsid w:val="001A471C"/>
    <w:rsid w:val="001A5B27"/>
    <w:rsid w:val="001A6197"/>
    <w:rsid w:val="001A714C"/>
    <w:rsid w:val="001B12F1"/>
    <w:rsid w:val="001B1F99"/>
    <w:rsid w:val="001B238D"/>
    <w:rsid w:val="001B2EF4"/>
    <w:rsid w:val="001B43F3"/>
    <w:rsid w:val="001B4654"/>
    <w:rsid w:val="001B6184"/>
    <w:rsid w:val="001B7ADC"/>
    <w:rsid w:val="001B7F96"/>
    <w:rsid w:val="001C0268"/>
    <w:rsid w:val="001C21E3"/>
    <w:rsid w:val="001C2882"/>
    <w:rsid w:val="001C314B"/>
    <w:rsid w:val="001C32A7"/>
    <w:rsid w:val="001C5983"/>
    <w:rsid w:val="001C5B67"/>
    <w:rsid w:val="001C60CD"/>
    <w:rsid w:val="001C7BBF"/>
    <w:rsid w:val="001C7EA4"/>
    <w:rsid w:val="001D051A"/>
    <w:rsid w:val="001D1769"/>
    <w:rsid w:val="001D2D34"/>
    <w:rsid w:val="001D35DF"/>
    <w:rsid w:val="001D4602"/>
    <w:rsid w:val="001D6872"/>
    <w:rsid w:val="001E0C96"/>
    <w:rsid w:val="001E0DB4"/>
    <w:rsid w:val="001E2328"/>
    <w:rsid w:val="001E29B9"/>
    <w:rsid w:val="001E3301"/>
    <w:rsid w:val="001E4431"/>
    <w:rsid w:val="001F0D04"/>
    <w:rsid w:val="001F102D"/>
    <w:rsid w:val="001F1888"/>
    <w:rsid w:val="001F1ACA"/>
    <w:rsid w:val="001F1E78"/>
    <w:rsid w:val="001F6D68"/>
    <w:rsid w:val="00200340"/>
    <w:rsid w:val="00201116"/>
    <w:rsid w:val="00203A6B"/>
    <w:rsid w:val="00203F69"/>
    <w:rsid w:val="002044A5"/>
    <w:rsid w:val="00204B2D"/>
    <w:rsid w:val="00205A4D"/>
    <w:rsid w:val="00205BAC"/>
    <w:rsid w:val="00206EFE"/>
    <w:rsid w:val="00207028"/>
    <w:rsid w:val="00207935"/>
    <w:rsid w:val="00210299"/>
    <w:rsid w:val="002110A9"/>
    <w:rsid w:val="0021211D"/>
    <w:rsid w:val="00216AE4"/>
    <w:rsid w:val="00216B57"/>
    <w:rsid w:val="00217241"/>
    <w:rsid w:val="002175B8"/>
    <w:rsid w:val="00220456"/>
    <w:rsid w:val="00220AFC"/>
    <w:rsid w:val="00222824"/>
    <w:rsid w:val="00222E30"/>
    <w:rsid w:val="0022351C"/>
    <w:rsid w:val="002256A3"/>
    <w:rsid w:val="00226FE6"/>
    <w:rsid w:val="00227875"/>
    <w:rsid w:val="00227AF7"/>
    <w:rsid w:val="00230F04"/>
    <w:rsid w:val="00231D4A"/>
    <w:rsid w:val="0023293D"/>
    <w:rsid w:val="00233028"/>
    <w:rsid w:val="00234CA8"/>
    <w:rsid w:val="002351AA"/>
    <w:rsid w:val="002360B4"/>
    <w:rsid w:val="002361AD"/>
    <w:rsid w:val="002374AA"/>
    <w:rsid w:val="00237FC8"/>
    <w:rsid w:val="002424B2"/>
    <w:rsid w:val="00242EBD"/>
    <w:rsid w:val="00243B93"/>
    <w:rsid w:val="0024573C"/>
    <w:rsid w:val="00246B7D"/>
    <w:rsid w:val="002470D8"/>
    <w:rsid w:val="0024716A"/>
    <w:rsid w:val="002478F5"/>
    <w:rsid w:val="00247F4E"/>
    <w:rsid w:val="00247F7A"/>
    <w:rsid w:val="002508F5"/>
    <w:rsid w:val="00252287"/>
    <w:rsid w:val="00254186"/>
    <w:rsid w:val="00256563"/>
    <w:rsid w:val="00257019"/>
    <w:rsid w:val="002570A3"/>
    <w:rsid w:val="0025720E"/>
    <w:rsid w:val="0026022B"/>
    <w:rsid w:val="00262164"/>
    <w:rsid w:val="00262CE0"/>
    <w:rsid w:val="00265E47"/>
    <w:rsid w:val="00266995"/>
    <w:rsid w:val="00266CF0"/>
    <w:rsid w:val="002675C2"/>
    <w:rsid w:val="00270501"/>
    <w:rsid w:val="00270860"/>
    <w:rsid w:val="0027287C"/>
    <w:rsid w:val="00272976"/>
    <w:rsid w:val="00272D92"/>
    <w:rsid w:val="00272EA9"/>
    <w:rsid w:val="00273B51"/>
    <w:rsid w:val="00274373"/>
    <w:rsid w:val="00274682"/>
    <w:rsid w:val="002751FA"/>
    <w:rsid w:val="00275B26"/>
    <w:rsid w:val="00276F1D"/>
    <w:rsid w:val="00277B21"/>
    <w:rsid w:val="00277B35"/>
    <w:rsid w:val="002804AD"/>
    <w:rsid w:val="00282C8D"/>
    <w:rsid w:val="00282F56"/>
    <w:rsid w:val="00283B81"/>
    <w:rsid w:val="00286963"/>
    <w:rsid w:val="00287BF7"/>
    <w:rsid w:val="002910A8"/>
    <w:rsid w:val="0029172B"/>
    <w:rsid w:val="0029186A"/>
    <w:rsid w:val="00293C4E"/>
    <w:rsid w:val="00295BA7"/>
    <w:rsid w:val="00295D6F"/>
    <w:rsid w:val="00295F8F"/>
    <w:rsid w:val="00297ECE"/>
    <w:rsid w:val="002A0217"/>
    <w:rsid w:val="002A101A"/>
    <w:rsid w:val="002A1131"/>
    <w:rsid w:val="002A18B1"/>
    <w:rsid w:val="002A1D75"/>
    <w:rsid w:val="002A27E4"/>
    <w:rsid w:val="002A4E09"/>
    <w:rsid w:val="002A5CC7"/>
    <w:rsid w:val="002A6C7A"/>
    <w:rsid w:val="002A7D48"/>
    <w:rsid w:val="002B1282"/>
    <w:rsid w:val="002B317A"/>
    <w:rsid w:val="002B38F3"/>
    <w:rsid w:val="002B4829"/>
    <w:rsid w:val="002B512D"/>
    <w:rsid w:val="002B5B38"/>
    <w:rsid w:val="002B7720"/>
    <w:rsid w:val="002B7C9B"/>
    <w:rsid w:val="002C224C"/>
    <w:rsid w:val="002C338E"/>
    <w:rsid w:val="002C3468"/>
    <w:rsid w:val="002C5091"/>
    <w:rsid w:val="002C5B2A"/>
    <w:rsid w:val="002C689C"/>
    <w:rsid w:val="002C71B8"/>
    <w:rsid w:val="002D1616"/>
    <w:rsid w:val="002D1B50"/>
    <w:rsid w:val="002D1D4F"/>
    <w:rsid w:val="002D5589"/>
    <w:rsid w:val="002D6C6F"/>
    <w:rsid w:val="002D756F"/>
    <w:rsid w:val="002E0549"/>
    <w:rsid w:val="002E0905"/>
    <w:rsid w:val="002E0C61"/>
    <w:rsid w:val="002E2010"/>
    <w:rsid w:val="002E235E"/>
    <w:rsid w:val="002E32D5"/>
    <w:rsid w:val="002E34AC"/>
    <w:rsid w:val="002E3E40"/>
    <w:rsid w:val="002E41C2"/>
    <w:rsid w:val="002E456A"/>
    <w:rsid w:val="002E45FB"/>
    <w:rsid w:val="002E4D67"/>
    <w:rsid w:val="002E5508"/>
    <w:rsid w:val="002E5714"/>
    <w:rsid w:val="002E5E52"/>
    <w:rsid w:val="002E6D9B"/>
    <w:rsid w:val="002E7EEF"/>
    <w:rsid w:val="002E7F78"/>
    <w:rsid w:val="002F0C67"/>
    <w:rsid w:val="002F187C"/>
    <w:rsid w:val="002F376A"/>
    <w:rsid w:val="002F4287"/>
    <w:rsid w:val="002F72DF"/>
    <w:rsid w:val="00300501"/>
    <w:rsid w:val="00302FDB"/>
    <w:rsid w:val="003056B5"/>
    <w:rsid w:val="003059F3"/>
    <w:rsid w:val="00305ACD"/>
    <w:rsid w:val="003063CD"/>
    <w:rsid w:val="003071A6"/>
    <w:rsid w:val="0031028B"/>
    <w:rsid w:val="0031055D"/>
    <w:rsid w:val="00312EEE"/>
    <w:rsid w:val="00314962"/>
    <w:rsid w:val="00314B2E"/>
    <w:rsid w:val="00315D04"/>
    <w:rsid w:val="0031678B"/>
    <w:rsid w:val="00316CF6"/>
    <w:rsid w:val="0031724F"/>
    <w:rsid w:val="00320007"/>
    <w:rsid w:val="00320464"/>
    <w:rsid w:val="003209C3"/>
    <w:rsid w:val="00321000"/>
    <w:rsid w:val="00321D3A"/>
    <w:rsid w:val="00322610"/>
    <w:rsid w:val="00322C39"/>
    <w:rsid w:val="00322D91"/>
    <w:rsid w:val="003239FA"/>
    <w:rsid w:val="00327E04"/>
    <w:rsid w:val="003301A7"/>
    <w:rsid w:val="00330AAC"/>
    <w:rsid w:val="00330E19"/>
    <w:rsid w:val="003314FA"/>
    <w:rsid w:val="00334060"/>
    <w:rsid w:val="0033417D"/>
    <w:rsid w:val="00334B50"/>
    <w:rsid w:val="00334BD1"/>
    <w:rsid w:val="00335A94"/>
    <w:rsid w:val="003368E7"/>
    <w:rsid w:val="003368EC"/>
    <w:rsid w:val="00340301"/>
    <w:rsid w:val="0034067F"/>
    <w:rsid w:val="00341742"/>
    <w:rsid w:val="00342A84"/>
    <w:rsid w:val="00342B2E"/>
    <w:rsid w:val="003437FD"/>
    <w:rsid w:val="003442B4"/>
    <w:rsid w:val="003454A8"/>
    <w:rsid w:val="0035007F"/>
    <w:rsid w:val="003501F8"/>
    <w:rsid w:val="00350C81"/>
    <w:rsid w:val="00351269"/>
    <w:rsid w:val="00351523"/>
    <w:rsid w:val="003524FD"/>
    <w:rsid w:val="00352AB3"/>
    <w:rsid w:val="00353856"/>
    <w:rsid w:val="00353E3E"/>
    <w:rsid w:val="00355E0C"/>
    <w:rsid w:val="003563BE"/>
    <w:rsid w:val="0036017C"/>
    <w:rsid w:val="00360417"/>
    <w:rsid w:val="00360FC9"/>
    <w:rsid w:val="0036133C"/>
    <w:rsid w:val="00362558"/>
    <w:rsid w:val="00362CCC"/>
    <w:rsid w:val="00363574"/>
    <w:rsid w:val="00363BFC"/>
    <w:rsid w:val="00364006"/>
    <w:rsid w:val="00364B75"/>
    <w:rsid w:val="003653D4"/>
    <w:rsid w:val="00365C13"/>
    <w:rsid w:val="00366EDD"/>
    <w:rsid w:val="00366F09"/>
    <w:rsid w:val="003673C5"/>
    <w:rsid w:val="0036759D"/>
    <w:rsid w:val="00367694"/>
    <w:rsid w:val="0037161D"/>
    <w:rsid w:val="00371CA5"/>
    <w:rsid w:val="00372125"/>
    <w:rsid w:val="00372EB9"/>
    <w:rsid w:val="00373E94"/>
    <w:rsid w:val="003740B3"/>
    <w:rsid w:val="00374AE2"/>
    <w:rsid w:val="003755B1"/>
    <w:rsid w:val="003813E1"/>
    <w:rsid w:val="003816BF"/>
    <w:rsid w:val="00381A8D"/>
    <w:rsid w:val="00382932"/>
    <w:rsid w:val="00382E8F"/>
    <w:rsid w:val="00383058"/>
    <w:rsid w:val="00383C66"/>
    <w:rsid w:val="00383D59"/>
    <w:rsid w:val="00384BA6"/>
    <w:rsid w:val="00385D27"/>
    <w:rsid w:val="003867EE"/>
    <w:rsid w:val="00387994"/>
    <w:rsid w:val="0039021D"/>
    <w:rsid w:val="00390B8A"/>
    <w:rsid w:val="003919AF"/>
    <w:rsid w:val="00391EA4"/>
    <w:rsid w:val="003932BF"/>
    <w:rsid w:val="003946C9"/>
    <w:rsid w:val="0039551D"/>
    <w:rsid w:val="00395777"/>
    <w:rsid w:val="003A08DB"/>
    <w:rsid w:val="003A0F5F"/>
    <w:rsid w:val="003A1BA4"/>
    <w:rsid w:val="003A1DC8"/>
    <w:rsid w:val="003A3113"/>
    <w:rsid w:val="003A38BB"/>
    <w:rsid w:val="003A4F17"/>
    <w:rsid w:val="003A4F3D"/>
    <w:rsid w:val="003A5262"/>
    <w:rsid w:val="003A55BA"/>
    <w:rsid w:val="003A69D6"/>
    <w:rsid w:val="003B068F"/>
    <w:rsid w:val="003B2A65"/>
    <w:rsid w:val="003B4663"/>
    <w:rsid w:val="003B7982"/>
    <w:rsid w:val="003C0F12"/>
    <w:rsid w:val="003C13F8"/>
    <w:rsid w:val="003C1862"/>
    <w:rsid w:val="003C2786"/>
    <w:rsid w:val="003C2B8A"/>
    <w:rsid w:val="003C3256"/>
    <w:rsid w:val="003C36E4"/>
    <w:rsid w:val="003C38B5"/>
    <w:rsid w:val="003C420B"/>
    <w:rsid w:val="003C4EC0"/>
    <w:rsid w:val="003C6739"/>
    <w:rsid w:val="003C6C40"/>
    <w:rsid w:val="003C74E4"/>
    <w:rsid w:val="003C7734"/>
    <w:rsid w:val="003D2413"/>
    <w:rsid w:val="003D2440"/>
    <w:rsid w:val="003D27AC"/>
    <w:rsid w:val="003D3D73"/>
    <w:rsid w:val="003D4232"/>
    <w:rsid w:val="003D4B10"/>
    <w:rsid w:val="003D4BEC"/>
    <w:rsid w:val="003D5275"/>
    <w:rsid w:val="003D593F"/>
    <w:rsid w:val="003D5DC3"/>
    <w:rsid w:val="003D5FC0"/>
    <w:rsid w:val="003D65EC"/>
    <w:rsid w:val="003E10ED"/>
    <w:rsid w:val="003E1CFD"/>
    <w:rsid w:val="003E2502"/>
    <w:rsid w:val="003E279E"/>
    <w:rsid w:val="003E2E0D"/>
    <w:rsid w:val="003E318F"/>
    <w:rsid w:val="003E3218"/>
    <w:rsid w:val="003E32BC"/>
    <w:rsid w:val="003E4F0A"/>
    <w:rsid w:val="003E661F"/>
    <w:rsid w:val="003E6FB7"/>
    <w:rsid w:val="003F27AE"/>
    <w:rsid w:val="003F3AC0"/>
    <w:rsid w:val="003F6247"/>
    <w:rsid w:val="003F632F"/>
    <w:rsid w:val="003F6978"/>
    <w:rsid w:val="00400E8A"/>
    <w:rsid w:val="00401369"/>
    <w:rsid w:val="0040174E"/>
    <w:rsid w:val="0040184F"/>
    <w:rsid w:val="00401D32"/>
    <w:rsid w:val="00402BE5"/>
    <w:rsid w:val="00402D46"/>
    <w:rsid w:val="00405402"/>
    <w:rsid w:val="00405E23"/>
    <w:rsid w:val="004068D7"/>
    <w:rsid w:val="004069E7"/>
    <w:rsid w:val="004121E0"/>
    <w:rsid w:val="004129BB"/>
    <w:rsid w:val="0041340F"/>
    <w:rsid w:val="00413789"/>
    <w:rsid w:val="00414EA7"/>
    <w:rsid w:val="00415A93"/>
    <w:rsid w:val="00417056"/>
    <w:rsid w:val="00417377"/>
    <w:rsid w:val="00417BEA"/>
    <w:rsid w:val="00420A0C"/>
    <w:rsid w:val="004212C6"/>
    <w:rsid w:val="004212FA"/>
    <w:rsid w:val="0042133C"/>
    <w:rsid w:val="00421D6A"/>
    <w:rsid w:val="00421E74"/>
    <w:rsid w:val="00422C34"/>
    <w:rsid w:val="00423C0D"/>
    <w:rsid w:val="00423CF2"/>
    <w:rsid w:val="00423D35"/>
    <w:rsid w:val="0042442F"/>
    <w:rsid w:val="004245BD"/>
    <w:rsid w:val="0042471D"/>
    <w:rsid w:val="00425165"/>
    <w:rsid w:val="004259A0"/>
    <w:rsid w:val="00425D2A"/>
    <w:rsid w:val="00426FAE"/>
    <w:rsid w:val="0042799B"/>
    <w:rsid w:val="00430B52"/>
    <w:rsid w:val="00430E57"/>
    <w:rsid w:val="00431844"/>
    <w:rsid w:val="004322BA"/>
    <w:rsid w:val="00432E02"/>
    <w:rsid w:val="00433FCF"/>
    <w:rsid w:val="00434C83"/>
    <w:rsid w:val="004360A8"/>
    <w:rsid w:val="004369F7"/>
    <w:rsid w:val="004377CB"/>
    <w:rsid w:val="00440170"/>
    <w:rsid w:val="00441929"/>
    <w:rsid w:val="00443367"/>
    <w:rsid w:val="00443C72"/>
    <w:rsid w:val="004440B5"/>
    <w:rsid w:val="00446CB6"/>
    <w:rsid w:val="00447435"/>
    <w:rsid w:val="00447987"/>
    <w:rsid w:val="00447D44"/>
    <w:rsid w:val="0045072A"/>
    <w:rsid w:val="00450830"/>
    <w:rsid w:val="00450DE4"/>
    <w:rsid w:val="004517EB"/>
    <w:rsid w:val="00452904"/>
    <w:rsid w:val="0045324F"/>
    <w:rsid w:val="004535A6"/>
    <w:rsid w:val="004544C5"/>
    <w:rsid w:val="00455260"/>
    <w:rsid w:val="00455266"/>
    <w:rsid w:val="00457038"/>
    <w:rsid w:val="00457A12"/>
    <w:rsid w:val="004610B8"/>
    <w:rsid w:val="0046287C"/>
    <w:rsid w:val="004629CC"/>
    <w:rsid w:val="004630E2"/>
    <w:rsid w:val="0046406B"/>
    <w:rsid w:val="004640DC"/>
    <w:rsid w:val="00465502"/>
    <w:rsid w:val="00466599"/>
    <w:rsid w:val="0046681A"/>
    <w:rsid w:val="004670ED"/>
    <w:rsid w:val="00474261"/>
    <w:rsid w:val="0047432E"/>
    <w:rsid w:val="00475089"/>
    <w:rsid w:val="00475907"/>
    <w:rsid w:val="00476546"/>
    <w:rsid w:val="00480F8E"/>
    <w:rsid w:val="004839A9"/>
    <w:rsid w:val="00485D1E"/>
    <w:rsid w:val="0048786C"/>
    <w:rsid w:val="00487F47"/>
    <w:rsid w:val="00490734"/>
    <w:rsid w:val="0049158C"/>
    <w:rsid w:val="00492741"/>
    <w:rsid w:val="00495EEB"/>
    <w:rsid w:val="004964E3"/>
    <w:rsid w:val="0049666E"/>
    <w:rsid w:val="00497351"/>
    <w:rsid w:val="00497E4D"/>
    <w:rsid w:val="004A0536"/>
    <w:rsid w:val="004A278E"/>
    <w:rsid w:val="004A279C"/>
    <w:rsid w:val="004A3E6D"/>
    <w:rsid w:val="004A410C"/>
    <w:rsid w:val="004A4ADD"/>
    <w:rsid w:val="004A5922"/>
    <w:rsid w:val="004A5B54"/>
    <w:rsid w:val="004A667D"/>
    <w:rsid w:val="004A7292"/>
    <w:rsid w:val="004A7512"/>
    <w:rsid w:val="004B02BD"/>
    <w:rsid w:val="004B0AAB"/>
    <w:rsid w:val="004B14B1"/>
    <w:rsid w:val="004B14CE"/>
    <w:rsid w:val="004B2B0A"/>
    <w:rsid w:val="004B466C"/>
    <w:rsid w:val="004B5627"/>
    <w:rsid w:val="004B59B2"/>
    <w:rsid w:val="004B5B02"/>
    <w:rsid w:val="004B637D"/>
    <w:rsid w:val="004B730A"/>
    <w:rsid w:val="004C02A2"/>
    <w:rsid w:val="004C0363"/>
    <w:rsid w:val="004C05AF"/>
    <w:rsid w:val="004C0D82"/>
    <w:rsid w:val="004C44EE"/>
    <w:rsid w:val="004C68C3"/>
    <w:rsid w:val="004C75B9"/>
    <w:rsid w:val="004C75D5"/>
    <w:rsid w:val="004C7BBB"/>
    <w:rsid w:val="004D0D39"/>
    <w:rsid w:val="004D0E3E"/>
    <w:rsid w:val="004D3E1E"/>
    <w:rsid w:val="004D4837"/>
    <w:rsid w:val="004D6231"/>
    <w:rsid w:val="004D74C1"/>
    <w:rsid w:val="004E0D01"/>
    <w:rsid w:val="004E5609"/>
    <w:rsid w:val="004E77F4"/>
    <w:rsid w:val="004F010F"/>
    <w:rsid w:val="004F1E5A"/>
    <w:rsid w:val="004F1F09"/>
    <w:rsid w:val="004F334C"/>
    <w:rsid w:val="004F337D"/>
    <w:rsid w:val="004F33FD"/>
    <w:rsid w:val="004F3BE7"/>
    <w:rsid w:val="004F481E"/>
    <w:rsid w:val="004F51ED"/>
    <w:rsid w:val="004F67A4"/>
    <w:rsid w:val="004F70A6"/>
    <w:rsid w:val="004F7634"/>
    <w:rsid w:val="0050240B"/>
    <w:rsid w:val="005072C3"/>
    <w:rsid w:val="00510380"/>
    <w:rsid w:val="005126A4"/>
    <w:rsid w:val="00512FB9"/>
    <w:rsid w:val="00515C30"/>
    <w:rsid w:val="00517325"/>
    <w:rsid w:val="005176A5"/>
    <w:rsid w:val="00521CC9"/>
    <w:rsid w:val="0052204C"/>
    <w:rsid w:val="00523553"/>
    <w:rsid w:val="0052776A"/>
    <w:rsid w:val="005279D9"/>
    <w:rsid w:val="00530014"/>
    <w:rsid w:val="005347DD"/>
    <w:rsid w:val="00535508"/>
    <w:rsid w:val="00536645"/>
    <w:rsid w:val="0053715F"/>
    <w:rsid w:val="00542CAE"/>
    <w:rsid w:val="005432FE"/>
    <w:rsid w:val="005436F0"/>
    <w:rsid w:val="0054376B"/>
    <w:rsid w:val="00546D8B"/>
    <w:rsid w:val="005504BB"/>
    <w:rsid w:val="0055092C"/>
    <w:rsid w:val="0055105D"/>
    <w:rsid w:val="00551680"/>
    <w:rsid w:val="005541D2"/>
    <w:rsid w:val="0055609A"/>
    <w:rsid w:val="0055775C"/>
    <w:rsid w:val="00557BDE"/>
    <w:rsid w:val="00562C21"/>
    <w:rsid w:val="00564645"/>
    <w:rsid w:val="00565A1D"/>
    <w:rsid w:val="00566BA4"/>
    <w:rsid w:val="00566E7E"/>
    <w:rsid w:val="0056789C"/>
    <w:rsid w:val="00570531"/>
    <w:rsid w:val="00570995"/>
    <w:rsid w:val="005717C0"/>
    <w:rsid w:val="00571F25"/>
    <w:rsid w:val="0057475D"/>
    <w:rsid w:val="00574D43"/>
    <w:rsid w:val="0057557C"/>
    <w:rsid w:val="00577BD6"/>
    <w:rsid w:val="0058015F"/>
    <w:rsid w:val="00580B31"/>
    <w:rsid w:val="00585872"/>
    <w:rsid w:val="0059116A"/>
    <w:rsid w:val="0059184B"/>
    <w:rsid w:val="0059217B"/>
    <w:rsid w:val="0059277A"/>
    <w:rsid w:val="00592D08"/>
    <w:rsid w:val="005949CB"/>
    <w:rsid w:val="005959E0"/>
    <w:rsid w:val="00596065"/>
    <w:rsid w:val="00597220"/>
    <w:rsid w:val="005976A8"/>
    <w:rsid w:val="00597AA1"/>
    <w:rsid w:val="005A05F1"/>
    <w:rsid w:val="005A0D5C"/>
    <w:rsid w:val="005A20B2"/>
    <w:rsid w:val="005A39DB"/>
    <w:rsid w:val="005A4758"/>
    <w:rsid w:val="005A7295"/>
    <w:rsid w:val="005B28B4"/>
    <w:rsid w:val="005B50CD"/>
    <w:rsid w:val="005B63EC"/>
    <w:rsid w:val="005B68BA"/>
    <w:rsid w:val="005C0A79"/>
    <w:rsid w:val="005C0D4C"/>
    <w:rsid w:val="005C18CB"/>
    <w:rsid w:val="005C1959"/>
    <w:rsid w:val="005C1C46"/>
    <w:rsid w:val="005C2516"/>
    <w:rsid w:val="005C2D2F"/>
    <w:rsid w:val="005C3229"/>
    <w:rsid w:val="005C3E9A"/>
    <w:rsid w:val="005C57D4"/>
    <w:rsid w:val="005C6FA1"/>
    <w:rsid w:val="005C770C"/>
    <w:rsid w:val="005D2149"/>
    <w:rsid w:val="005D3D84"/>
    <w:rsid w:val="005D44CF"/>
    <w:rsid w:val="005D44E3"/>
    <w:rsid w:val="005D4C59"/>
    <w:rsid w:val="005D6282"/>
    <w:rsid w:val="005D7130"/>
    <w:rsid w:val="005E1072"/>
    <w:rsid w:val="005E16A7"/>
    <w:rsid w:val="005E3A59"/>
    <w:rsid w:val="005E5258"/>
    <w:rsid w:val="005E620C"/>
    <w:rsid w:val="005F1668"/>
    <w:rsid w:val="005F25BE"/>
    <w:rsid w:val="005F2956"/>
    <w:rsid w:val="005F29F7"/>
    <w:rsid w:val="005F3743"/>
    <w:rsid w:val="005F3E11"/>
    <w:rsid w:val="005F440A"/>
    <w:rsid w:val="005F47E8"/>
    <w:rsid w:val="005F539D"/>
    <w:rsid w:val="005F6B5C"/>
    <w:rsid w:val="005F6DF4"/>
    <w:rsid w:val="00601609"/>
    <w:rsid w:val="00602E9D"/>
    <w:rsid w:val="00605EB0"/>
    <w:rsid w:val="00607295"/>
    <w:rsid w:val="006079B3"/>
    <w:rsid w:val="00607A44"/>
    <w:rsid w:val="0061068A"/>
    <w:rsid w:val="00610EA6"/>
    <w:rsid w:val="00611EEA"/>
    <w:rsid w:val="00611F52"/>
    <w:rsid w:val="00613C71"/>
    <w:rsid w:val="00621242"/>
    <w:rsid w:val="00621ED3"/>
    <w:rsid w:val="006239FE"/>
    <w:rsid w:val="00623BEB"/>
    <w:rsid w:val="00623F39"/>
    <w:rsid w:val="006249CC"/>
    <w:rsid w:val="00625BBD"/>
    <w:rsid w:val="0062682D"/>
    <w:rsid w:val="006268B3"/>
    <w:rsid w:val="006268EB"/>
    <w:rsid w:val="006271DC"/>
    <w:rsid w:val="00627F55"/>
    <w:rsid w:val="00630F4B"/>
    <w:rsid w:val="00633106"/>
    <w:rsid w:val="00634868"/>
    <w:rsid w:val="00634EA1"/>
    <w:rsid w:val="00635034"/>
    <w:rsid w:val="00637E59"/>
    <w:rsid w:val="00640230"/>
    <w:rsid w:val="00641F35"/>
    <w:rsid w:val="0064288E"/>
    <w:rsid w:val="00642E0B"/>
    <w:rsid w:val="00643E30"/>
    <w:rsid w:val="006444E3"/>
    <w:rsid w:val="0064578A"/>
    <w:rsid w:val="0064586A"/>
    <w:rsid w:val="00646083"/>
    <w:rsid w:val="0064666A"/>
    <w:rsid w:val="0064703B"/>
    <w:rsid w:val="00647118"/>
    <w:rsid w:val="0065141D"/>
    <w:rsid w:val="006528FF"/>
    <w:rsid w:val="00652CE4"/>
    <w:rsid w:val="00652E51"/>
    <w:rsid w:val="006537F3"/>
    <w:rsid w:val="00654D73"/>
    <w:rsid w:val="006560F5"/>
    <w:rsid w:val="00657E8E"/>
    <w:rsid w:val="0066058F"/>
    <w:rsid w:val="00660FD6"/>
    <w:rsid w:val="00662B1F"/>
    <w:rsid w:val="00662B3D"/>
    <w:rsid w:val="00662C82"/>
    <w:rsid w:val="00664E49"/>
    <w:rsid w:val="00665617"/>
    <w:rsid w:val="006660D7"/>
    <w:rsid w:val="00667250"/>
    <w:rsid w:val="0066795B"/>
    <w:rsid w:val="006722EC"/>
    <w:rsid w:val="00672319"/>
    <w:rsid w:val="00673A21"/>
    <w:rsid w:val="00673AB3"/>
    <w:rsid w:val="00675028"/>
    <w:rsid w:val="00675C85"/>
    <w:rsid w:val="006762EC"/>
    <w:rsid w:val="006764FD"/>
    <w:rsid w:val="00676526"/>
    <w:rsid w:val="006773EC"/>
    <w:rsid w:val="00677CCA"/>
    <w:rsid w:val="00680150"/>
    <w:rsid w:val="006814D0"/>
    <w:rsid w:val="00682B79"/>
    <w:rsid w:val="006836E0"/>
    <w:rsid w:val="00683B58"/>
    <w:rsid w:val="00684815"/>
    <w:rsid w:val="00684F2A"/>
    <w:rsid w:val="006856B0"/>
    <w:rsid w:val="006856E9"/>
    <w:rsid w:val="006858ED"/>
    <w:rsid w:val="00686027"/>
    <w:rsid w:val="00687480"/>
    <w:rsid w:val="00687A1C"/>
    <w:rsid w:val="00687E3C"/>
    <w:rsid w:val="00687EC7"/>
    <w:rsid w:val="006915BE"/>
    <w:rsid w:val="00691601"/>
    <w:rsid w:val="00691713"/>
    <w:rsid w:val="00691E0A"/>
    <w:rsid w:val="006927E4"/>
    <w:rsid w:val="00693522"/>
    <w:rsid w:val="00694993"/>
    <w:rsid w:val="00694A07"/>
    <w:rsid w:val="0069532D"/>
    <w:rsid w:val="006962DB"/>
    <w:rsid w:val="00696913"/>
    <w:rsid w:val="00697984"/>
    <w:rsid w:val="00697A3D"/>
    <w:rsid w:val="006A3118"/>
    <w:rsid w:val="006A35CA"/>
    <w:rsid w:val="006A3616"/>
    <w:rsid w:val="006A5518"/>
    <w:rsid w:val="006A5D63"/>
    <w:rsid w:val="006A6389"/>
    <w:rsid w:val="006A6551"/>
    <w:rsid w:val="006B0E03"/>
    <w:rsid w:val="006B19D2"/>
    <w:rsid w:val="006B26CF"/>
    <w:rsid w:val="006B31A3"/>
    <w:rsid w:val="006B41FC"/>
    <w:rsid w:val="006B4861"/>
    <w:rsid w:val="006B5425"/>
    <w:rsid w:val="006B5F46"/>
    <w:rsid w:val="006B6518"/>
    <w:rsid w:val="006B69A0"/>
    <w:rsid w:val="006B72B1"/>
    <w:rsid w:val="006B784B"/>
    <w:rsid w:val="006C0707"/>
    <w:rsid w:val="006C076D"/>
    <w:rsid w:val="006C19E4"/>
    <w:rsid w:val="006C1CBA"/>
    <w:rsid w:val="006C2905"/>
    <w:rsid w:val="006C314A"/>
    <w:rsid w:val="006C3E71"/>
    <w:rsid w:val="006C3E89"/>
    <w:rsid w:val="006C681D"/>
    <w:rsid w:val="006D00E3"/>
    <w:rsid w:val="006D04C7"/>
    <w:rsid w:val="006D0F60"/>
    <w:rsid w:val="006D22BB"/>
    <w:rsid w:val="006D54F5"/>
    <w:rsid w:val="006D653A"/>
    <w:rsid w:val="006D6721"/>
    <w:rsid w:val="006D679D"/>
    <w:rsid w:val="006E135B"/>
    <w:rsid w:val="006E138F"/>
    <w:rsid w:val="006E3972"/>
    <w:rsid w:val="006E564F"/>
    <w:rsid w:val="006E5BE0"/>
    <w:rsid w:val="006E7797"/>
    <w:rsid w:val="006F1E90"/>
    <w:rsid w:val="006F2A49"/>
    <w:rsid w:val="006F4473"/>
    <w:rsid w:val="006F4D34"/>
    <w:rsid w:val="006F5B7C"/>
    <w:rsid w:val="006F5DCD"/>
    <w:rsid w:val="006F5F47"/>
    <w:rsid w:val="006F61CD"/>
    <w:rsid w:val="006F6CF5"/>
    <w:rsid w:val="0070058F"/>
    <w:rsid w:val="00702029"/>
    <w:rsid w:val="00702D40"/>
    <w:rsid w:val="00703510"/>
    <w:rsid w:val="0070429E"/>
    <w:rsid w:val="00704336"/>
    <w:rsid w:val="00704B9A"/>
    <w:rsid w:val="00706B09"/>
    <w:rsid w:val="00707ED3"/>
    <w:rsid w:val="00710301"/>
    <w:rsid w:val="00711222"/>
    <w:rsid w:val="007122C6"/>
    <w:rsid w:val="007123FA"/>
    <w:rsid w:val="0071341A"/>
    <w:rsid w:val="007153C4"/>
    <w:rsid w:val="00716636"/>
    <w:rsid w:val="00716B69"/>
    <w:rsid w:val="007202E0"/>
    <w:rsid w:val="007208A4"/>
    <w:rsid w:val="007242C2"/>
    <w:rsid w:val="00724A01"/>
    <w:rsid w:val="00724FF4"/>
    <w:rsid w:val="007277F9"/>
    <w:rsid w:val="00733A4F"/>
    <w:rsid w:val="00734099"/>
    <w:rsid w:val="00734BA5"/>
    <w:rsid w:val="007356FB"/>
    <w:rsid w:val="007359F1"/>
    <w:rsid w:val="0073711A"/>
    <w:rsid w:val="00737198"/>
    <w:rsid w:val="0073793A"/>
    <w:rsid w:val="00740668"/>
    <w:rsid w:val="007411A2"/>
    <w:rsid w:val="007412EB"/>
    <w:rsid w:val="00741DBF"/>
    <w:rsid w:val="00742953"/>
    <w:rsid w:val="0074599B"/>
    <w:rsid w:val="00745D14"/>
    <w:rsid w:val="00745FC2"/>
    <w:rsid w:val="007461C3"/>
    <w:rsid w:val="007476DC"/>
    <w:rsid w:val="00747DA2"/>
    <w:rsid w:val="0075044C"/>
    <w:rsid w:val="00750BD7"/>
    <w:rsid w:val="007510FE"/>
    <w:rsid w:val="00751E36"/>
    <w:rsid w:val="00751E8C"/>
    <w:rsid w:val="007525E7"/>
    <w:rsid w:val="00752A6C"/>
    <w:rsid w:val="0075361A"/>
    <w:rsid w:val="007544CD"/>
    <w:rsid w:val="00755355"/>
    <w:rsid w:val="0075553B"/>
    <w:rsid w:val="007561C5"/>
    <w:rsid w:val="00756A9B"/>
    <w:rsid w:val="00760EE3"/>
    <w:rsid w:val="00761550"/>
    <w:rsid w:val="00761886"/>
    <w:rsid w:val="007626B6"/>
    <w:rsid w:val="0076298E"/>
    <w:rsid w:val="00762ACA"/>
    <w:rsid w:val="00762D74"/>
    <w:rsid w:val="00762FCC"/>
    <w:rsid w:val="0076380D"/>
    <w:rsid w:val="00763FB0"/>
    <w:rsid w:val="00764A95"/>
    <w:rsid w:val="00764BAA"/>
    <w:rsid w:val="007650BD"/>
    <w:rsid w:val="0076636C"/>
    <w:rsid w:val="00766A79"/>
    <w:rsid w:val="00766C23"/>
    <w:rsid w:val="0076747E"/>
    <w:rsid w:val="00767679"/>
    <w:rsid w:val="00770889"/>
    <w:rsid w:val="00770953"/>
    <w:rsid w:val="00770E66"/>
    <w:rsid w:val="007712F0"/>
    <w:rsid w:val="007727BD"/>
    <w:rsid w:val="00772FFD"/>
    <w:rsid w:val="0077410E"/>
    <w:rsid w:val="00774970"/>
    <w:rsid w:val="0077518F"/>
    <w:rsid w:val="0077569A"/>
    <w:rsid w:val="0077616D"/>
    <w:rsid w:val="00776F85"/>
    <w:rsid w:val="00777A87"/>
    <w:rsid w:val="00777B32"/>
    <w:rsid w:val="007803EB"/>
    <w:rsid w:val="0078238A"/>
    <w:rsid w:val="007824ED"/>
    <w:rsid w:val="00783531"/>
    <w:rsid w:val="0078401B"/>
    <w:rsid w:val="007851DA"/>
    <w:rsid w:val="007857B1"/>
    <w:rsid w:val="00787778"/>
    <w:rsid w:val="00787F6F"/>
    <w:rsid w:val="0079140C"/>
    <w:rsid w:val="00791B5A"/>
    <w:rsid w:val="007924A4"/>
    <w:rsid w:val="00797AAF"/>
    <w:rsid w:val="007A06AE"/>
    <w:rsid w:val="007A074C"/>
    <w:rsid w:val="007A0EF6"/>
    <w:rsid w:val="007A138B"/>
    <w:rsid w:val="007A1ACD"/>
    <w:rsid w:val="007A1EFA"/>
    <w:rsid w:val="007A5077"/>
    <w:rsid w:val="007A5A04"/>
    <w:rsid w:val="007B0041"/>
    <w:rsid w:val="007B0AFF"/>
    <w:rsid w:val="007B29D0"/>
    <w:rsid w:val="007B3AA8"/>
    <w:rsid w:val="007B6D76"/>
    <w:rsid w:val="007B6FA6"/>
    <w:rsid w:val="007B7A5C"/>
    <w:rsid w:val="007B7CE7"/>
    <w:rsid w:val="007C0173"/>
    <w:rsid w:val="007C089D"/>
    <w:rsid w:val="007C1248"/>
    <w:rsid w:val="007C12E6"/>
    <w:rsid w:val="007C1808"/>
    <w:rsid w:val="007C43F0"/>
    <w:rsid w:val="007C5260"/>
    <w:rsid w:val="007C5ED4"/>
    <w:rsid w:val="007C781A"/>
    <w:rsid w:val="007D1A34"/>
    <w:rsid w:val="007D2E02"/>
    <w:rsid w:val="007D3920"/>
    <w:rsid w:val="007D3D84"/>
    <w:rsid w:val="007D75C4"/>
    <w:rsid w:val="007E03AA"/>
    <w:rsid w:val="007E131E"/>
    <w:rsid w:val="007E1AF6"/>
    <w:rsid w:val="007E1FF5"/>
    <w:rsid w:val="007E5C0B"/>
    <w:rsid w:val="007E6086"/>
    <w:rsid w:val="007E6FD7"/>
    <w:rsid w:val="007E77D6"/>
    <w:rsid w:val="007F02F6"/>
    <w:rsid w:val="007F0584"/>
    <w:rsid w:val="007F22E1"/>
    <w:rsid w:val="007F61B6"/>
    <w:rsid w:val="007F745B"/>
    <w:rsid w:val="007F74AB"/>
    <w:rsid w:val="007F7B6C"/>
    <w:rsid w:val="007F7FED"/>
    <w:rsid w:val="00800634"/>
    <w:rsid w:val="00800A61"/>
    <w:rsid w:val="00802359"/>
    <w:rsid w:val="00802921"/>
    <w:rsid w:val="0080346C"/>
    <w:rsid w:val="0080412C"/>
    <w:rsid w:val="00804F68"/>
    <w:rsid w:val="0080749A"/>
    <w:rsid w:val="00807EFA"/>
    <w:rsid w:val="00807FE6"/>
    <w:rsid w:val="00810B63"/>
    <w:rsid w:val="00810B8C"/>
    <w:rsid w:val="00811A2E"/>
    <w:rsid w:val="00811BF9"/>
    <w:rsid w:val="00811F5F"/>
    <w:rsid w:val="008125FE"/>
    <w:rsid w:val="00813399"/>
    <w:rsid w:val="0081554B"/>
    <w:rsid w:val="0081589E"/>
    <w:rsid w:val="00817DBC"/>
    <w:rsid w:val="00820220"/>
    <w:rsid w:val="00820751"/>
    <w:rsid w:val="008234C0"/>
    <w:rsid w:val="0082382B"/>
    <w:rsid w:val="00823A1A"/>
    <w:rsid w:val="008244E4"/>
    <w:rsid w:val="008246B7"/>
    <w:rsid w:val="0082474B"/>
    <w:rsid w:val="008248E2"/>
    <w:rsid w:val="00827391"/>
    <w:rsid w:val="008303A6"/>
    <w:rsid w:val="00831A36"/>
    <w:rsid w:val="00832F9D"/>
    <w:rsid w:val="0083549C"/>
    <w:rsid w:val="00836413"/>
    <w:rsid w:val="00836E64"/>
    <w:rsid w:val="00836EFC"/>
    <w:rsid w:val="00837D94"/>
    <w:rsid w:val="00841B1E"/>
    <w:rsid w:val="008433FE"/>
    <w:rsid w:val="0084358E"/>
    <w:rsid w:val="00844AC5"/>
    <w:rsid w:val="008453CD"/>
    <w:rsid w:val="00845819"/>
    <w:rsid w:val="00847BC2"/>
    <w:rsid w:val="00850B4D"/>
    <w:rsid w:val="00851AD2"/>
    <w:rsid w:val="008524E8"/>
    <w:rsid w:val="00852C0A"/>
    <w:rsid w:val="008531E0"/>
    <w:rsid w:val="00854B32"/>
    <w:rsid w:val="008569FA"/>
    <w:rsid w:val="00856A53"/>
    <w:rsid w:val="00856FB7"/>
    <w:rsid w:val="00857462"/>
    <w:rsid w:val="0086089A"/>
    <w:rsid w:val="0086123E"/>
    <w:rsid w:val="00861592"/>
    <w:rsid w:val="00861927"/>
    <w:rsid w:val="00861AD0"/>
    <w:rsid w:val="008662C7"/>
    <w:rsid w:val="0086788E"/>
    <w:rsid w:val="00870281"/>
    <w:rsid w:val="00870320"/>
    <w:rsid w:val="00870356"/>
    <w:rsid w:val="0087091C"/>
    <w:rsid w:val="00871069"/>
    <w:rsid w:val="008713B4"/>
    <w:rsid w:val="00872195"/>
    <w:rsid w:val="00872395"/>
    <w:rsid w:val="00873970"/>
    <w:rsid w:val="00873B24"/>
    <w:rsid w:val="00873B45"/>
    <w:rsid w:val="00880437"/>
    <w:rsid w:val="00880ADB"/>
    <w:rsid w:val="00881D75"/>
    <w:rsid w:val="00882B42"/>
    <w:rsid w:val="00882F93"/>
    <w:rsid w:val="0088337C"/>
    <w:rsid w:val="008836FF"/>
    <w:rsid w:val="008846C6"/>
    <w:rsid w:val="0088638D"/>
    <w:rsid w:val="008863B9"/>
    <w:rsid w:val="0089145B"/>
    <w:rsid w:val="008916FE"/>
    <w:rsid w:val="0089361D"/>
    <w:rsid w:val="00894331"/>
    <w:rsid w:val="00895653"/>
    <w:rsid w:val="00895794"/>
    <w:rsid w:val="008A075E"/>
    <w:rsid w:val="008A0975"/>
    <w:rsid w:val="008A1201"/>
    <w:rsid w:val="008A12E8"/>
    <w:rsid w:val="008A1836"/>
    <w:rsid w:val="008A2081"/>
    <w:rsid w:val="008A2822"/>
    <w:rsid w:val="008A2C5B"/>
    <w:rsid w:val="008A46A0"/>
    <w:rsid w:val="008A4A51"/>
    <w:rsid w:val="008A52BA"/>
    <w:rsid w:val="008A5A19"/>
    <w:rsid w:val="008A659D"/>
    <w:rsid w:val="008A6FF8"/>
    <w:rsid w:val="008B0B08"/>
    <w:rsid w:val="008B398C"/>
    <w:rsid w:val="008B3B48"/>
    <w:rsid w:val="008B4056"/>
    <w:rsid w:val="008B4646"/>
    <w:rsid w:val="008B483C"/>
    <w:rsid w:val="008B5501"/>
    <w:rsid w:val="008B57FE"/>
    <w:rsid w:val="008B61D1"/>
    <w:rsid w:val="008B6284"/>
    <w:rsid w:val="008B71B5"/>
    <w:rsid w:val="008B7665"/>
    <w:rsid w:val="008C098B"/>
    <w:rsid w:val="008C0A2C"/>
    <w:rsid w:val="008C0CB1"/>
    <w:rsid w:val="008C1418"/>
    <w:rsid w:val="008C1610"/>
    <w:rsid w:val="008C1DE0"/>
    <w:rsid w:val="008C34D4"/>
    <w:rsid w:val="008C373F"/>
    <w:rsid w:val="008C3782"/>
    <w:rsid w:val="008C41B2"/>
    <w:rsid w:val="008C4E42"/>
    <w:rsid w:val="008C5BFF"/>
    <w:rsid w:val="008C5E08"/>
    <w:rsid w:val="008C63A8"/>
    <w:rsid w:val="008C75E2"/>
    <w:rsid w:val="008C7F82"/>
    <w:rsid w:val="008D18A6"/>
    <w:rsid w:val="008D1C54"/>
    <w:rsid w:val="008D20FA"/>
    <w:rsid w:val="008D3288"/>
    <w:rsid w:val="008D6925"/>
    <w:rsid w:val="008D6A14"/>
    <w:rsid w:val="008E0498"/>
    <w:rsid w:val="008E1521"/>
    <w:rsid w:val="008E2AC6"/>
    <w:rsid w:val="008E4023"/>
    <w:rsid w:val="008E6EC9"/>
    <w:rsid w:val="008E71D0"/>
    <w:rsid w:val="008E73B8"/>
    <w:rsid w:val="008E7BC1"/>
    <w:rsid w:val="008F12FB"/>
    <w:rsid w:val="008F1505"/>
    <w:rsid w:val="008F18F2"/>
    <w:rsid w:val="008F2012"/>
    <w:rsid w:val="008F3083"/>
    <w:rsid w:val="008F3C5C"/>
    <w:rsid w:val="008F3DE2"/>
    <w:rsid w:val="008F42BB"/>
    <w:rsid w:val="008F4630"/>
    <w:rsid w:val="008F5FFE"/>
    <w:rsid w:val="008F7183"/>
    <w:rsid w:val="008F77A5"/>
    <w:rsid w:val="00900F07"/>
    <w:rsid w:val="00901CC8"/>
    <w:rsid w:val="009020E3"/>
    <w:rsid w:val="0090255F"/>
    <w:rsid w:val="009039EB"/>
    <w:rsid w:val="00904A71"/>
    <w:rsid w:val="009053D6"/>
    <w:rsid w:val="00906821"/>
    <w:rsid w:val="00906C69"/>
    <w:rsid w:val="009075A7"/>
    <w:rsid w:val="0091173A"/>
    <w:rsid w:val="0091249A"/>
    <w:rsid w:val="00914CA6"/>
    <w:rsid w:val="00915BA8"/>
    <w:rsid w:val="0091720A"/>
    <w:rsid w:val="00917604"/>
    <w:rsid w:val="00917E55"/>
    <w:rsid w:val="009202F7"/>
    <w:rsid w:val="00920DB3"/>
    <w:rsid w:val="00921B4F"/>
    <w:rsid w:val="00921DD0"/>
    <w:rsid w:val="00922B64"/>
    <w:rsid w:val="00923850"/>
    <w:rsid w:val="00923919"/>
    <w:rsid w:val="00923B2B"/>
    <w:rsid w:val="0092408A"/>
    <w:rsid w:val="009256A4"/>
    <w:rsid w:val="00925911"/>
    <w:rsid w:val="00925AD7"/>
    <w:rsid w:val="00926589"/>
    <w:rsid w:val="00926B88"/>
    <w:rsid w:val="00927451"/>
    <w:rsid w:val="00930167"/>
    <w:rsid w:val="00931016"/>
    <w:rsid w:val="00933A0A"/>
    <w:rsid w:val="00935955"/>
    <w:rsid w:val="00935A6F"/>
    <w:rsid w:val="00935C23"/>
    <w:rsid w:val="00935EBC"/>
    <w:rsid w:val="00936FF3"/>
    <w:rsid w:val="009403E2"/>
    <w:rsid w:val="009412B5"/>
    <w:rsid w:val="00941C1D"/>
    <w:rsid w:val="00943CC8"/>
    <w:rsid w:val="00943E0D"/>
    <w:rsid w:val="00944179"/>
    <w:rsid w:val="009449F3"/>
    <w:rsid w:val="00950D55"/>
    <w:rsid w:val="00951616"/>
    <w:rsid w:val="00953604"/>
    <w:rsid w:val="00953674"/>
    <w:rsid w:val="00953F4B"/>
    <w:rsid w:val="00953F59"/>
    <w:rsid w:val="00954AEE"/>
    <w:rsid w:val="00955839"/>
    <w:rsid w:val="00955E68"/>
    <w:rsid w:val="00956AC6"/>
    <w:rsid w:val="00956B5B"/>
    <w:rsid w:val="00956BC9"/>
    <w:rsid w:val="00961090"/>
    <w:rsid w:val="00962F1E"/>
    <w:rsid w:val="0096352E"/>
    <w:rsid w:val="009640DC"/>
    <w:rsid w:val="0096577D"/>
    <w:rsid w:val="00965E3E"/>
    <w:rsid w:val="0096692C"/>
    <w:rsid w:val="00970211"/>
    <w:rsid w:val="009704FB"/>
    <w:rsid w:val="009708B2"/>
    <w:rsid w:val="00970F1C"/>
    <w:rsid w:val="00971710"/>
    <w:rsid w:val="00971901"/>
    <w:rsid w:val="00971E46"/>
    <w:rsid w:val="00972338"/>
    <w:rsid w:val="00972D97"/>
    <w:rsid w:val="00973B03"/>
    <w:rsid w:val="00973BCE"/>
    <w:rsid w:val="00973D0E"/>
    <w:rsid w:val="00974D9A"/>
    <w:rsid w:val="00975B65"/>
    <w:rsid w:val="0098210C"/>
    <w:rsid w:val="0098320B"/>
    <w:rsid w:val="009834F2"/>
    <w:rsid w:val="00983CDA"/>
    <w:rsid w:val="009844B9"/>
    <w:rsid w:val="009849EF"/>
    <w:rsid w:val="0098572F"/>
    <w:rsid w:val="00986424"/>
    <w:rsid w:val="00986C66"/>
    <w:rsid w:val="00991EF4"/>
    <w:rsid w:val="00993346"/>
    <w:rsid w:val="009935E0"/>
    <w:rsid w:val="009937E1"/>
    <w:rsid w:val="009946D1"/>
    <w:rsid w:val="009954D3"/>
    <w:rsid w:val="009978E2"/>
    <w:rsid w:val="00997974"/>
    <w:rsid w:val="009A0096"/>
    <w:rsid w:val="009A0F88"/>
    <w:rsid w:val="009A164C"/>
    <w:rsid w:val="009A45B8"/>
    <w:rsid w:val="009A4D9C"/>
    <w:rsid w:val="009A5B24"/>
    <w:rsid w:val="009A7B6B"/>
    <w:rsid w:val="009A7DD7"/>
    <w:rsid w:val="009B0E01"/>
    <w:rsid w:val="009B12A6"/>
    <w:rsid w:val="009B3A03"/>
    <w:rsid w:val="009B3D9C"/>
    <w:rsid w:val="009B7198"/>
    <w:rsid w:val="009B7DF0"/>
    <w:rsid w:val="009C07A0"/>
    <w:rsid w:val="009C175B"/>
    <w:rsid w:val="009C1949"/>
    <w:rsid w:val="009C40F6"/>
    <w:rsid w:val="009C4ECF"/>
    <w:rsid w:val="009C52AF"/>
    <w:rsid w:val="009C698B"/>
    <w:rsid w:val="009C69A4"/>
    <w:rsid w:val="009C6B9C"/>
    <w:rsid w:val="009C74CE"/>
    <w:rsid w:val="009D08CE"/>
    <w:rsid w:val="009D244C"/>
    <w:rsid w:val="009D2937"/>
    <w:rsid w:val="009D43B5"/>
    <w:rsid w:val="009D57C2"/>
    <w:rsid w:val="009D6F67"/>
    <w:rsid w:val="009E1459"/>
    <w:rsid w:val="009E1B97"/>
    <w:rsid w:val="009E2167"/>
    <w:rsid w:val="009E2469"/>
    <w:rsid w:val="009E28FF"/>
    <w:rsid w:val="009E434B"/>
    <w:rsid w:val="009E5739"/>
    <w:rsid w:val="009E652F"/>
    <w:rsid w:val="009E6F15"/>
    <w:rsid w:val="009E7D9F"/>
    <w:rsid w:val="009F0071"/>
    <w:rsid w:val="009F088D"/>
    <w:rsid w:val="009F0EE2"/>
    <w:rsid w:val="009F11AE"/>
    <w:rsid w:val="009F2099"/>
    <w:rsid w:val="009F262B"/>
    <w:rsid w:val="009F265A"/>
    <w:rsid w:val="009F434E"/>
    <w:rsid w:val="009F4812"/>
    <w:rsid w:val="009F4E3D"/>
    <w:rsid w:val="009F571D"/>
    <w:rsid w:val="009F5927"/>
    <w:rsid w:val="00A01F85"/>
    <w:rsid w:val="00A021BE"/>
    <w:rsid w:val="00A0324A"/>
    <w:rsid w:val="00A10B67"/>
    <w:rsid w:val="00A11DFB"/>
    <w:rsid w:val="00A12CEE"/>
    <w:rsid w:val="00A142A8"/>
    <w:rsid w:val="00A14957"/>
    <w:rsid w:val="00A168B4"/>
    <w:rsid w:val="00A214EB"/>
    <w:rsid w:val="00A2219F"/>
    <w:rsid w:val="00A22CAC"/>
    <w:rsid w:val="00A23B9A"/>
    <w:rsid w:val="00A24001"/>
    <w:rsid w:val="00A2426F"/>
    <w:rsid w:val="00A2428D"/>
    <w:rsid w:val="00A24BB2"/>
    <w:rsid w:val="00A24CCA"/>
    <w:rsid w:val="00A25286"/>
    <w:rsid w:val="00A256CC"/>
    <w:rsid w:val="00A26065"/>
    <w:rsid w:val="00A26140"/>
    <w:rsid w:val="00A262FE"/>
    <w:rsid w:val="00A26502"/>
    <w:rsid w:val="00A272BA"/>
    <w:rsid w:val="00A27D00"/>
    <w:rsid w:val="00A30A8E"/>
    <w:rsid w:val="00A318B6"/>
    <w:rsid w:val="00A32ADB"/>
    <w:rsid w:val="00A333FE"/>
    <w:rsid w:val="00A3467D"/>
    <w:rsid w:val="00A34B59"/>
    <w:rsid w:val="00A34C56"/>
    <w:rsid w:val="00A34E90"/>
    <w:rsid w:val="00A370B3"/>
    <w:rsid w:val="00A42427"/>
    <w:rsid w:val="00A43863"/>
    <w:rsid w:val="00A44210"/>
    <w:rsid w:val="00A4455E"/>
    <w:rsid w:val="00A46A46"/>
    <w:rsid w:val="00A479FA"/>
    <w:rsid w:val="00A5016F"/>
    <w:rsid w:val="00A503D9"/>
    <w:rsid w:val="00A50AAB"/>
    <w:rsid w:val="00A51995"/>
    <w:rsid w:val="00A52800"/>
    <w:rsid w:val="00A52AF9"/>
    <w:rsid w:val="00A5311C"/>
    <w:rsid w:val="00A558CB"/>
    <w:rsid w:val="00A559F2"/>
    <w:rsid w:val="00A60BC2"/>
    <w:rsid w:val="00A6105F"/>
    <w:rsid w:val="00A61349"/>
    <w:rsid w:val="00A62A30"/>
    <w:rsid w:val="00A63B22"/>
    <w:rsid w:val="00A65369"/>
    <w:rsid w:val="00A6630B"/>
    <w:rsid w:val="00A66EEB"/>
    <w:rsid w:val="00A66FE5"/>
    <w:rsid w:val="00A71063"/>
    <w:rsid w:val="00A71081"/>
    <w:rsid w:val="00A71214"/>
    <w:rsid w:val="00A713F8"/>
    <w:rsid w:val="00A72417"/>
    <w:rsid w:val="00A73D14"/>
    <w:rsid w:val="00A73DFA"/>
    <w:rsid w:val="00A74581"/>
    <w:rsid w:val="00A751DF"/>
    <w:rsid w:val="00A75578"/>
    <w:rsid w:val="00A75FA6"/>
    <w:rsid w:val="00A7607D"/>
    <w:rsid w:val="00A76BEE"/>
    <w:rsid w:val="00A77BFA"/>
    <w:rsid w:val="00A77D3C"/>
    <w:rsid w:val="00A81DC7"/>
    <w:rsid w:val="00A8318F"/>
    <w:rsid w:val="00A8356B"/>
    <w:rsid w:val="00A85231"/>
    <w:rsid w:val="00A86652"/>
    <w:rsid w:val="00A908B9"/>
    <w:rsid w:val="00A90B4C"/>
    <w:rsid w:val="00A911FC"/>
    <w:rsid w:val="00A91CE2"/>
    <w:rsid w:val="00A91E6B"/>
    <w:rsid w:val="00A95636"/>
    <w:rsid w:val="00A9673C"/>
    <w:rsid w:val="00A96A5D"/>
    <w:rsid w:val="00A97C99"/>
    <w:rsid w:val="00AA35C6"/>
    <w:rsid w:val="00AA5AC0"/>
    <w:rsid w:val="00AA700F"/>
    <w:rsid w:val="00AA7BEE"/>
    <w:rsid w:val="00AB39DB"/>
    <w:rsid w:val="00AC0011"/>
    <w:rsid w:val="00AC0785"/>
    <w:rsid w:val="00AC10F9"/>
    <w:rsid w:val="00AC2036"/>
    <w:rsid w:val="00AC2E09"/>
    <w:rsid w:val="00AC462F"/>
    <w:rsid w:val="00AC4BD9"/>
    <w:rsid w:val="00AC4C75"/>
    <w:rsid w:val="00AC5373"/>
    <w:rsid w:val="00AC5B83"/>
    <w:rsid w:val="00AC7D0D"/>
    <w:rsid w:val="00AD0029"/>
    <w:rsid w:val="00AD19BE"/>
    <w:rsid w:val="00AD281F"/>
    <w:rsid w:val="00AD3310"/>
    <w:rsid w:val="00AD53EA"/>
    <w:rsid w:val="00AD724E"/>
    <w:rsid w:val="00AD74BD"/>
    <w:rsid w:val="00AD795E"/>
    <w:rsid w:val="00AE0AFF"/>
    <w:rsid w:val="00AE0CA9"/>
    <w:rsid w:val="00AE12A9"/>
    <w:rsid w:val="00AE1BEE"/>
    <w:rsid w:val="00AE479F"/>
    <w:rsid w:val="00AE4C95"/>
    <w:rsid w:val="00AE5B74"/>
    <w:rsid w:val="00AE65A0"/>
    <w:rsid w:val="00AE7C3D"/>
    <w:rsid w:val="00AF372C"/>
    <w:rsid w:val="00AF4B91"/>
    <w:rsid w:val="00AF4BE8"/>
    <w:rsid w:val="00AF504F"/>
    <w:rsid w:val="00AF75EB"/>
    <w:rsid w:val="00AF7C91"/>
    <w:rsid w:val="00B00BAE"/>
    <w:rsid w:val="00B00DC4"/>
    <w:rsid w:val="00B015E0"/>
    <w:rsid w:val="00B02F22"/>
    <w:rsid w:val="00B0355A"/>
    <w:rsid w:val="00B03C92"/>
    <w:rsid w:val="00B03DCD"/>
    <w:rsid w:val="00B040D1"/>
    <w:rsid w:val="00B04429"/>
    <w:rsid w:val="00B04DB8"/>
    <w:rsid w:val="00B0526D"/>
    <w:rsid w:val="00B078C6"/>
    <w:rsid w:val="00B11730"/>
    <w:rsid w:val="00B12D52"/>
    <w:rsid w:val="00B13A74"/>
    <w:rsid w:val="00B13FFA"/>
    <w:rsid w:val="00B140DD"/>
    <w:rsid w:val="00B15256"/>
    <w:rsid w:val="00B167EB"/>
    <w:rsid w:val="00B16B13"/>
    <w:rsid w:val="00B21254"/>
    <w:rsid w:val="00B21837"/>
    <w:rsid w:val="00B21C9C"/>
    <w:rsid w:val="00B2206C"/>
    <w:rsid w:val="00B22450"/>
    <w:rsid w:val="00B23CF6"/>
    <w:rsid w:val="00B2408F"/>
    <w:rsid w:val="00B241B6"/>
    <w:rsid w:val="00B255EF"/>
    <w:rsid w:val="00B30E62"/>
    <w:rsid w:val="00B31F1A"/>
    <w:rsid w:val="00B3231C"/>
    <w:rsid w:val="00B32C63"/>
    <w:rsid w:val="00B33005"/>
    <w:rsid w:val="00B3309A"/>
    <w:rsid w:val="00B3314A"/>
    <w:rsid w:val="00B331B3"/>
    <w:rsid w:val="00B35794"/>
    <w:rsid w:val="00B371DA"/>
    <w:rsid w:val="00B37274"/>
    <w:rsid w:val="00B4044E"/>
    <w:rsid w:val="00B416AB"/>
    <w:rsid w:val="00B41C9E"/>
    <w:rsid w:val="00B4253C"/>
    <w:rsid w:val="00B4283B"/>
    <w:rsid w:val="00B42C49"/>
    <w:rsid w:val="00B43D05"/>
    <w:rsid w:val="00B443CE"/>
    <w:rsid w:val="00B45773"/>
    <w:rsid w:val="00B45A44"/>
    <w:rsid w:val="00B47F6A"/>
    <w:rsid w:val="00B51809"/>
    <w:rsid w:val="00B51D24"/>
    <w:rsid w:val="00B53041"/>
    <w:rsid w:val="00B53487"/>
    <w:rsid w:val="00B53A1B"/>
    <w:rsid w:val="00B5495B"/>
    <w:rsid w:val="00B55B64"/>
    <w:rsid w:val="00B575A4"/>
    <w:rsid w:val="00B604FE"/>
    <w:rsid w:val="00B60E6B"/>
    <w:rsid w:val="00B61BD2"/>
    <w:rsid w:val="00B61F69"/>
    <w:rsid w:val="00B6258C"/>
    <w:rsid w:val="00B6284C"/>
    <w:rsid w:val="00B644AB"/>
    <w:rsid w:val="00B64E4C"/>
    <w:rsid w:val="00B653EA"/>
    <w:rsid w:val="00B67EFC"/>
    <w:rsid w:val="00B70BEC"/>
    <w:rsid w:val="00B731F4"/>
    <w:rsid w:val="00B745BA"/>
    <w:rsid w:val="00B74A1A"/>
    <w:rsid w:val="00B74B16"/>
    <w:rsid w:val="00B74D16"/>
    <w:rsid w:val="00B75D66"/>
    <w:rsid w:val="00B75F19"/>
    <w:rsid w:val="00B7768B"/>
    <w:rsid w:val="00B77C45"/>
    <w:rsid w:val="00B81F9B"/>
    <w:rsid w:val="00B8234D"/>
    <w:rsid w:val="00B8258A"/>
    <w:rsid w:val="00B82988"/>
    <w:rsid w:val="00B833F7"/>
    <w:rsid w:val="00B83D6C"/>
    <w:rsid w:val="00B86185"/>
    <w:rsid w:val="00B86329"/>
    <w:rsid w:val="00B87F4F"/>
    <w:rsid w:val="00B9023E"/>
    <w:rsid w:val="00B904E3"/>
    <w:rsid w:val="00B9135C"/>
    <w:rsid w:val="00B93344"/>
    <w:rsid w:val="00B963E6"/>
    <w:rsid w:val="00B96EB7"/>
    <w:rsid w:val="00BA096B"/>
    <w:rsid w:val="00BA2AB0"/>
    <w:rsid w:val="00BA7742"/>
    <w:rsid w:val="00BB0ACF"/>
    <w:rsid w:val="00BB1788"/>
    <w:rsid w:val="00BB253A"/>
    <w:rsid w:val="00BB3502"/>
    <w:rsid w:val="00BB384B"/>
    <w:rsid w:val="00BB39BC"/>
    <w:rsid w:val="00BB3BF7"/>
    <w:rsid w:val="00BB3C18"/>
    <w:rsid w:val="00BB3DC1"/>
    <w:rsid w:val="00BB4147"/>
    <w:rsid w:val="00BB65A1"/>
    <w:rsid w:val="00BB7A43"/>
    <w:rsid w:val="00BB7AAE"/>
    <w:rsid w:val="00BC0B31"/>
    <w:rsid w:val="00BC114C"/>
    <w:rsid w:val="00BC11AD"/>
    <w:rsid w:val="00BC1989"/>
    <w:rsid w:val="00BC2798"/>
    <w:rsid w:val="00BC365A"/>
    <w:rsid w:val="00BC4BDA"/>
    <w:rsid w:val="00BC5F64"/>
    <w:rsid w:val="00BC614A"/>
    <w:rsid w:val="00BC679F"/>
    <w:rsid w:val="00BC6BBE"/>
    <w:rsid w:val="00BD0E40"/>
    <w:rsid w:val="00BD1567"/>
    <w:rsid w:val="00BD1574"/>
    <w:rsid w:val="00BD169D"/>
    <w:rsid w:val="00BD3D3C"/>
    <w:rsid w:val="00BD43BA"/>
    <w:rsid w:val="00BD58EB"/>
    <w:rsid w:val="00BD647B"/>
    <w:rsid w:val="00BD7133"/>
    <w:rsid w:val="00BD7A3E"/>
    <w:rsid w:val="00BD7DD9"/>
    <w:rsid w:val="00BE4C85"/>
    <w:rsid w:val="00BE5F45"/>
    <w:rsid w:val="00BE72FC"/>
    <w:rsid w:val="00BE77C0"/>
    <w:rsid w:val="00BF04EA"/>
    <w:rsid w:val="00BF0C91"/>
    <w:rsid w:val="00BF3C2F"/>
    <w:rsid w:val="00BF4777"/>
    <w:rsid w:val="00BF4897"/>
    <w:rsid w:val="00BF4B52"/>
    <w:rsid w:val="00BF5ABB"/>
    <w:rsid w:val="00BF701A"/>
    <w:rsid w:val="00BF70C5"/>
    <w:rsid w:val="00BF71D3"/>
    <w:rsid w:val="00C01826"/>
    <w:rsid w:val="00C01F62"/>
    <w:rsid w:val="00C03F5B"/>
    <w:rsid w:val="00C0419D"/>
    <w:rsid w:val="00C06DC8"/>
    <w:rsid w:val="00C10D6D"/>
    <w:rsid w:val="00C1293C"/>
    <w:rsid w:val="00C137D1"/>
    <w:rsid w:val="00C16D89"/>
    <w:rsid w:val="00C200DB"/>
    <w:rsid w:val="00C202FD"/>
    <w:rsid w:val="00C20952"/>
    <w:rsid w:val="00C22C7D"/>
    <w:rsid w:val="00C22D2E"/>
    <w:rsid w:val="00C24058"/>
    <w:rsid w:val="00C2771E"/>
    <w:rsid w:val="00C27FEE"/>
    <w:rsid w:val="00C303E0"/>
    <w:rsid w:val="00C30903"/>
    <w:rsid w:val="00C30BF9"/>
    <w:rsid w:val="00C34037"/>
    <w:rsid w:val="00C3453B"/>
    <w:rsid w:val="00C347D2"/>
    <w:rsid w:val="00C35A88"/>
    <w:rsid w:val="00C36EB7"/>
    <w:rsid w:val="00C37A2F"/>
    <w:rsid w:val="00C37BBB"/>
    <w:rsid w:val="00C40564"/>
    <w:rsid w:val="00C40595"/>
    <w:rsid w:val="00C4187A"/>
    <w:rsid w:val="00C41D83"/>
    <w:rsid w:val="00C431BC"/>
    <w:rsid w:val="00C43D62"/>
    <w:rsid w:val="00C442A7"/>
    <w:rsid w:val="00C44A0F"/>
    <w:rsid w:val="00C44AE2"/>
    <w:rsid w:val="00C44C69"/>
    <w:rsid w:val="00C44D73"/>
    <w:rsid w:val="00C45757"/>
    <w:rsid w:val="00C471CC"/>
    <w:rsid w:val="00C478A1"/>
    <w:rsid w:val="00C53177"/>
    <w:rsid w:val="00C552CC"/>
    <w:rsid w:val="00C563D7"/>
    <w:rsid w:val="00C57B6F"/>
    <w:rsid w:val="00C57E92"/>
    <w:rsid w:val="00C64DE9"/>
    <w:rsid w:val="00C65A4B"/>
    <w:rsid w:val="00C6677F"/>
    <w:rsid w:val="00C6752E"/>
    <w:rsid w:val="00C70263"/>
    <w:rsid w:val="00C71CDB"/>
    <w:rsid w:val="00C72599"/>
    <w:rsid w:val="00C7437A"/>
    <w:rsid w:val="00C745E4"/>
    <w:rsid w:val="00C75440"/>
    <w:rsid w:val="00C80ECC"/>
    <w:rsid w:val="00C822CD"/>
    <w:rsid w:val="00C82C51"/>
    <w:rsid w:val="00C84804"/>
    <w:rsid w:val="00C86F4A"/>
    <w:rsid w:val="00C878A4"/>
    <w:rsid w:val="00C879F3"/>
    <w:rsid w:val="00C90025"/>
    <w:rsid w:val="00C90B9B"/>
    <w:rsid w:val="00C90DC4"/>
    <w:rsid w:val="00C912E0"/>
    <w:rsid w:val="00C9171E"/>
    <w:rsid w:val="00C91D04"/>
    <w:rsid w:val="00C9215B"/>
    <w:rsid w:val="00C925F3"/>
    <w:rsid w:val="00C92ABF"/>
    <w:rsid w:val="00C93530"/>
    <w:rsid w:val="00C93615"/>
    <w:rsid w:val="00C94043"/>
    <w:rsid w:val="00C960B2"/>
    <w:rsid w:val="00C96B18"/>
    <w:rsid w:val="00C96C49"/>
    <w:rsid w:val="00C97B80"/>
    <w:rsid w:val="00C97E94"/>
    <w:rsid w:val="00CA0D79"/>
    <w:rsid w:val="00CA0E5F"/>
    <w:rsid w:val="00CA29BD"/>
    <w:rsid w:val="00CA3282"/>
    <w:rsid w:val="00CA4C68"/>
    <w:rsid w:val="00CA6A83"/>
    <w:rsid w:val="00CA6E97"/>
    <w:rsid w:val="00CA7526"/>
    <w:rsid w:val="00CA7924"/>
    <w:rsid w:val="00CB1061"/>
    <w:rsid w:val="00CB1134"/>
    <w:rsid w:val="00CB181D"/>
    <w:rsid w:val="00CB1999"/>
    <w:rsid w:val="00CB1A45"/>
    <w:rsid w:val="00CB3CB4"/>
    <w:rsid w:val="00CB40B1"/>
    <w:rsid w:val="00CB5377"/>
    <w:rsid w:val="00CB65A1"/>
    <w:rsid w:val="00CB70E6"/>
    <w:rsid w:val="00CC05DB"/>
    <w:rsid w:val="00CC1884"/>
    <w:rsid w:val="00CC4555"/>
    <w:rsid w:val="00CC50FC"/>
    <w:rsid w:val="00CC67E3"/>
    <w:rsid w:val="00CC7704"/>
    <w:rsid w:val="00CC7847"/>
    <w:rsid w:val="00CC7A1D"/>
    <w:rsid w:val="00CD00E7"/>
    <w:rsid w:val="00CD14EE"/>
    <w:rsid w:val="00CD1E42"/>
    <w:rsid w:val="00CD2F3B"/>
    <w:rsid w:val="00CD42AF"/>
    <w:rsid w:val="00CD432D"/>
    <w:rsid w:val="00CD6DEF"/>
    <w:rsid w:val="00CD7DB3"/>
    <w:rsid w:val="00CE06C8"/>
    <w:rsid w:val="00CE0F6E"/>
    <w:rsid w:val="00CE3CE5"/>
    <w:rsid w:val="00CE4263"/>
    <w:rsid w:val="00CE657B"/>
    <w:rsid w:val="00CE6586"/>
    <w:rsid w:val="00CE66D1"/>
    <w:rsid w:val="00CE7EDB"/>
    <w:rsid w:val="00CF3ACF"/>
    <w:rsid w:val="00CF3E4B"/>
    <w:rsid w:val="00CF406A"/>
    <w:rsid w:val="00CF47F7"/>
    <w:rsid w:val="00CF58D1"/>
    <w:rsid w:val="00CF5CC9"/>
    <w:rsid w:val="00CF619E"/>
    <w:rsid w:val="00CF7590"/>
    <w:rsid w:val="00D00110"/>
    <w:rsid w:val="00D02FCB"/>
    <w:rsid w:val="00D03A37"/>
    <w:rsid w:val="00D042F6"/>
    <w:rsid w:val="00D05825"/>
    <w:rsid w:val="00D06C6C"/>
    <w:rsid w:val="00D07266"/>
    <w:rsid w:val="00D10768"/>
    <w:rsid w:val="00D11232"/>
    <w:rsid w:val="00D11C26"/>
    <w:rsid w:val="00D13C5C"/>
    <w:rsid w:val="00D1441D"/>
    <w:rsid w:val="00D1449F"/>
    <w:rsid w:val="00D14B0C"/>
    <w:rsid w:val="00D15C3C"/>
    <w:rsid w:val="00D15D09"/>
    <w:rsid w:val="00D15F5B"/>
    <w:rsid w:val="00D16409"/>
    <w:rsid w:val="00D1642A"/>
    <w:rsid w:val="00D16B35"/>
    <w:rsid w:val="00D17BEF"/>
    <w:rsid w:val="00D20DB7"/>
    <w:rsid w:val="00D21670"/>
    <w:rsid w:val="00D21A83"/>
    <w:rsid w:val="00D225C6"/>
    <w:rsid w:val="00D22DFD"/>
    <w:rsid w:val="00D242C6"/>
    <w:rsid w:val="00D268CD"/>
    <w:rsid w:val="00D27CC7"/>
    <w:rsid w:val="00D27D3F"/>
    <w:rsid w:val="00D27FEC"/>
    <w:rsid w:val="00D305C5"/>
    <w:rsid w:val="00D31C7F"/>
    <w:rsid w:val="00D330DC"/>
    <w:rsid w:val="00D33B17"/>
    <w:rsid w:val="00D362CF"/>
    <w:rsid w:val="00D366A9"/>
    <w:rsid w:val="00D371EF"/>
    <w:rsid w:val="00D37385"/>
    <w:rsid w:val="00D37DA8"/>
    <w:rsid w:val="00D41177"/>
    <w:rsid w:val="00D41B1E"/>
    <w:rsid w:val="00D427E6"/>
    <w:rsid w:val="00D430D2"/>
    <w:rsid w:val="00D4513A"/>
    <w:rsid w:val="00D4533A"/>
    <w:rsid w:val="00D45704"/>
    <w:rsid w:val="00D45995"/>
    <w:rsid w:val="00D46406"/>
    <w:rsid w:val="00D47382"/>
    <w:rsid w:val="00D474B9"/>
    <w:rsid w:val="00D47657"/>
    <w:rsid w:val="00D47805"/>
    <w:rsid w:val="00D47A8A"/>
    <w:rsid w:val="00D47C4A"/>
    <w:rsid w:val="00D50D6B"/>
    <w:rsid w:val="00D50DF0"/>
    <w:rsid w:val="00D516A8"/>
    <w:rsid w:val="00D51D7C"/>
    <w:rsid w:val="00D53131"/>
    <w:rsid w:val="00D5388A"/>
    <w:rsid w:val="00D5390A"/>
    <w:rsid w:val="00D557C8"/>
    <w:rsid w:val="00D6245F"/>
    <w:rsid w:val="00D626BB"/>
    <w:rsid w:val="00D66462"/>
    <w:rsid w:val="00D6687D"/>
    <w:rsid w:val="00D66EAB"/>
    <w:rsid w:val="00D70CDD"/>
    <w:rsid w:val="00D71CD5"/>
    <w:rsid w:val="00D72481"/>
    <w:rsid w:val="00D74073"/>
    <w:rsid w:val="00D749E5"/>
    <w:rsid w:val="00D75BA2"/>
    <w:rsid w:val="00D7642B"/>
    <w:rsid w:val="00D767D2"/>
    <w:rsid w:val="00D76A15"/>
    <w:rsid w:val="00D80758"/>
    <w:rsid w:val="00D80E68"/>
    <w:rsid w:val="00D81094"/>
    <w:rsid w:val="00D81126"/>
    <w:rsid w:val="00D81493"/>
    <w:rsid w:val="00D82381"/>
    <w:rsid w:val="00D83170"/>
    <w:rsid w:val="00D8332E"/>
    <w:rsid w:val="00D833EE"/>
    <w:rsid w:val="00D84874"/>
    <w:rsid w:val="00D85E57"/>
    <w:rsid w:val="00D93522"/>
    <w:rsid w:val="00D94C6D"/>
    <w:rsid w:val="00D94E3A"/>
    <w:rsid w:val="00D94E45"/>
    <w:rsid w:val="00D9535F"/>
    <w:rsid w:val="00D95CAB"/>
    <w:rsid w:val="00D97B6E"/>
    <w:rsid w:val="00DA14DD"/>
    <w:rsid w:val="00DA3AFF"/>
    <w:rsid w:val="00DA3E29"/>
    <w:rsid w:val="00DA5CB0"/>
    <w:rsid w:val="00DA6E43"/>
    <w:rsid w:val="00DA7505"/>
    <w:rsid w:val="00DB0B33"/>
    <w:rsid w:val="00DB0D0F"/>
    <w:rsid w:val="00DB11D6"/>
    <w:rsid w:val="00DB142F"/>
    <w:rsid w:val="00DB1645"/>
    <w:rsid w:val="00DB1DF1"/>
    <w:rsid w:val="00DB23CF"/>
    <w:rsid w:val="00DB5098"/>
    <w:rsid w:val="00DB51CB"/>
    <w:rsid w:val="00DB55A9"/>
    <w:rsid w:val="00DB5AE0"/>
    <w:rsid w:val="00DB6722"/>
    <w:rsid w:val="00DB68F9"/>
    <w:rsid w:val="00DB7D2E"/>
    <w:rsid w:val="00DB7F3A"/>
    <w:rsid w:val="00DC1EDB"/>
    <w:rsid w:val="00DC40A6"/>
    <w:rsid w:val="00DC72C0"/>
    <w:rsid w:val="00DC78DD"/>
    <w:rsid w:val="00DD0494"/>
    <w:rsid w:val="00DD1DED"/>
    <w:rsid w:val="00DD286F"/>
    <w:rsid w:val="00DD2FAF"/>
    <w:rsid w:val="00DD32A7"/>
    <w:rsid w:val="00DD3C17"/>
    <w:rsid w:val="00DD4012"/>
    <w:rsid w:val="00DD43B6"/>
    <w:rsid w:val="00DD4A2F"/>
    <w:rsid w:val="00DD4E93"/>
    <w:rsid w:val="00DD5363"/>
    <w:rsid w:val="00DD55F0"/>
    <w:rsid w:val="00DD5CA6"/>
    <w:rsid w:val="00DD6282"/>
    <w:rsid w:val="00DD7B57"/>
    <w:rsid w:val="00DE0081"/>
    <w:rsid w:val="00DE0429"/>
    <w:rsid w:val="00DE1233"/>
    <w:rsid w:val="00DE1770"/>
    <w:rsid w:val="00DE1A0A"/>
    <w:rsid w:val="00DE2877"/>
    <w:rsid w:val="00DE3DC9"/>
    <w:rsid w:val="00DE3FC4"/>
    <w:rsid w:val="00DE4204"/>
    <w:rsid w:val="00DE54A2"/>
    <w:rsid w:val="00DE56B9"/>
    <w:rsid w:val="00DE56E6"/>
    <w:rsid w:val="00DE6BF7"/>
    <w:rsid w:val="00DF029E"/>
    <w:rsid w:val="00DF14C0"/>
    <w:rsid w:val="00DF1A6D"/>
    <w:rsid w:val="00DF1B87"/>
    <w:rsid w:val="00DF1C0F"/>
    <w:rsid w:val="00DF3190"/>
    <w:rsid w:val="00DF3E35"/>
    <w:rsid w:val="00DF4D94"/>
    <w:rsid w:val="00DF5D25"/>
    <w:rsid w:val="00DF6EB0"/>
    <w:rsid w:val="00DF7D9E"/>
    <w:rsid w:val="00E00402"/>
    <w:rsid w:val="00E00BDF"/>
    <w:rsid w:val="00E00C57"/>
    <w:rsid w:val="00E013FD"/>
    <w:rsid w:val="00E026C4"/>
    <w:rsid w:val="00E02ABB"/>
    <w:rsid w:val="00E03181"/>
    <w:rsid w:val="00E04686"/>
    <w:rsid w:val="00E0473B"/>
    <w:rsid w:val="00E04B94"/>
    <w:rsid w:val="00E05F85"/>
    <w:rsid w:val="00E060AB"/>
    <w:rsid w:val="00E07278"/>
    <w:rsid w:val="00E0756A"/>
    <w:rsid w:val="00E07A84"/>
    <w:rsid w:val="00E100FA"/>
    <w:rsid w:val="00E11F2E"/>
    <w:rsid w:val="00E123F9"/>
    <w:rsid w:val="00E12C91"/>
    <w:rsid w:val="00E14C76"/>
    <w:rsid w:val="00E15177"/>
    <w:rsid w:val="00E165CA"/>
    <w:rsid w:val="00E17370"/>
    <w:rsid w:val="00E17696"/>
    <w:rsid w:val="00E20220"/>
    <w:rsid w:val="00E21A73"/>
    <w:rsid w:val="00E21E83"/>
    <w:rsid w:val="00E238CC"/>
    <w:rsid w:val="00E2565D"/>
    <w:rsid w:val="00E265AB"/>
    <w:rsid w:val="00E3057D"/>
    <w:rsid w:val="00E30882"/>
    <w:rsid w:val="00E309A6"/>
    <w:rsid w:val="00E3125F"/>
    <w:rsid w:val="00E31CBC"/>
    <w:rsid w:val="00E328CC"/>
    <w:rsid w:val="00E34980"/>
    <w:rsid w:val="00E35397"/>
    <w:rsid w:val="00E36B2B"/>
    <w:rsid w:val="00E37AFD"/>
    <w:rsid w:val="00E401F2"/>
    <w:rsid w:val="00E4084D"/>
    <w:rsid w:val="00E4115A"/>
    <w:rsid w:val="00E43471"/>
    <w:rsid w:val="00E4456E"/>
    <w:rsid w:val="00E44E8A"/>
    <w:rsid w:val="00E4549E"/>
    <w:rsid w:val="00E46727"/>
    <w:rsid w:val="00E4760C"/>
    <w:rsid w:val="00E47707"/>
    <w:rsid w:val="00E520EE"/>
    <w:rsid w:val="00E52818"/>
    <w:rsid w:val="00E53092"/>
    <w:rsid w:val="00E54B0D"/>
    <w:rsid w:val="00E55AE3"/>
    <w:rsid w:val="00E57BB6"/>
    <w:rsid w:val="00E60CC6"/>
    <w:rsid w:val="00E60FC4"/>
    <w:rsid w:val="00E61077"/>
    <w:rsid w:val="00E610BA"/>
    <w:rsid w:val="00E6126F"/>
    <w:rsid w:val="00E61B7A"/>
    <w:rsid w:val="00E622F9"/>
    <w:rsid w:val="00E62871"/>
    <w:rsid w:val="00E62BC2"/>
    <w:rsid w:val="00E661C8"/>
    <w:rsid w:val="00E664D0"/>
    <w:rsid w:val="00E667E5"/>
    <w:rsid w:val="00E66D47"/>
    <w:rsid w:val="00E7050E"/>
    <w:rsid w:val="00E709A3"/>
    <w:rsid w:val="00E70A23"/>
    <w:rsid w:val="00E7159C"/>
    <w:rsid w:val="00E71869"/>
    <w:rsid w:val="00E71D9B"/>
    <w:rsid w:val="00E73419"/>
    <w:rsid w:val="00E754B7"/>
    <w:rsid w:val="00E756A9"/>
    <w:rsid w:val="00E75B50"/>
    <w:rsid w:val="00E77153"/>
    <w:rsid w:val="00E77DC2"/>
    <w:rsid w:val="00E77E71"/>
    <w:rsid w:val="00E84288"/>
    <w:rsid w:val="00E9193A"/>
    <w:rsid w:val="00E92E31"/>
    <w:rsid w:val="00E94CE6"/>
    <w:rsid w:val="00E95382"/>
    <w:rsid w:val="00E97672"/>
    <w:rsid w:val="00EA0596"/>
    <w:rsid w:val="00EA07DA"/>
    <w:rsid w:val="00EA1FF5"/>
    <w:rsid w:val="00EA4B8C"/>
    <w:rsid w:val="00EA6392"/>
    <w:rsid w:val="00EA6BA8"/>
    <w:rsid w:val="00EB171C"/>
    <w:rsid w:val="00EB1FD1"/>
    <w:rsid w:val="00EB24F0"/>
    <w:rsid w:val="00EB3C52"/>
    <w:rsid w:val="00EB3C90"/>
    <w:rsid w:val="00EB3CA8"/>
    <w:rsid w:val="00EB3FCE"/>
    <w:rsid w:val="00EB4535"/>
    <w:rsid w:val="00EB6FC3"/>
    <w:rsid w:val="00EB74E6"/>
    <w:rsid w:val="00EC03DA"/>
    <w:rsid w:val="00EC03E8"/>
    <w:rsid w:val="00EC2340"/>
    <w:rsid w:val="00EC7321"/>
    <w:rsid w:val="00EC7ADB"/>
    <w:rsid w:val="00EC7F81"/>
    <w:rsid w:val="00ED0938"/>
    <w:rsid w:val="00ED0CA3"/>
    <w:rsid w:val="00ED23CA"/>
    <w:rsid w:val="00ED2CE7"/>
    <w:rsid w:val="00ED3507"/>
    <w:rsid w:val="00ED375B"/>
    <w:rsid w:val="00ED3FA5"/>
    <w:rsid w:val="00ED4B16"/>
    <w:rsid w:val="00ED4DC0"/>
    <w:rsid w:val="00ED4F8D"/>
    <w:rsid w:val="00ED5605"/>
    <w:rsid w:val="00ED7F6E"/>
    <w:rsid w:val="00EE00F2"/>
    <w:rsid w:val="00EE05B5"/>
    <w:rsid w:val="00EE06A6"/>
    <w:rsid w:val="00EE0A8E"/>
    <w:rsid w:val="00EE0AB9"/>
    <w:rsid w:val="00EE0D36"/>
    <w:rsid w:val="00EE168F"/>
    <w:rsid w:val="00EE25C0"/>
    <w:rsid w:val="00EE27E2"/>
    <w:rsid w:val="00EE2B92"/>
    <w:rsid w:val="00EE3FAE"/>
    <w:rsid w:val="00EE4406"/>
    <w:rsid w:val="00EE4A52"/>
    <w:rsid w:val="00EE523F"/>
    <w:rsid w:val="00EE57D4"/>
    <w:rsid w:val="00EE60EC"/>
    <w:rsid w:val="00EE6D55"/>
    <w:rsid w:val="00EF0E31"/>
    <w:rsid w:val="00EF26FF"/>
    <w:rsid w:val="00EF4331"/>
    <w:rsid w:val="00EF7CEB"/>
    <w:rsid w:val="00F05E4E"/>
    <w:rsid w:val="00F05E8C"/>
    <w:rsid w:val="00F06871"/>
    <w:rsid w:val="00F0688C"/>
    <w:rsid w:val="00F06F4F"/>
    <w:rsid w:val="00F104DA"/>
    <w:rsid w:val="00F1091E"/>
    <w:rsid w:val="00F109FF"/>
    <w:rsid w:val="00F110D8"/>
    <w:rsid w:val="00F115EF"/>
    <w:rsid w:val="00F11FCD"/>
    <w:rsid w:val="00F1544E"/>
    <w:rsid w:val="00F158C1"/>
    <w:rsid w:val="00F15AB5"/>
    <w:rsid w:val="00F1668B"/>
    <w:rsid w:val="00F16780"/>
    <w:rsid w:val="00F174B4"/>
    <w:rsid w:val="00F20012"/>
    <w:rsid w:val="00F20361"/>
    <w:rsid w:val="00F20BED"/>
    <w:rsid w:val="00F223B5"/>
    <w:rsid w:val="00F22855"/>
    <w:rsid w:val="00F22AD1"/>
    <w:rsid w:val="00F24847"/>
    <w:rsid w:val="00F25658"/>
    <w:rsid w:val="00F25798"/>
    <w:rsid w:val="00F26D58"/>
    <w:rsid w:val="00F2714E"/>
    <w:rsid w:val="00F2775F"/>
    <w:rsid w:val="00F3069D"/>
    <w:rsid w:val="00F30797"/>
    <w:rsid w:val="00F30A7F"/>
    <w:rsid w:val="00F33135"/>
    <w:rsid w:val="00F3347E"/>
    <w:rsid w:val="00F365A4"/>
    <w:rsid w:val="00F378AF"/>
    <w:rsid w:val="00F404F0"/>
    <w:rsid w:val="00F40877"/>
    <w:rsid w:val="00F40A17"/>
    <w:rsid w:val="00F4133B"/>
    <w:rsid w:val="00F41E5F"/>
    <w:rsid w:val="00F4338F"/>
    <w:rsid w:val="00F4425C"/>
    <w:rsid w:val="00F4567E"/>
    <w:rsid w:val="00F45AE5"/>
    <w:rsid w:val="00F46169"/>
    <w:rsid w:val="00F47EA7"/>
    <w:rsid w:val="00F47F57"/>
    <w:rsid w:val="00F50595"/>
    <w:rsid w:val="00F50C23"/>
    <w:rsid w:val="00F51B48"/>
    <w:rsid w:val="00F51CAB"/>
    <w:rsid w:val="00F52523"/>
    <w:rsid w:val="00F52739"/>
    <w:rsid w:val="00F54653"/>
    <w:rsid w:val="00F5486B"/>
    <w:rsid w:val="00F54A71"/>
    <w:rsid w:val="00F54C63"/>
    <w:rsid w:val="00F5609D"/>
    <w:rsid w:val="00F563BC"/>
    <w:rsid w:val="00F571E2"/>
    <w:rsid w:val="00F57BA7"/>
    <w:rsid w:val="00F60560"/>
    <w:rsid w:val="00F60DD6"/>
    <w:rsid w:val="00F610EC"/>
    <w:rsid w:val="00F61E32"/>
    <w:rsid w:val="00F61E93"/>
    <w:rsid w:val="00F622B3"/>
    <w:rsid w:val="00F62E40"/>
    <w:rsid w:val="00F6611E"/>
    <w:rsid w:val="00F7196F"/>
    <w:rsid w:val="00F72E0F"/>
    <w:rsid w:val="00F7420F"/>
    <w:rsid w:val="00F77372"/>
    <w:rsid w:val="00F77AE0"/>
    <w:rsid w:val="00F80369"/>
    <w:rsid w:val="00F817E8"/>
    <w:rsid w:val="00F82996"/>
    <w:rsid w:val="00F83519"/>
    <w:rsid w:val="00F84408"/>
    <w:rsid w:val="00F864D5"/>
    <w:rsid w:val="00F86AA9"/>
    <w:rsid w:val="00F906A5"/>
    <w:rsid w:val="00F92EBD"/>
    <w:rsid w:val="00F933C4"/>
    <w:rsid w:val="00F93BE2"/>
    <w:rsid w:val="00F96446"/>
    <w:rsid w:val="00F96F0A"/>
    <w:rsid w:val="00FA19AD"/>
    <w:rsid w:val="00FA5D65"/>
    <w:rsid w:val="00FA5F85"/>
    <w:rsid w:val="00FA6106"/>
    <w:rsid w:val="00FA6242"/>
    <w:rsid w:val="00FA6456"/>
    <w:rsid w:val="00FA68C2"/>
    <w:rsid w:val="00FA7206"/>
    <w:rsid w:val="00FA7E82"/>
    <w:rsid w:val="00FB0035"/>
    <w:rsid w:val="00FB06E4"/>
    <w:rsid w:val="00FB0AC2"/>
    <w:rsid w:val="00FB32AF"/>
    <w:rsid w:val="00FB5735"/>
    <w:rsid w:val="00FB6513"/>
    <w:rsid w:val="00FC1A36"/>
    <w:rsid w:val="00FC2847"/>
    <w:rsid w:val="00FC2F77"/>
    <w:rsid w:val="00FC3240"/>
    <w:rsid w:val="00FC566A"/>
    <w:rsid w:val="00FC56C6"/>
    <w:rsid w:val="00FC5706"/>
    <w:rsid w:val="00FD18BF"/>
    <w:rsid w:val="00FD2CC2"/>
    <w:rsid w:val="00FD2CFA"/>
    <w:rsid w:val="00FD3613"/>
    <w:rsid w:val="00FD362B"/>
    <w:rsid w:val="00FD4495"/>
    <w:rsid w:val="00FD4B84"/>
    <w:rsid w:val="00FD5476"/>
    <w:rsid w:val="00FD567B"/>
    <w:rsid w:val="00FD59F2"/>
    <w:rsid w:val="00FD60D1"/>
    <w:rsid w:val="00FD6E1E"/>
    <w:rsid w:val="00FD7BD9"/>
    <w:rsid w:val="00FD7D98"/>
    <w:rsid w:val="00FD7F1E"/>
    <w:rsid w:val="00FE010E"/>
    <w:rsid w:val="00FE0DAF"/>
    <w:rsid w:val="00FE254F"/>
    <w:rsid w:val="00FE2F4F"/>
    <w:rsid w:val="00FE596B"/>
    <w:rsid w:val="00FE758F"/>
    <w:rsid w:val="00FE7E63"/>
    <w:rsid w:val="00FF05D2"/>
    <w:rsid w:val="00FF0E8A"/>
    <w:rsid w:val="00FF1126"/>
    <w:rsid w:val="00FF1222"/>
    <w:rsid w:val="00FF14D7"/>
    <w:rsid w:val="00FF1A4F"/>
    <w:rsid w:val="00FF1EF7"/>
    <w:rsid w:val="00FF2E8D"/>
    <w:rsid w:val="00FF3A35"/>
    <w:rsid w:val="00FF3D3C"/>
    <w:rsid w:val="00FF4324"/>
    <w:rsid w:val="00FF6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A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1A7D"/>
    <w:pPr>
      <w:jc w:val="both"/>
    </w:pPr>
    <w:rPr>
      <w:lang w:val="sr-Latn-CS"/>
    </w:rPr>
  </w:style>
  <w:style w:type="paragraph" w:styleId="Footer">
    <w:name w:val="footer"/>
    <w:basedOn w:val="Normal"/>
    <w:rsid w:val="00091A7D"/>
    <w:pPr>
      <w:tabs>
        <w:tab w:val="center" w:pos="4320"/>
        <w:tab w:val="right" w:pos="8640"/>
      </w:tabs>
    </w:pPr>
  </w:style>
  <w:style w:type="character" w:styleId="PageNumber">
    <w:name w:val="page number"/>
    <w:basedOn w:val="DefaultParagraphFont"/>
    <w:rsid w:val="00091A7D"/>
  </w:style>
  <w:style w:type="paragraph" w:styleId="BalloonText">
    <w:name w:val="Balloon Text"/>
    <w:basedOn w:val="Normal"/>
    <w:semiHidden/>
    <w:rsid w:val="00274373"/>
    <w:rPr>
      <w:rFonts w:ascii="Tahoma" w:hAnsi="Tahoma" w:cs="Tahoma"/>
      <w:sz w:val="16"/>
      <w:szCs w:val="16"/>
    </w:rPr>
  </w:style>
  <w:style w:type="paragraph" w:styleId="DocumentMap">
    <w:name w:val="Document Map"/>
    <w:basedOn w:val="Normal"/>
    <w:semiHidden/>
    <w:rsid w:val="00675C85"/>
    <w:pPr>
      <w:shd w:val="clear" w:color="auto" w:fill="000080"/>
    </w:pPr>
    <w:rPr>
      <w:rFonts w:ascii="Tahoma" w:hAnsi="Tahoma" w:cs="Tahoma"/>
      <w:sz w:val="20"/>
      <w:szCs w:val="20"/>
    </w:rPr>
  </w:style>
  <w:style w:type="paragraph" w:customStyle="1" w:styleId="CharCharCharChar">
    <w:name w:val="Char Char Char Char"/>
    <w:basedOn w:val="Normal"/>
    <w:rsid w:val="00662B3D"/>
    <w:pPr>
      <w:spacing w:after="160" w:line="240" w:lineRule="exact"/>
    </w:pPr>
    <w:rPr>
      <w:rFonts w:ascii="Verdana" w:hAnsi="Verdana"/>
      <w:b/>
      <w:bCs/>
      <w:sz w:val="20"/>
      <w:szCs w:val="20"/>
    </w:rPr>
  </w:style>
  <w:style w:type="table" w:styleId="TableGrid">
    <w:name w:val="Table Grid"/>
    <w:basedOn w:val="TableNormal"/>
    <w:rsid w:val="00A71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FA7206"/>
    <w:pPr>
      <w:spacing w:after="160" w:line="240" w:lineRule="exact"/>
    </w:pPr>
    <w:rPr>
      <w:rFonts w:ascii="Tahoma" w:hAnsi="Tahoma"/>
      <w:sz w:val="20"/>
      <w:szCs w:val="20"/>
    </w:rPr>
  </w:style>
  <w:style w:type="paragraph" w:styleId="FootnoteText">
    <w:name w:val="footnote text"/>
    <w:aliases w:val="single space,footnote text,Footnote Text Char Char,Footnote Text Char Char Char,FOOTNOTES,fn"/>
    <w:basedOn w:val="Normal"/>
    <w:link w:val="FootnoteTextChar"/>
    <w:rsid w:val="00E4115A"/>
    <w:rPr>
      <w:sz w:val="20"/>
      <w:szCs w:val="20"/>
    </w:rPr>
  </w:style>
  <w:style w:type="character" w:styleId="FootnoteReference">
    <w:name w:val="footnote reference"/>
    <w:basedOn w:val="DefaultParagraphFont"/>
    <w:semiHidden/>
    <w:rsid w:val="00E4115A"/>
    <w:rPr>
      <w:vertAlign w:val="superscript"/>
    </w:rPr>
  </w:style>
  <w:style w:type="paragraph" w:styleId="Header">
    <w:name w:val="header"/>
    <w:basedOn w:val="Normal"/>
    <w:link w:val="HeaderChar"/>
    <w:rsid w:val="0069532D"/>
    <w:pPr>
      <w:tabs>
        <w:tab w:val="center" w:pos="4680"/>
        <w:tab w:val="right" w:pos="9360"/>
      </w:tabs>
    </w:pPr>
  </w:style>
  <w:style w:type="character" w:customStyle="1" w:styleId="HeaderChar">
    <w:name w:val="Header Char"/>
    <w:basedOn w:val="DefaultParagraphFont"/>
    <w:link w:val="Header"/>
    <w:rsid w:val="0069532D"/>
    <w:rPr>
      <w:sz w:val="24"/>
      <w:szCs w:val="24"/>
    </w:rPr>
  </w:style>
  <w:style w:type="character" w:customStyle="1" w:styleId="BodyTextChar">
    <w:name w:val="Body Text Char"/>
    <w:basedOn w:val="DefaultParagraphFont"/>
    <w:link w:val="BodyText"/>
    <w:rsid w:val="003B7982"/>
    <w:rPr>
      <w:sz w:val="24"/>
      <w:szCs w:val="24"/>
      <w:lang w:val="sr-Latn-CS"/>
    </w:rPr>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rsid w:val="003B7982"/>
  </w:style>
  <w:style w:type="paragraph" w:styleId="ListParagraph">
    <w:name w:val="List Paragraph"/>
    <w:basedOn w:val="Normal"/>
    <w:link w:val="ListParagraphChar"/>
    <w:uiPriority w:val="34"/>
    <w:qFormat/>
    <w:rsid w:val="00373E9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99"/>
    <w:locked/>
    <w:rsid w:val="00373E94"/>
    <w:rPr>
      <w:rFonts w:asciiTheme="minorHAnsi" w:eastAsiaTheme="minorHAnsi" w:hAnsiTheme="minorHAnsi" w:cstheme="minorBidi"/>
      <w:sz w:val="22"/>
      <w:szCs w:val="22"/>
    </w:rPr>
  </w:style>
  <w:style w:type="paragraph" w:styleId="BodyText2">
    <w:name w:val="Body Text 2"/>
    <w:basedOn w:val="Normal"/>
    <w:link w:val="BodyText2Char"/>
    <w:rsid w:val="00AD795E"/>
    <w:pPr>
      <w:spacing w:after="120" w:line="480" w:lineRule="auto"/>
    </w:pPr>
    <w:rPr>
      <w:lang w:val="sr-Latn-CS" w:eastAsia="sr-Latn-CS"/>
    </w:rPr>
  </w:style>
  <w:style w:type="character" w:customStyle="1" w:styleId="BodyText2Char">
    <w:name w:val="Body Text 2 Char"/>
    <w:basedOn w:val="DefaultParagraphFont"/>
    <w:link w:val="BodyText2"/>
    <w:rsid w:val="00AD795E"/>
    <w:rPr>
      <w:sz w:val="24"/>
      <w:szCs w:val="24"/>
      <w:lang w:val="sr-Latn-CS" w:eastAsia="sr-Latn-CS"/>
    </w:rPr>
  </w:style>
  <w:style w:type="paragraph" w:customStyle="1" w:styleId="Section1">
    <w:name w:val="Section 1"/>
    <w:basedOn w:val="Normal"/>
    <w:rsid w:val="00A272B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Tms Rmn" w:hAnsi="Tms Rmn"/>
      <w:szCs w:val="20"/>
      <w:lang w:val="en-GB" w:eastAsia="en-GB"/>
    </w:rPr>
  </w:style>
</w:styles>
</file>

<file path=word/webSettings.xml><?xml version="1.0" encoding="utf-8"?>
<w:webSettings xmlns:r="http://schemas.openxmlformats.org/officeDocument/2006/relationships" xmlns:w="http://schemas.openxmlformats.org/wordprocessingml/2006/main">
  <w:divs>
    <w:div w:id="4527682">
      <w:bodyDiv w:val="1"/>
      <w:marLeft w:val="0"/>
      <w:marRight w:val="0"/>
      <w:marTop w:val="0"/>
      <w:marBottom w:val="0"/>
      <w:divBdr>
        <w:top w:val="none" w:sz="0" w:space="0" w:color="auto"/>
        <w:left w:val="none" w:sz="0" w:space="0" w:color="auto"/>
        <w:bottom w:val="none" w:sz="0" w:space="0" w:color="auto"/>
        <w:right w:val="none" w:sz="0" w:space="0" w:color="auto"/>
      </w:divBdr>
    </w:div>
    <w:div w:id="25834427">
      <w:bodyDiv w:val="1"/>
      <w:marLeft w:val="0"/>
      <w:marRight w:val="0"/>
      <w:marTop w:val="0"/>
      <w:marBottom w:val="0"/>
      <w:divBdr>
        <w:top w:val="none" w:sz="0" w:space="0" w:color="auto"/>
        <w:left w:val="none" w:sz="0" w:space="0" w:color="auto"/>
        <w:bottom w:val="none" w:sz="0" w:space="0" w:color="auto"/>
        <w:right w:val="none" w:sz="0" w:space="0" w:color="auto"/>
      </w:divBdr>
    </w:div>
    <w:div w:id="84766991">
      <w:bodyDiv w:val="1"/>
      <w:marLeft w:val="0"/>
      <w:marRight w:val="0"/>
      <w:marTop w:val="0"/>
      <w:marBottom w:val="0"/>
      <w:divBdr>
        <w:top w:val="none" w:sz="0" w:space="0" w:color="auto"/>
        <w:left w:val="none" w:sz="0" w:space="0" w:color="auto"/>
        <w:bottom w:val="none" w:sz="0" w:space="0" w:color="auto"/>
        <w:right w:val="none" w:sz="0" w:space="0" w:color="auto"/>
      </w:divBdr>
    </w:div>
    <w:div w:id="183060095">
      <w:bodyDiv w:val="1"/>
      <w:marLeft w:val="0"/>
      <w:marRight w:val="0"/>
      <w:marTop w:val="0"/>
      <w:marBottom w:val="0"/>
      <w:divBdr>
        <w:top w:val="none" w:sz="0" w:space="0" w:color="auto"/>
        <w:left w:val="none" w:sz="0" w:space="0" w:color="auto"/>
        <w:bottom w:val="none" w:sz="0" w:space="0" w:color="auto"/>
        <w:right w:val="none" w:sz="0" w:space="0" w:color="auto"/>
      </w:divBdr>
    </w:div>
    <w:div w:id="206918492">
      <w:bodyDiv w:val="1"/>
      <w:marLeft w:val="0"/>
      <w:marRight w:val="0"/>
      <w:marTop w:val="0"/>
      <w:marBottom w:val="0"/>
      <w:divBdr>
        <w:top w:val="none" w:sz="0" w:space="0" w:color="auto"/>
        <w:left w:val="none" w:sz="0" w:space="0" w:color="auto"/>
        <w:bottom w:val="none" w:sz="0" w:space="0" w:color="auto"/>
        <w:right w:val="none" w:sz="0" w:space="0" w:color="auto"/>
      </w:divBdr>
    </w:div>
    <w:div w:id="327247105">
      <w:bodyDiv w:val="1"/>
      <w:marLeft w:val="0"/>
      <w:marRight w:val="0"/>
      <w:marTop w:val="0"/>
      <w:marBottom w:val="0"/>
      <w:divBdr>
        <w:top w:val="none" w:sz="0" w:space="0" w:color="auto"/>
        <w:left w:val="none" w:sz="0" w:space="0" w:color="auto"/>
        <w:bottom w:val="none" w:sz="0" w:space="0" w:color="auto"/>
        <w:right w:val="none" w:sz="0" w:space="0" w:color="auto"/>
      </w:divBdr>
    </w:div>
    <w:div w:id="356128584">
      <w:bodyDiv w:val="1"/>
      <w:marLeft w:val="0"/>
      <w:marRight w:val="0"/>
      <w:marTop w:val="0"/>
      <w:marBottom w:val="0"/>
      <w:divBdr>
        <w:top w:val="none" w:sz="0" w:space="0" w:color="auto"/>
        <w:left w:val="none" w:sz="0" w:space="0" w:color="auto"/>
        <w:bottom w:val="none" w:sz="0" w:space="0" w:color="auto"/>
        <w:right w:val="none" w:sz="0" w:space="0" w:color="auto"/>
      </w:divBdr>
    </w:div>
    <w:div w:id="361636448">
      <w:bodyDiv w:val="1"/>
      <w:marLeft w:val="0"/>
      <w:marRight w:val="0"/>
      <w:marTop w:val="0"/>
      <w:marBottom w:val="0"/>
      <w:divBdr>
        <w:top w:val="none" w:sz="0" w:space="0" w:color="auto"/>
        <w:left w:val="none" w:sz="0" w:space="0" w:color="auto"/>
        <w:bottom w:val="none" w:sz="0" w:space="0" w:color="auto"/>
        <w:right w:val="none" w:sz="0" w:space="0" w:color="auto"/>
      </w:divBdr>
    </w:div>
    <w:div w:id="463935754">
      <w:bodyDiv w:val="1"/>
      <w:marLeft w:val="0"/>
      <w:marRight w:val="0"/>
      <w:marTop w:val="0"/>
      <w:marBottom w:val="0"/>
      <w:divBdr>
        <w:top w:val="none" w:sz="0" w:space="0" w:color="auto"/>
        <w:left w:val="none" w:sz="0" w:space="0" w:color="auto"/>
        <w:bottom w:val="none" w:sz="0" w:space="0" w:color="auto"/>
        <w:right w:val="none" w:sz="0" w:space="0" w:color="auto"/>
      </w:divBdr>
    </w:div>
    <w:div w:id="493302012">
      <w:bodyDiv w:val="1"/>
      <w:marLeft w:val="0"/>
      <w:marRight w:val="0"/>
      <w:marTop w:val="0"/>
      <w:marBottom w:val="0"/>
      <w:divBdr>
        <w:top w:val="none" w:sz="0" w:space="0" w:color="auto"/>
        <w:left w:val="none" w:sz="0" w:space="0" w:color="auto"/>
        <w:bottom w:val="none" w:sz="0" w:space="0" w:color="auto"/>
        <w:right w:val="none" w:sz="0" w:space="0" w:color="auto"/>
      </w:divBdr>
    </w:div>
    <w:div w:id="553811084">
      <w:bodyDiv w:val="1"/>
      <w:marLeft w:val="0"/>
      <w:marRight w:val="0"/>
      <w:marTop w:val="0"/>
      <w:marBottom w:val="0"/>
      <w:divBdr>
        <w:top w:val="none" w:sz="0" w:space="0" w:color="auto"/>
        <w:left w:val="none" w:sz="0" w:space="0" w:color="auto"/>
        <w:bottom w:val="none" w:sz="0" w:space="0" w:color="auto"/>
        <w:right w:val="none" w:sz="0" w:space="0" w:color="auto"/>
      </w:divBdr>
    </w:div>
    <w:div w:id="758064109">
      <w:bodyDiv w:val="1"/>
      <w:marLeft w:val="0"/>
      <w:marRight w:val="0"/>
      <w:marTop w:val="0"/>
      <w:marBottom w:val="0"/>
      <w:divBdr>
        <w:top w:val="none" w:sz="0" w:space="0" w:color="auto"/>
        <w:left w:val="none" w:sz="0" w:space="0" w:color="auto"/>
        <w:bottom w:val="none" w:sz="0" w:space="0" w:color="auto"/>
        <w:right w:val="none" w:sz="0" w:space="0" w:color="auto"/>
      </w:divBdr>
    </w:div>
    <w:div w:id="782726148">
      <w:bodyDiv w:val="1"/>
      <w:marLeft w:val="0"/>
      <w:marRight w:val="0"/>
      <w:marTop w:val="0"/>
      <w:marBottom w:val="0"/>
      <w:divBdr>
        <w:top w:val="none" w:sz="0" w:space="0" w:color="auto"/>
        <w:left w:val="none" w:sz="0" w:space="0" w:color="auto"/>
        <w:bottom w:val="none" w:sz="0" w:space="0" w:color="auto"/>
        <w:right w:val="none" w:sz="0" w:space="0" w:color="auto"/>
      </w:divBdr>
    </w:div>
    <w:div w:id="976182156">
      <w:bodyDiv w:val="1"/>
      <w:marLeft w:val="0"/>
      <w:marRight w:val="0"/>
      <w:marTop w:val="0"/>
      <w:marBottom w:val="0"/>
      <w:divBdr>
        <w:top w:val="none" w:sz="0" w:space="0" w:color="auto"/>
        <w:left w:val="none" w:sz="0" w:space="0" w:color="auto"/>
        <w:bottom w:val="none" w:sz="0" w:space="0" w:color="auto"/>
        <w:right w:val="none" w:sz="0" w:space="0" w:color="auto"/>
      </w:divBdr>
    </w:div>
    <w:div w:id="982471271">
      <w:bodyDiv w:val="1"/>
      <w:marLeft w:val="0"/>
      <w:marRight w:val="0"/>
      <w:marTop w:val="0"/>
      <w:marBottom w:val="0"/>
      <w:divBdr>
        <w:top w:val="none" w:sz="0" w:space="0" w:color="auto"/>
        <w:left w:val="none" w:sz="0" w:space="0" w:color="auto"/>
        <w:bottom w:val="none" w:sz="0" w:space="0" w:color="auto"/>
        <w:right w:val="none" w:sz="0" w:space="0" w:color="auto"/>
      </w:divBdr>
    </w:div>
    <w:div w:id="1262959134">
      <w:bodyDiv w:val="1"/>
      <w:marLeft w:val="0"/>
      <w:marRight w:val="0"/>
      <w:marTop w:val="0"/>
      <w:marBottom w:val="0"/>
      <w:divBdr>
        <w:top w:val="none" w:sz="0" w:space="0" w:color="auto"/>
        <w:left w:val="none" w:sz="0" w:space="0" w:color="auto"/>
        <w:bottom w:val="none" w:sz="0" w:space="0" w:color="auto"/>
        <w:right w:val="none" w:sz="0" w:space="0" w:color="auto"/>
      </w:divBdr>
    </w:div>
    <w:div w:id="1286230785">
      <w:bodyDiv w:val="1"/>
      <w:marLeft w:val="0"/>
      <w:marRight w:val="0"/>
      <w:marTop w:val="0"/>
      <w:marBottom w:val="0"/>
      <w:divBdr>
        <w:top w:val="none" w:sz="0" w:space="0" w:color="auto"/>
        <w:left w:val="none" w:sz="0" w:space="0" w:color="auto"/>
        <w:bottom w:val="none" w:sz="0" w:space="0" w:color="auto"/>
        <w:right w:val="none" w:sz="0" w:space="0" w:color="auto"/>
      </w:divBdr>
    </w:div>
    <w:div w:id="1391810443">
      <w:bodyDiv w:val="1"/>
      <w:marLeft w:val="0"/>
      <w:marRight w:val="0"/>
      <w:marTop w:val="0"/>
      <w:marBottom w:val="0"/>
      <w:divBdr>
        <w:top w:val="none" w:sz="0" w:space="0" w:color="auto"/>
        <w:left w:val="none" w:sz="0" w:space="0" w:color="auto"/>
        <w:bottom w:val="none" w:sz="0" w:space="0" w:color="auto"/>
        <w:right w:val="none" w:sz="0" w:space="0" w:color="auto"/>
      </w:divBdr>
    </w:div>
    <w:div w:id="1546521129">
      <w:bodyDiv w:val="1"/>
      <w:marLeft w:val="0"/>
      <w:marRight w:val="0"/>
      <w:marTop w:val="0"/>
      <w:marBottom w:val="0"/>
      <w:divBdr>
        <w:top w:val="none" w:sz="0" w:space="0" w:color="auto"/>
        <w:left w:val="none" w:sz="0" w:space="0" w:color="auto"/>
        <w:bottom w:val="none" w:sz="0" w:space="0" w:color="auto"/>
        <w:right w:val="none" w:sz="0" w:space="0" w:color="auto"/>
      </w:divBdr>
    </w:div>
    <w:div w:id="1627734467">
      <w:bodyDiv w:val="1"/>
      <w:marLeft w:val="0"/>
      <w:marRight w:val="0"/>
      <w:marTop w:val="0"/>
      <w:marBottom w:val="0"/>
      <w:divBdr>
        <w:top w:val="none" w:sz="0" w:space="0" w:color="auto"/>
        <w:left w:val="none" w:sz="0" w:space="0" w:color="auto"/>
        <w:bottom w:val="none" w:sz="0" w:space="0" w:color="auto"/>
        <w:right w:val="none" w:sz="0" w:space="0" w:color="auto"/>
      </w:divBdr>
    </w:div>
    <w:div w:id="1661344949">
      <w:bodyDiv w:val="1"/>
      <w:marLeft w:val="0"/>
      <w:marRight w:val="0"/>
      <w:marTop w:val="0"/>
      <w:marBottom w:val="0"/>
      <w:divBdr>
        <w:top w:val="none" w:sz="0" w:space="0" w:color="auto"/>
        <w:left w:val="none" w:sz="0" w:space="0" w:color="auto"/>
        <w:bottom w:val="none" w:sz="0" w:space="0" w:color="auto"/>
        <w:right w:val="none" w:sz="0" w:space="0" w:color="auto"/>
      </w:divBdr>
    </w:div>
    <w:div w:id="1669484663">
      <w:bodyDiv w:val="1"/>
      <w:marLeft w:val="0"/>
      <w:marRight w:val="0"/>
      <w:marTop w:val="0"/>
      <w:marBottom w:val="0"/>
      <w:divBdr>
        <w:top w:val="none" w:sz="0" w:space="0" w:color="auto"/>
        <w:left w:val="none" w:sz="0" w:space="0" w:color="auto"/>
        <w:bottom w:val="none" w:sz="0" w:space="0" w:color="auto"/>
        <w:right w:val="none" w:sz="0" w:space="0" w:color="auto"/>
      </w:divBdr>
    </w:div>
    <w:div w:id="2010787785">
      <w:bodyDiv w:val="1"/>
      <w:marLeft w:val="0"/>
      <w:marRight w:val="0"/>
      <w:marTop w:val="0"/>
      <w:marBottom w:val="0"/>
      <w:divBdr>
        <w:top w:val="none" w:sz="0" w:space="0" w:color="auto"/>
        <w:left w:val="none" w:sz="0" w:space="0" w:color="auto"/>
        <w:bottom w:val="none" w:sz="0" w:space="0" w:color="auto"/>
        <w:right w:val="none" w:sz="0" w:space="0" w:color="auto"/>
      </w:divBdr>
    </w:div>
    <w:div w:id="21255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rsija.purisic\AppData\Local\Microsoft\Windows\Temporary%20Internet%20Files\Content.Outlook\624ZFC5G\TABLE%20-%20dr&#382;avni%20dug%2031%2012%20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ersija.purisic\AppData\Local\Microsoft\Windows\Temporary%20Internet%20Files\Content.Outlook\624ZFC5G\TABLE%20-%20dr&#382;avni%20dug%2031%2012%20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rsija.purisic\AppData\Local\Microsoft\Windows\Temporary%20Internet%20Files\Content.Outlook\624ZFC5G\TABLE%20-%20dr&#382;avni%20dug%2031%2012%202013%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ersija.purisic\AppData\Local\Microsoft\Windows\Temporary%20Internet%20Files\Content.Outlook\624ZFC5G\TABLE%20-%20dr&#382;avni%20dug%2031%2012%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Odnos spoljnjeg i doma</a:t>
            </a:r>
            <a:r>
              <a:rPr lang="sr-Latn-CS" sz="1200"/>
              <a:t>ćeg duga u milionima</a:t>
            </a:r>
            <a:endParaRPr lang="en-US" sz="1200"/>
          </a:p>
        </c:rich>
      </c:tx>
    </c:title>
    <c:plotArea>
      <c:layout/>
      <c:pieChart>
        <c:varyColors val="1"/>
        <c:ser>
          <c:idx val="0"/>
          <c:order val="0"/>
          <c:dLbls>
            <c:showVal val="1"/>
            <c:showLeaderLines val="1"/>
          </c:dLbls>
          <c:cat>
            <c:strRef>
              <c:f>(Sheet1!$B$28,Sheet1!$B$40)</c:f>
              <c:strCache>
                <c:ptCount val="2"/>
                <c:pt idx="0">
                  <c:v>Ukupno spoljni dug</c:v>
                </c:pt>
                <c:pt idx="1">
                  <c:v>Ukupno domaći dug</c:v>
                </c:pt>
              </c:strCache>
            </c:strRef>
          </c:cat>
          <c:val>
            <c:numRef>
              <c:f>(Sheet1!$C$28,Sheet1!$C$40)</c:f>
              <c:numCache>
                <c:formatCode>#,##0.00</c:formatCode>
                <c:ptCount val="2"/>
                <c:pt idx="0">
                  <c:v>1433</c:v>
                </c:pt>
                <c:pt idx="1">
                  <c:v>500</c:v>
                </c:pt>
              </c:numCache>
            </c:numRef>
          </c:val>
        </c:ser>
        <c:firstSliceAng val="0"/>
      </c:pieChart>
    </c:plotArea>
    <c:legend>
      <c:legendPos val="r"/>
      <c:txPr>
        <a:bodyPr/>
        <a:lstStyle/>
        <a:p>
          <a:pPr rtl="0">
            <a:defRPr sz="1000"/>
          </a:pPr>
          <a:endParaRPr lang="en-US"/>
        </a:p>
      </c:txPr>
    </c:legend>
    <c:plotVisOnly val="1"/>
  </c:chart>
  <c:txPr>
    <a:bodyPr/>
    <a:lstStyle/>
    <a:p>
      <a:pPr>
        <a:defRPr sz="8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sr-Latn-CS" sz="1200">
                <a:latin typeface="Times New Roman" pitchFamily="18" charset="0"/>
                <a:cs typeface="Times New Roman" pitchFamily="18" charset="0"/>
              </a:rPr>
              <a:t>Dug</a:t>
            </a:r>
            <a:r>
              <a:rPr lang="sr-Latn-CS" sz="1200" baseline="0">
                <a:latin typeface="Times New Roman" pitchFamily="18" charset="0"/>
                <a:cs typeface="Times New Roman" pitchFamily="18" charset="0"/>
              </a:rPr>
              <a:t> u procentualnom odnosu na BDP</a:t>
            </a:r>
            <a:endParaRPr lang="en-US" sz="1200">
              <a:latin typeface="Times New Roman" pitchFamily="18" charset="0"/>
              <a:cs typeface="Times New Roman" pitchFamily="18" charset="0"/>
            </a:endParaRPr>
          </a:p>
        </c:rich>
      </c:tx>
    </c:title>
    <c:plotArea>
      <c:layout/>
      <c:barChart>
        <c:barDir val="col"/>
        <c:grouping val="stacked"/>
        <c:ser>
          <c:idx val="0"/>
          <c:order val="0"/>
          <c:tx>
            <c:strRef>
              <c:f>Sheet1!$B$28</c:f>
              <c:strCache>
                <c:ptCount val="1"/>
                <c:pt idx="0">
                  <c:v>Ukupno spoljni dug</c:v>
                </c:pt>
              </c:strCache>
            </c:strRef>
          </c:tx>
          <c:val>
            <c:numRef>
              <c:f>Sheet1!$D$28</c:f>
              <c:numCache>
                <c:formatCode>#,##0.00</c:formatCode>
                <c:ptCount val="1"/>
                <c:pt idx="0">
                  <c:v>42.956923169159737</c:v>
                </c:pt>
              </c:numCache>
            </c:numRef>
          </c:val>
        </c:ser>
        <c:ser>
          <c:idx val="1"/>
          <c:order val="1"/>
          <c:tx>
            <c:strRef>
              <c:f>Sheet1!$B$40</c:f>
              <c:strCache>
                <c:ptCount val="1"/>
                <c:pt idx="0">
                  <c:v>Ukupno domaći dug</c:v>
                </c:pt>
              </c:strCache>
            </c:strRef>
          </c:tx>
          <c:val>
            <c:numRef>
              <c:f>Sheet1!$D$40</c:f>
              <c:numCache>
                <c:formatCode>#,##0.00</c:formatCode>
                <c:ptCount val="1"/>
                <c:pt idx="0">
                  <c:v>14.988458886657273</c:v>
                </c:pt>
              </c:numCache>
            </c:numRef>
          </c:val>
        </c:ser>
        <c:overlap val="100"/>
        <c:axId val="97617792"/>
        <c:axId val="97619328"/>
      </c:barChart>
      <c:catAx>
        <c:axId val="97617792"/>
        <c:scaling>
          <c:orientation val="minMax"/>
        </c:scaling>
        <c:delete val="1"/>
        <c:axPos val="b"/>
        <c:tickLblPos val="nextTo"/>
        <c:crossAx val="97619328"/>
        <c:crosses val="autoZero"/>
        <c:auto val="1"/>
        <c:lblAlgn val="ctr"/>
        <c:lblOffset val="100"/>
      </c:catAx>
      <c:valAx>
        <c:axId val="97619328"/>
        <c:scaling>
          <c:orientation val="minMax"/>
        </c:scaling>
        <c:axPos val="l"/>
        <c:majorGridlines/>
        <c:numFmt formatCode="#,##0.00" sourceLinked="1"/>
        <c:tickLblPos val="nextTo"/>
        <c:crossAx val="97617792"/>
        <c:crosses val="autoZero"/>
        <c:crossBetween val="between"/>
      </c:valAx>
    </c:plotArea>
    <c:legend>
      <c:legendPos val="r"/>
      <c:legendEntry>
        <c:idx val="1"/>
        <c:txPr>
          <a:bodyPr/>
          <a:lstStyle/>
          <a:p>
            <a:pPr>
              <a:defRPr>
                <a:latin typeface="Times New Roman" pitchFamily="18" charset="0"/>
                <a:cs typeface="Times New Roman" pitchFamily="18" charset="0"/>
              </a:defRPr>
            </a:pPr>
            <a:endParaRPr lang="en-US"/>
          </a:p>
        </c:txPr>
      </c:legendEntry>
      <c:legendEntry>
        <c:idx val="0"/>
        <c:txPr>
          <a:bodyPr/>
          <a:lstStyle/>
          <a:p>
            <a:pPr>
              <a:defRPr>
                <a:latin typeface="Times New Roman" pitchFamily="18" charset="0"/>
                <a:cs typeface="Times New Roman" pitchFamily="18" charset="0"/>
              </a:defRPr>
            </a:pPr>
            <a:endParaRPr lang="en-US"/>
          </a:p>
        </c:txPr>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Arial" pitchFamily="34" charset="0"/>
                <a:cs typeface="Arial" pitchFamily="34" charset="0"/>
              </a:defRPr>
            </a:pPr>
            <a:r>
              <a:rPr lang="sr-Latn-CS" sz="1100">
                <a:latin typeface="Arial" pitchFamily="34" charset="0"/>
                <a:cs typeface="Arial" pitchFamily="34" charset="0"/>
              </a:rPr>
              <a:t>Spoljni</a:t>
            </a:r>
            <a:r>
              <a:rPr lang="sr-Latn-CS" sz="1100" baseline="0">
                <a:latin typeface="Arial" pitchFamily="34" charset="0"/>
                <a:cs typeface="Arial" pitchFamily="34" charset="0"/>
              </a:rPr>
              <a:t> dug po izvorima finasiranja u milionima</a:t>
            </a:r>
            <a:endParaRPr lang="vi-VN" sz="1100">
              <a:latin typeface="Arial" pitchFamily="34" charset="0"/>
              <a:cs typeface="Arial" pitchFamily="34" charset="0"/>
            </a:endParaRPr>
          </a:p>
        </c:rich>
      </c:tx>
    </c:title>
    <c:plotArea>
      <c:layout/>
      <c:barChart>
        <c:barDir val="col"/>
        <c:grouping val="clustered"/>
        <c:ser>
          <c:idx val="0"/>
          <c:order val="0"/>
          <c:tx>
            <c:strRef>
              <c:f>Sheet1!$B$6:$B$27</c:f>
              <c:strCache>
                <c:ptCount val="1"/>
                <c:pt idx="0">
                  <c:v>IBRD IFC PC IDA EIB EBRD CEB EK KFW Mađarski Poljski Francuski EUROFIMA CZ Exim  Sparkassen Erste  CS HU Exim Španski Austrijski EUROBOND Deutsche</c:v>
                </c:pt>
              </c:strCache>
            </c:strRef>
          </c:tx>
          <c:dPt>
            <c:idx val="0"/>
            <c:spPr>
              <a:solidFill>
                <a:schemeClr val="tx2">
                  <a:lumMod val="60000"/>
                  <a:lumOff val="40000"/>
                </a:schemeClr>
              </a:solidFill>
            </c:spPr>
          </c:dPt>
          <c:dPt>
            <c:idx val="2"/>
            <c:spPr>
              <a:solidFill>
                <a:schemeClr val="accent4">
                  <a:lumMod val="75000"/>
                </a:schemeClr>
              </a:solidFill>
            </c:spPr>
          </c:dPt>
          <c:dPt>
            <c:idx val="3"/>
            <c:spPr>
              <a:solidFill>
                <a:schemeClr val="accent5">
                  <a:lumMod val="75000"/>
                </a:schemeClr>
              </a:solidFill>
            </c:spPr>
          </c:dPt>
          <c:dPt>
            <c:idx val="4"/>
            <c:spPr>
              <a:solidFill>
                <a:schemeClr val="accent3">
                  <a:lumMod val="75000"/>
                </a:schemeClr>
              </a:solidFill>
            </c:spPr>
          </c:dPt>
          <c:dPt>
            <c:idx val="5"/>
            <c:spPr>
              <a:solidFill>
                <a:schemeClr val="accent6">
                  <a:lumMod val="75000"/>
                </a:schemeClr>
              </a:solidFill>
            </c:spPr>
          </c:dPt>
          <c:dPt>
            <c:idx val="6"/>
            <c:spPr>
              <a:solidFill>
                <a:schemeClr val="accent6">
                  <a:lumMod val="50000"/>
                </a:schemeClr>
              </a:solidFill>
            </c:spPr>
          </c:dPt>
          <c:dPt>
            <c:idx val="8"/>
            <c:spPr>
              <a:solidFill>
                <a:schemeClr val="tx1">
                  <a:lumMod val="95000"/>
                  <a:lumOff val="5000"/>
                </a:schemeClr>
              </a:solidFill>
            </c:spPr>
          </c:dPt>
          <c:dPt>
            <c:idx val="9"/>
            <c:spPr>
              <a:solidFill>
                <a:schemeClr val="bg2">
                  <a:lumMod val="50000"/>
                </a:schemeClr>
              </a:solidFill>
            </c:spPr>
          </c:dPt>
          <c:dPt>
            <c:idx val="11"/>
            <c:spPr>
              <a:solidFill>
                <a:schemeClr val="accent6">
                  <a:lumMod val="75000"/>
                </a:schemeClr>
              </a:solidFill>
            </c:spPr>
          </c:dPt>
          <c:dPt>
            <c:idx val="12"/>
            <c:spPr>
              <a:solidFill>
                <a:schemeClr val="accent1">
                  <a:lumMod val="60000"/>
                  <a:lumOff val="40000"/>
                </a:schemeClr>
              </a:solidFill>
            </c:spPr>
          </c:dPt>
          <c:dPt>
            <c:idx val="13"/>
            <c:spPr>
              <a:solidFill>
                <a:schemeClr val="accent4">
                  <a:lumMod val="75000"/>
                </a:schemeClr>
              </a:solidFill>
            </c:spPr>
          </c:dPt>
          <c:dPt>
            <c:idx val="14"/>
            <c:spPr>
              <a:solidFill>
                <a:srgbClr val="00B050"/>
              </a:solidFill>
            </c:spPr>
          </c:dPt>
          <c:dPt>
            <c:idx val="15"/>
            <c:spPr>
              <a:solidFill>
                <a:srgbClr val="FF0000"/>
              </a:solidFill>
            </c:spPr>
          </c:dPt>
          <c:dPt>
            <c:idx val="16"/>
            <c:spPr>
              <a:solidFill>
                <a:schemeClr val="accent2">
                  <a:lumMod val="75000"/>
                </a:schemeClr>
              </a:solidFill>
            </c:spPr>
          </c:dPt>
          <c:dPt>
            <c:idx val="19"/>
            <c:spPr>
              <a:solidFill>
                <a:schemeClr val="accent3">
                  <a:lumMod val="50000"/>
                </a:schemeClr>
              </a:solidFill>
            </c:spPr>
          </c:dPt>
          <c:dPt>
            <c:idx val="21"/>
            <c:spPr>
              <a:solidFill>
                <a:srgbClr val="00B0F0"/>
              </a:solidFill>
            </c:spPr>
          </c:dPt>
          <c:cat>
            <c:strRef>
              <c:f>Sheet1!$B$6:$B$27</c:f>
              <c:strCache>
                <c:ptCount val="22"/>
                <c:pt idx="0">
                  <c:v>IBRD</c:v>
                </c:pt>
                <c:pt idx="1">
                  <c:v>IFC</c:v>
                </c:pt>
                <c:pt idx="2">
                  <c:v>PC</c:v>
                </c:pt>
                <c:pt idx="3">
                  <c:v>IDA</c:v>
                </c:pt>
                <c:pt idx="4">
                  <c:v>EIB</c:v>
                </c:pt>
                <c:pt idx="5">
                  <c:v>EBRD</c:v>
                </c:pt>
                <c:pt idx="6">
                  <c:v>CEB</c:v>
                </c:pt>
                <c:pt idx="7">
                  <c:v>EK</c:v>
                </c:pt>
                <c:pt idx="8">
                  <c:v>KFW</c:v>
                </c:pt>
                <c:pt idx="9">
                  <c:v>Mađarski</c:v>
                </c:pt>
                <c:pt idx="10">
                  <c:v>Poljski</c:v>
                </c:pt>
                <c:pt idx="11">
                  <c:v>Francuski</c:v>
                </c:pt>
                <c:pt idx="12">
                  <c:v>EUROFIMA</c:v>
                </c:pt>
                <c:pt idx="13">
                  <c:v>CZ Exim </c:v>
                </c:pt>
                <c:pt idx="14">
                  <c:v>Sparkassen</c:v>
                </c:pt>
                <c:pt idx="15">
                  <c:v>Erste </c:v>
                </c:pt>
                <c:pt idx="16">
                  <c:v>CS</c:v>
                </c:pt>
                <c:pt idx="17">
                  <c:v>HU Exim</c:v>
                </c:pt>
                <c:pt idx="18">
                  <c:v>Španski</c:v>
                </c:pt>
                <c:pt idx="19">
                  <c:v>Austrijski</c:v>
                </c:pt>
                <c:pt idx="20">
                  <c:v>EUROBOND</c:v>
                </c:pt>
                <c:pt idx="21">
                  <c:v>Deutsche</c:v>
                </c:pt>
              </c:strCache>
            </c:strRef>
          </c:cat>
          <c:val>
            <c:numRef>
              <c:f>Sheet1!$C$6:$C$27</c:f>
              <c:numCache>
                <c:formatCode>#,##0.00</c:formatCode>
                <c:ptCount val="22"/>
                <c:pt idx="0">
                  <c:v>235.6</c:v>
                </c:pt>
                <c:pt idx="1">
                  <c:v>0.60000000000000064</c:v>
                </c:pt>
                <c:pt idx="2">
                  <c:v>98.8</c:v>
                </c:pt>
                <c:pt idx="3">
                  <c:v>61.4</c:v>
                </c:pt>
                <c:pt idx="4">
                  <c:v>96.3</c:v>
                </c:pt>
                <c:pt idx="5">
                  <c:v>18.600000000000001</c:v>
                </c:pt>
                <c:pt idx="6">
                  <c:v>9.1</c:v>
                </c:pt>
                <c:pt idx="7">
                  <c:v>5.5</c:v>
                </c:pt>
                <c:pt idx="8">
                  <c:v>18.3</c:v>
                </c:pt>
                <c:pt idx="9">
                  <c:v>10.3</c:v>
                </c:pt>
                <c:pt idx="10">
                  <c:v>9</c:v>
                </c:pt>
                <c:pt idx="11">
                  <c:v>8.1</c:v>
                </c:pt>
                <c:pt idx="12">
                  <c:v>20.8</c:v>
                </c:pt>
                <c:pt idx="13">
                  <c:v>19.8</c:v>
                </c:pt>
                <c:pt idx="14">
                  <c:v>16.5</c:v>
                </c:pt>
                <c:pt idx="15">
                  <c:v>27.8</c:v>
                </c:pt>
                <c:pt idx="16">
                  <c:v>242</c:v>
                </c:pt>
                <c:pt idx="17">
                  <c:v>1</c:v>
                </c:pt>
                <c:pt idx="18">
                  <c:v>4.9000000000000004</c:v>
                </c:pt>
                <c:pt idx="19">
                  <c:v>8.6</c:v>
                </c:pt>
                <c:pt idx="20">
                  <c:v>460</c:v>
                </c:pt>
                <c:pt idx="21">
                  <c:v>60</c:v>
                </c:pt>
              </c:numCache>
            </c:numRef>
          </c:val>
        </c:ser>
        <c:axId val="98830976"/>
        <c:axId val="98832768"/>
      </c:barChart>
      <c:catAx>
        <c:axId val="98830976"/>
        <c:scaling>
          <c:orientation val="minMax"/>
        </c:scaling>
        <c:axPos val="b"/>
        <c:tickLblPos val="nextTo"/>
        <c:txPr>
          <a:bodyPr/>
          <a:lstStyle/>
          <a:p>
            <a:pPr>
              <a:defRPr sz="1000">
                <a:latin typeface="Times New Roman" pitchFamily="18" charset="0"/>
                <a:cs typeface="Times New Roman" pitchFamily="18" charset="0"/>
              </a:defRPr>
            </a:pPr>
            <a:endParaRPr lang="en-US"/>
          </a:p>
        </c:txPr>
        <c:crossAx val="98832768"/>
        <c:crosses val="autoZero"/>
        <c:auto val="1"/>
        <c:lblAlgn val="ctr"/>
        <c:lblOffset val="100"/>
      </c:catAx>
      <c:valAx>
        <c:axId val="98832768"/>
        <c:scaling>
          <c:orientation val="minMax"/>
        </c:scaling>
        <c:axPos val="l"/>
        <c:majorGridlines/>
        <c:numFmt formatCode="#,##0.00" sourceLinked="1"/>
        <c:tickLblPos val="nextTo"/>
        <c:crossAx val="9883097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latin typeface="Arial" pitchFamily="34" charset="0"/>
                <a:cs typeface="Arial" pitchFamily="34" charset="0"/>
              </a:defRPr>
            </a:pPr>
            <a:r>
              <a:rPr lang="sr-Latn-CS">
                <a:latin typeface="Arial" pitchFamily="34" charset="0"/>
                <a:cs typeface="Arial" pitchFamily="34" charset="0"/>
              </a:rPr>
              <a:t>Domaći dug po kategorijama u milionima</a:t>
            </a:r>
            <a:endParaRPr lang="en-US">
              <a:latin typeface="Arial" pitchFamily="34" charset="0"/>
              <a:cs typeface="Arial" pitchFamily="34" charset="0"/>
            </a:endParaRPr>
          </a:p>
        </c:rich>
      </c:tx>
      <c:layout>
        <c:manualLayout>
          <c:xMode val="edge"/>
          <c:yMode val="edge"/>
          <c:x val="0.30104244919915107"/>
          <c:y val="2.343750000000001E-2"/>
        </c:manualLayout>
      </c:layout>
    </c:title>
    <c:plotArea>
      <c:layout/>
      <c:barChart>
        <c:barDir val="col"/>
        <c:grouping val="clustered"/>
        <c:ser>
          <c:idx val="0"/>
          <c:order val="0"/>
          <c:tx>
            <c:strRef>
              <c:f>Sheet1!$B$32:$B$39</c:f>
              <c:strCache>
                <c:ptCount val="1"/>
                <c:pt idx="0">
                  <c:v>Devizna štednja Dug opština Restitucija  Krediti kod komercijalnih banaka Krediti kod nefinansijskih institucija Zaostale penzije Državni zapisi Državne obveznice za Fond rada</c:v>
                </c:pt>
              </c:strCache>
            </c:strRef>
          </c:tx>
          <c:dPt>
            <c:idx val="1"/>
            <c:spPr>
              <a:solidFill>
                <a:schemeClr val="accent2"/>
              </a:solidFill>
            </c:spPr>
          </c:dPt>
          <c:dPt>
            <c:idx val="2"/>
            <c:spPr>
              <a:solidFill>
                <a:schemeClr val="accent4">
                  <a:lumMod val="60000"/>
                  <a:lumOff val="40000"/>
                </a:schemeClr>
              </a:solidFill>
            </c:spPr>
          </c:dPt>
          <c:dPt>
            <c:idx val="3"/>
            <c:spPr>
              <a:solidFill>
                <a:schemeClr val="accent5">
                  <a:lumMod val="50000"/>
                </a:schemeClr>
              </a:solidFill>
            </c:spPr>
          </c:dPt>
          <c:dPt>
            <c:idx val="4"/>
            <c:spPr>
              <a:solidFill>
                <a:schemeClr val="accent6">
                  <a:lumMod val="75000"/>
                </a:schemeClr>
              </a:solidFill>
            </c:spPr>
          </c:dPt>
          <c:dPt>
            <c:idx val="5"/>
            <c:spPr>
              <a:solidFill>
                <a:schemeClr val="bg2">
                  <a:lumMod val="25000"/>
                </a:schemeClr>
              </a:solidFill>
            </c:spPr>
          </c:dPt>
          <c:dPt>
            <c:idx val="6"/>
            <c:spPr>
              <a:solidFill>
                <a:schemeClr val="accent6">
                  <a:lumMod val="50000"/>
                </a:schemeClr>
              </a:solidFill>
            </c:spPr>
          </c:dPt>
          <c:dPt>
            <c:idx val="7"/>
            <c:spPr>
              <a:solidFill>
                <a:schemeClr val="tx2">
                  <a:lumMod val="75000"/>
                </a:schemeClr>
              </a:solidFill>
            </c:spPr>
          </c:dPt>
          <c:cat>
            <c:strRef>
              <c:f>Sheet1!$B$32:$B$39</c:f>
              <c:strCache>
                <c:ptCount val="8"/>
                <c:pt idx="0">
                  <c:v>Devizna štednja</c:v>
                </c:pt>
                <c:pt idx="1">
                  <c:v>Dug opština</c:v>
                </c:pt>
                <c:pt idx="2">
                  <c:v>Restitucija </c:v>
                </c:pt>
                <c:pt idx="3">
                  <c:v>Krediti kod komercijalnih banaka</c:v>
                </c:pt>
                <c:pt idx="4">
                  <c:v>Krediti kod nefinansijskih institucija</c:v>
                </c:pt>
                <c:pt idx="5">
                  <c:v>Zaostale penzije</c:v>
                </c:pt>
                <c:pt idx="6">
                  <c:v>Državni zapisi</c:v>
                </c:pt>
                <c:pt idx="7">
                  <c:v>Državne obveznice za Fond rada</c:v>
                </c:pt>
              </c:strCache>
            </c:strRef>
          </c:cat>
          <c:val>
            <c:numRef>
              <c:f>Sheet1!$C$32:$C$39</c:f>
              <c:numCache>
                <c:formatCode>#,##0.00</c:formatCode>
                <c:ptCount val="8"/>
                <c:pt idx="0">
                  <c:v>68.900000000000006</c:v>
                </c:pt>
                <c:pt idx="1">
                  <c:v>135.9</c:v>
                </c:pt>
                <c:pt idx="2">
                  <c:v>90.2</c:v>
                </c:pt>
                <c:pt idx="3">
                  <c:v>101.4</c:v>
                </c:pt>
                <c:pt idx="4">
                  <c:v>18.8</c:v>
                </c:pt>
                <c:pt idx="5">
                  <c:v>1.8</c:v>
                </c:pt>
                <c:pt idx="6">
                  <c:v>78.400000000000006</c:v>
                </c:pt>
                <c:pt idx="7">
                  <c:v>4.5999999999999996</c:v>
                </c:pt>
              </c:numCache>
            </c:numRef>
          </c:val>
        </c:ser>
        <c:axId val="98842880"/>
        <c:axId val="98852864"/>
      </c:barChart>
      <c:catAx>
        <c:axId val="98842880"/>
        <c:scaling>
          <c:orientation val="minMax"/>
        </c:scaling>
        <c:axPos val="b"/>
        <c:numFmt formatCode="General" sourceLinked="1"/>
        <c:tickLblPos val="nextTo"/>
        <c:crossAx val="98852864"/>
        <c:crosses val="autoZero"/>
        <c:auto val="1"/>
        <c:lblAlgn val="ctr"/>
        <c:lblOffset val="100"/>
      </c:catAx>
      <c:valAx>
        <c:axId val="98852864"/>
        <c:scaling>
          <c:orientation val="minMax"/>
        </c:scaling>
        <c:axPos val="l"/>
        <c:majorGridlines/>
        <c:numFmt formatCode="#,##0.00" sourceLinked="1"/>
        <c:tickLblPos val="nextTo"/>
        <c:crossAx val="98842880"/>
        <c:crosses val="autoZero"/>
        <c:crossBetween val="between"/>
      </c:valAx>
      <c:spPr>
        <a:noFill/>
        <a:ln w="25400">
          <a:noFill/>
        </a:ln>
      </c:spPr>
    </c:plotArea>
    <c:plotVisOnly val="1"/>
  </c:chart>
  <c:txPr>
    <a:bodyPr/>
    <a:lstStyle/>
    <a:p>
      <a:pPr>
        <a:defRPr sz="8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Državni dug Crne Gore - 31</vt:lpstr>
    </vt:vector>
  </TitlesOfParts>
  <Company>Ministarstvo finansija</Company>
  <LinksUpToDate>false</LinksUpToDate>
  <CharactersWithSpaces>20082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Državni dug Crne Gore - 31</dc:title>
  <dc:creator>Nemanja Pavlicic</dc:creator>
  <cp:lastModifiedBy>mersija.purisic</cp:lastModifiedBy>
  <cp:revision>8</cp:revision>
  <cp:lastPrinted>2014-04-25T12:57:00Z</cp:lastPrinted>
  <dcterms:created xsi:type="dcterms:W3CDTF">2014-04-25T14:55:00Z</dcterms:created>
  <dcterms:modified xsi:type="dcterms:W3CDTF">2014-05-14T12:09:00Z</dcterms:modified>
</cp:coreProperties>
</file>