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289CB" w14:textId="77777777" w:rsidR="00DA785B" w:rsidRPr="009F5886" w:rsidRDefault="00DA785B" w:rsidP="009F5886">
      <w:pPr>
        <w:spacing w:line="276" w:lineRule="auto"/>
        <w:rPr>
          <w:rFonts w:ascii="Times New Roman" w:hAnsi="Times New Roman"/>
          <w:b/>
          <w:color w:val="365F91"/>
          <w:sz w:val="22"/>
          <w:lang w:val="sr-Latn-ME"/>
        </w:rPr>
      </w:pPr>
    </w:p>
    <w:tbl>
      <w:tblPr>
        <w:tblW w:w="10250" w:type="dxa"/>
        <w:tblLayout w:type="fixed"/>
        <w:tblLook w:val="0000" w:firstRow="0" w:lastRow="0" w:firstColumn="0" w:lastColumn="0" w:noHBand="0" w:noVBand="0"/>
      </w:tblPr>
      <w:tblGrid>
        <w:gridCol w:w="5211"/>
        <w:gridCol w:w="5039"/>
      </w:tblGrid>
      <w:tr w:rsidR="00DA785B" w:rsidRPr="009F5886" w14:paraId="74B29C42" w14:textId="77777777" w:rsidTr="00F57DEB">
        <w:tc>
          <w:tcPr>
            <w:tcW w:w="10250" w:type="dxa"/>
            <w:gridSpan w:val="2"/>
            <w:tcBorders>
              <w:top w:val="single" w:sz="8" w:space="0" w:color="C0C0C0"/>
              <w:left w:val="single" w:sz="8" w:space="0" w:color="C0C0C0"/>
              <w:bottom w:val="single" w:sz="20" w:space="0" w:color="C0C0C0"/>
              <w:right w:val="single" w:sz="8" w:space="0" w:color="C0C0C0"/>
            </w:tcBorders>
            <w:shd w:val="clear" w:color="auto" w:fill="auto"/>
          </w:tcPr>
          <w:p w14:paraId="77DD026A" w14:textId="77777777" w:rsidR="00DA785B" w:rsidRPr="009F5886" w:rsidRDefault="00B30552" w:rsidP="009F5886">
            <w:pPr>
              <w:spacing w:line="276" w:lineRule="auto"/>
              <w:jc w:val="center"/>
              <w:rPr>
                <w:rFonts w:ascii="Times New Roman" w:hAnsi="Times New Roman"/>
                <w:b/>
                <w:color w:val="365F91"/>
                <w:sz w:val="22"/>
                <w:lang w:val="pl-PL"/>
              </w:rPr>
            </w:pPr>
            <w:r w:rsidRPr="009F5886">
              <w:rPr>
                <w:rFonts w:ascii="Times New Roman" w:hAnsi="Times New Roman"/>
                <w:b/>
                <w:color w:val="365F91"/>
                <w:sz w:val="22"/>
                <w:lang w:val="pl-PL"/>
              </w:rPr>
              <w:t>IZVJEŠTAJ O SPROVEDENOJ ANALIZI PROCJENE UTICAJA PROPISA</w:t>
            </w:r>
          </w:p>
        </w:tc>
      </w:tr>
      <w:tr w:rsidR="00DA785B" w:rsidRPr="009F5886" w14:paraId="3499E3B4" w14:textId="77777777" w:rsidTr="00F57DEB">
        <w:tc>
          <w:tcPr>
            <w:tcW w:w="5211" w:type="dxa"/>
            <w:tcBorders>
              <w:top w:val="single" w:sz="8" w:space="0" w:color="C0C0C0"/>
              <w:left w:val="single" w:sz="8" w:space="0" w:color="C0C0C0"/>
              <w:bottom w:val="single" w:sz="8" w:space="0" w:color="C0C0C0"/>
              <w:right w:val="single" w:sz="8" w:space="0" w:color="C0C0C0"/>
            </w:tcBorders>
            <w:shd w:val="clear" w:color="auto" w:fill="D2EAF1"/>
          </w:tcPr>
          <w:p w14:paraId="032184A5" w14:textId="77777777" w:rsidR="00DA785B" w:rsidRPr="009F5886" w:rsidRDefault="00DA785B" w:rsidP="009F5886">
            <w:pPr>
              <w:spacing w:before="120" w:line="276" w:lineRule="auto"/>
              <w:rPr>
                <w:rFonts w:ascii="Times New Roman" w:hAnsi="Times New Roman"/>
                <w:b/>
                <w:color w:val="365F91"/>
                <w:sz w:val="22"/>
              </w:rPr>
            </w:pPr>
            <w:r w:rsidRPr="009F5886">
              <w:rPr>
                <w:rFonts w:ascii="Times New Roman" w:hAnsi="Times New Roman"/>
                <w:b/>
                <w:color w:val="365F91"/>
                <w:sz w:val="22"/>
              </w:rPr>
              <w:t>PREDLAGAČ</w:t>
            </w:r>
          </w:p>
        </w:tc>
        <w:tc>
          <w:tcPr>
            <w:tcW w:w="5039" w:type="dxa"/>
            <w:tcBorders>
              <w:top w:val="single" w:sz="8" w:space="0" w:color="C0C0C0"/>
              <w:left w:val="single" w:sz="8" w:space="0" w:color="C0C0C0"/>
              <w:bottom w:val="single" w:sz="8" w:space="0" w:color="C0C0C0"/>
              <w:right w:val="single" w:sz="8" w:space="0" w:color="C0C0C0"/>
            </w:tcBorders>
            <w:shd w:val="clear" w:color="auto" w:fill="D2EAF1"/>
          </w:tcPr>
          <w:p w14:paraId="37EA5A60" w14:textId="607EF71F" w:rsidR="00DA785B" w:rsidRPr="009F5886" w:rsidRDefault="00DA785B" w:rsidP="009F5886">
            <w:pPr>
              <w:spacing w:before="120" w:line="276" w:lineRule="auto"/>
              <w:rPr>
                <w:rFonts w:ascii="Times New Roman" w:hAnsi="Times New Roman"/>
                <w:b/>
                <w:color w:val="365F91"/>
                <w:sz w:val="22"/>
                <w:lang w:val="pl-PL"/>
              </w:rPr>
            </w:pPr>
            <w:r w:rsidRPr="009F5886">
              <w:rPr>
                <w:rFonts w:ascii="Times New Roman" w:hAnsi="Times New Roman"/>
                <w:b/>
                <w:color w:val="365F91"/>
                <w:sz w:val="22"/>
                <w:lang w:val="pl-PL"/>
              </w:rPr>
              <w:t xml:space="preserve">MINISTARSTVO </w:t>
            </w:r>
            <w:r w:rsidR="00381BDE" w:rsidRPr="009F5886">
              <w:rPr>
                <w:rFonts w:ascii="Times New Roman" w:hAnsi="Times New Roman"/>
                <w:b/>
                <w:color w:val="365F91"/>
                <w:sz w:val="22"/>
                <w:lang w:val="pl-PL"/>
              </w:rPr>
              <w:t>FINANSIJA</w:t>
            </w:r>
            <w:r w:rsidR="004F5678" w:rsidRPr="009F5886">
              <w:rPr>
                <w:rFonts w:ascii="Times New Roman" w:hAnsi="Times New Roman"/>
                <w:b/>
                <w:color w:val="365F91"/>
                <w:sz w:val="22"/>
                <w:lang w:val="pl-PL"/>
              </w:rPr>
              <w:t xml:space="preserve"> </w:t>
            </w:r>
          </w:p>
        </w:tc>
      </w:tr>
      <w:tr w:rsidR="00DA785B" w:rsidRPr="009F5886" w14:paraId="4E21CBCD" w14:textId="77777777" w:rsidTr="00F57DEB">
        <w:tc>
          <w:tcPr>
            <w:tcW w:w="5211" w:type="dxa"/>
            <w:tcBorders>
              <w:top w:val="single" w:sz="8" w:space="0" w:color="C0C0C0"/>
              <w:left w:val="single" w:sz="8" w:space="0" w:color="C0C0C0"/>
              <w:bottom w:val="single" w:sz="8" w:space="0" w:color="C0C0C0"/>
              <w:right w:val="single" w:sz="8" w:space="0" w:color="C0C0C0"/>
            </w:tcBorders>
            <w:shd w:val="clear" w:color="auto" w:fill="auto"/>
          </w:tcPr>
          <w:p w14:paraId="0EC13E2B" w14:textId="77777777" w:rsidR="00DA785B" w:rsidRPr="009F5886" w:rsidRDefault="00DA785B" w:rsidP="009F5886">
            <w:pPr>
              <w:spacing w:before="120" w:line="276" w:lineRule="auto"/>
              <w:rPr>
                <w:rFonts w:ascii="Times New Roman" w:hAnsi="Times New Roman"/>
                <w:b/>
                <w:color w:val="365F91"/>
                <w:sz w:val="22"/>
              </w:rPr>
            </w:pPr>
            <w:r w:rsidRPr="009F5886">
              <w:rPr>
                <w:rFonts w:ascii="Times New Roman" w:hAnsi="Times New Roman"/>
                <w:b/>
                <w:color w:val="365F91"/>
                <w:sz w:val="22"/>
              </w:rPr>
              <w:t>NASLOV PROPISA</w:t>
            </w:r>
          </w:p>
        </w:tc>
        <w:tc>
          <w:tcPr>
            <w:tcW w:w="5039" w:type="dxa"/>
            <w:tcBorders>
              <w:top w:val="single" w:sz="8" w:space="0" w:color="C0C0C0"/>
              <w:left w:val="single" w:sz="8" w:space="0" w:color="C0C0C0"/>
              <w:bottom w:val="single" w:sz="8" w:space="0" w:color="C0C0C0"/>
              <w:right w:val="single" w:sz="8" w:space="0" w:color="C0C0C0"/>
            </w:tcBorders>
            <w:shd w:val="clear" w:color="auto" w:fill="auto"/>
          </w:tcPr>
          <w:p w14:paraId="267ABFEE" w14:textId="53ADAEA9" w:rsidR="00DA785B" w:rsidRPr="009F5886" w:rsidRDefault="009667A1" w:rsidP="009F5886">
            <w:pPr>
              <w:spacing w:before="120" w:line="276" w:lineRule="auto"/>
              <w:rPr>
                <w:rFonts w:ascii="Times New Roman" w:hAnsi="Times New Roman"/>
                <w:b/>
                <w:color w:val="44546A" w:themeColor="text2"/>
                <w:sz w:val="22"/>
                <w:lang w:val="sr-Latn-RS"/>
              </w:rPr>
            </w:pPr>
            <w:r w:rsidRPr="009F5886">
              <w:rPr>
                <w:rFonts w:ascii="Times New Roman" w:hAnsi="Times New Roman"/>
                <w:b/>
                <w:color w:val="000000" w:themeColor="text1"/>
                <w:sz w:val="22"/>
                <w:lang w:val="pl-PL"/>
              </w:rPr>
              <w:t>Predlog z</w:t>
            </w:r>
            <w:r w:rsidR="00B950AC" w:rsidRPr="009F5886">
              <w:rPr>
                <w:rFonts w:ascii="Times New Roman" w:hAnsi="Times New Roman"/>
                <w:b/>
                <w:color w:val="000000" w:themeColor="text1"/>
                <w:sz w:val="22"/>
                <w:lang w:val="pl-PL"/>
              </w:rPr>
              <w:t>akon</w:t>
            </w:r>
            <w:r w:rsidRPr="009F5886">
              <w:rPr>
                <w:rFonts w:ascii="Times New Roman" w:hAnsi="Times New Roman"/>
                <w:b/>
                <w:color w:val="000000" w:themeColor="text1"/>
                <w:sz w:val="22"/>
                <w:lang w:val="pl-PL"/>
              </w:rPr>
              <w:t>a</w:t>
            </w:r>
            <w:r w:rsidR="005A5FAA" w:rsidRPr="009F5886">
              <w:rPr>
                <w:rFonts w:ascii="Times New Roman" w:hAnsi="Times New Roman"/>
                <w:b/>
                <w:color w:val="000000" w:themeColor="text1"/>
                <w:sz w:val="22"/>
                <w:lang w:val="pl-PL"/>
              </w:rPr>
              <w:t xml:space="preserve"> </w:t>
            </w:r>
            <w:r w:rsidR="002206BB" w:rsidRPr="009F5886">
              <w:rPr>
                <w:rFonts w:ascii="Times New Roman" w:hAnsi="Times New Roman"/>
                <w:b/>
                <w:color w:val="000000" w:themeColor="text1"/>
                <w:sz w:val="22"/>
                <w:lang w:val="pl-PL"/>
              </w:rPr>
              <w:t xml:space="preserve">o izmjenama </w:t>
            </w:r>
            <w:r w:rsidR="003E6195" w:rsidRPr="009F5886">
              <w:rPr>
                <w:rFonts w:ascii="Times New Roman" w:hAnsi="Times New Roman"/>
                <w:b/>
                <w:color w:val="000000" w:themeColor="text1"/>
                <w:sz w:val="22"/>
                <w:lang w:val="pl-PL"/>
              </w:rPr>
              <w:t>i dopun</w:t>
            </w:r>
            <w:r w:rsidR="00B8388E">
              <w:rPr>
                <w:rFonts w:ascii="Times New Roman" w:hAnsi="Times New Roman"/>
                <w:b/>
                <w:color w:val="000000" w:themeColor="text1"/>
                <w:sz w:val="22"/>
                <w:lang w:val="pl-PL"/>
              </w:rPr>
              <w:t>ama</w:t>
            </w:r>
            <w:r w:rsidR="003E6195" w:rsidRPr="009F5886">
              <w:rPr>
                <w:rFonts w:ascii="Times New Roman" w:hAnsi="Times New Roman"/>
                <w:b/>
                <w:color w:val="000000" w:themeColor="text1"/>
                <w:sz w:val="22"/>
                <w:lang w:val="pl-PL"/>
              </w:rPr>
              <w:t xml:space="preserve"> </w:t>
            </w:r>
            <w:r w:rsidR="002206BB" w:rsidRPr="009F5886">
              <w:rPr>
                <w:rFonts w:ascii="Times New Roman" w:hAnsi="Times New Roman"/>
                <w:b/>
                <w:color w:val="000000" w:themeColor="text1"/>
                <w:sz w:val="22"/>
                <w:lang w:val="pl-PL"/>
              </w:rPr>
              <w:t>Zakona o porezu na dodatu vrijednost</w:t>
            </w:r>
          </w:p>
        </w:tc>
      </w:tr>
      <w:tr w:rsidR="00DA785B" w:rsidRPr="009F5886" w14:paraId="654823F4" w14:textId="77777777" w:rsidTr="00F57DEB">
        <w:tc>
          <w:tcPr>
            <w:tcW w:w="10250" w:type="dxa"/>
            <w:gridSpan w:val="2"/>
            <w:tcBorders>
              <w:top w:val="single" w:sz="8" w:space="0" w:color="C0C0C0"/>
              <w:left w:val="single" w:sz="8" w:space="0" w:color="C0C0C0"/>
              <w:bottom w:val="single" w:sz="8" w:space="0" w:color="C0C0C0"/>
              <w:right w:val="single" w:sz="8" w:space="0" w:color="C0C0C0"/>
            </w:tcBorders>
            <w:shd w:val="clear" w:color="auto" w:fill="D2EAF1"/>
          </w:tcPr>
          <w:p w14:paraId="3D6E3C9D" w14:textId="77777777" w:rsidR="00DA785B" w:rsidRPr="009F5886" w:rsidRDefault="00DA785B" w:rsidP="009F5886">
            <w:pPr>
              <w:spacing w:before="120" w:line="276" w:lineRule="auto"/>
              <w:rPr>
                <w:rFonts w:ascii="Times New Roman" w:hAnsi="Times New Roman"/>
                <w:b/>
                <w:color w:val="365F91"/>
                <w:sz w:val="22"/>
              </w:rPr>
            </w:pPr>
            <w:proofErr w:type="spellStart"/>
            <w:r w:rsidRPr="009F5886">
              <w:rPr>
                <w:rFonts w:ascii="Times New Roman" w:hAnsi="Times New Roman"/>
                <w:b/>
                <w:color w:val="365F91"/>
                <w:sz w:val="22"/>
              </w:rPr>
              <w:t>Odjeljak</w:t>
            </w:r>
            <w:proofErr w:type="spellEnd"/>
            <w:r w:rsidRPr="009F5886">
              <w:rPr>
                <w:rFonts w:ascii="Times New Roman" w:hAnsi="Times New Roman"/>
                <w:b/>
                <w:color w:val="365F91"/>
                <w:sz w:val="22"/>
              </w:rPr>
              <w:t xml:space="preserve"> 1: </w:t>
            </w:r>
            <w:proofErr w:type="spellStart"/>
            <w:r w:rsidRPr="009F5886">
              <w:rPr>
                <w:rFonts w:ascii="Times New Roman" w:hAnsi="Times New Roman"/>
                <w:b/>
                <w:color w:val="365F91"/>
                <w:sz w:val="22"/>
              </w:rPr>
              <w:t>Definisanje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problema</w:t>
            </w:r>
            <w:proofErr w:type="spellEnd"/>
          </w:p>
          <w:p w14:paraId="491819FE" w14:textId="77777777" w:rsidR="00DA785B" w:rsidRPr="009F5886" w:rsidRDefault="00DA785B" w:rsidP="009F5886">
            <w:pPr>
              <w:pStyle w:val="ListParagraph"/>
              <w:numPr>
                <w:ilvl w:val="0"/>
                <w:numId w:val="3"/>
              </w:numPr>
              <w:spacing w:before="120" w:line="276" w:lineRule="auto"/>
              <w:jc w:val="left"/>
              <w:rPr>
                <w:rFonts w:ascii="Times New Roman" w:hAnsi="Times New Roman"/>
                <w:b/>
                <w:color w:val="365F91"/>
                <w:sz w:val="22"/>
                <w:lang w:val="pl-PL"/>
              </w:rPr>
            </w:pPr>
            <w:r w:rsidRPr="009F5886">
              <w:rPr>
                <w:rFonts w:ascii="Times New Roman" w:hAnsi="Times New Roman"/>
                <w:b/>
                <w:color w:val="365F91"/>
                <w:sz w:val="22"/>
                <w:lang w:val="pl-PL"/>
              </w:rPr>
              <w:t>Koje probleme  treba da riješi predloženi akt?</w:t>
            </w:r>
          </w:p>
          <w:p w14:paraId="3CA9FFA3" w14:textId="77777777" w:rsidR="00DA785B" w:rsidRPr="009F5886" w:rsidRDefault="00DA785B" w:rsidP="009F5886">
            <w:pPr>
              <w:pStyle w:val="ListParagraph"/>
              <w:numPr>
                <w:ilvl w:val="0"/>
                <w:numId w:val="3"/>
              </w:numPr>
              <w:spacing w:before="120" w:line="276" w:lineRule="auto"/>
              <w:jc w:val="left"/>
              <w:rPr>
                <w:rFonts w:ascii="Times New Roman" w:hAnsi="Times New Roman"/>
                <w:b/>
                <w:color w:val="365F91"/>
                <w:sz w:val="22"/>
              </w:rPr>
            </w:pPr>
            <w:proofErr w:type="spellStart"/>
            <w:r w:rsidRPr="009F5886">
              <w:rPr>
                <w:rFonts w:ascii="Times New Roman" w:hAnsi="Times New Roman"/>
                <w:b/>
                <w:color w:val="365F91"/>
                <w:sz w:val="22"/>
              </w:rPr>
              <w:t>Što</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su</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uzroci</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problema</w:t>
            </w:r>
            <w:proofErr w:type="spellEnd"/>
            <w:r w:rsidRPr="009F5886">
              <w:rPr>
                <w:rFonts w:ascii="Times New Roman" w:hAnsi="Times New Roman"/>
                <w:b/>
                <w:color w:val="365F91"/>
                <w:sz w:val="22"/>
              </w:rPr>
              <w:t>?</w:t>
            </w:r>
          </w:p>
          <w:p w14:paraId="60C0EC4D" w14:textId="77777777" w:rsidR="00DA785B" w:rsidRPr="009F5886" w:rsidRDefault="00DA785B" w:rsidP="009F5886">
            <w:pPr>
              <w:pStyle w:val="ListParagraph"/>
              <w:numPr>
                <w:ilvl w:val="0"/>
                <w:numId w:val="3"/>
              </w:numPr>
              <w:spacing w:before="120" w:line="276" w:lineRule="auto"/>
              <w:jc w:val="left"/>
              <w:rPr>
                <w:rFonts w:ascii="Times New Roman" w:hAnsi="Times New Roman"/>
                <w:b/>
                <w:color w:val="365F91"/>
                <w:sz w:val="22"/>
              </w:rPr>
            </w:pPr>
            <w:proofErr w:type="spellStart"/>
            <w:r w:rsidRPr="009F5886">
              <w:rPr>
                <w:rFonts w:ascii="Times New Roman" w:hAnsi="Times New Roman"/>
                <w:b/>
                <w:color w:val="365F91"/>
                <w:sz w:val="22"/>
              </w:rPr>
              <w:t>Što</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su</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posljedice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problema</w:t>
            </w:r>
            <w:proofErr w:type="spellEnd"/>
            <w:r w:rsidRPr="009F5886">
              <w:rPr>
                <w:rFonts w:ascii="Times New Roman" w:hAnsi="Times New Roman"/>
                <w:b/>
                <w:color w:val="365F91"/>
                <w:sz w:val="22"/>
              </w:rPr>
              <w:t>?</w:t>
            </w:r>
          </w:p>
          <w:p w14:paraId="643628E0" w14:textId="77777777" w:rsidR="00DA785B" w:rsidRPr="009F5886" w:rsidRDefault="00DA785B" w:rsidP="009F5886">
            <w:pPr>
              <w:pStyle w:val="ListParagraph"/>
              <w:numPr>
                <w:ilvl w:val="0"/>
                <w:numId w:val="3"/>
              </w:numPr>
              <w:spacing w:before="120" w:line="276" w:lineRule="auto"/>
              <w:jc w:val="left"/>
              <w:rPr>
                <w:rFonts w:ascii="Times New Roman" w:hAnsi="Times New Roman"/>
                <w:b/>
                <w:color w:val="365F91"/>
                <w:sz w:val="22"/>
                <w:lang w:val="pl-PL"/>
              </w:rPr>
            </w:pPr>
            <w:r w:rsidRPr="009F5886">
              <w:rPr>
                <w:rFonts w:ascii="Times New Roman" w:hAnsi="Times New Roman"/>
                <w:b/>
                <w:color w:val="365F91"/>
                <w:sz w:val="22"/>
                <w:lang w:val="pl-PL"/>
              </w:rPr>
              <w:t>Ko je oštećen, na koji način i koliko?</w:t>
            </w:r>
          </w:p>
          <w:p w14:paraId="0CCB1097" w14:textId="77777777" w:rsidR="00DA785B" w:rsidRPr="009F5886" w:rsidRDefault="00DA785B" w:rsidP="009F5886">
            <w:pPr>
              <w:pStyle w:val="ListParagraph"/>
              <w:numPr>
                <w:ilvl w:val="0"/>
                <w:numId w:val="3"/>
              </w:numPr>
              <w:spacing w:before="120" w:line="276" w:lineRule="auto"/>
              <w:jc w:val="left"/>
              <w:rPr>
                <w:rFonts w:ascii="Times New Roman" w:hAnsi="Times New Roman"/>
                <w:b/>
                <w:color w:val="365F91"/>
                <w:sz w:val="22"/>
                <w:lang w:val="pl-PL"/>
              </w:rPr>
            </w:pPr>
            <w:r w:rsidRPr="009F5886">
              <w:rPr>
                <w:rFonts w:ascii="Times New Roman" w:hAnsi="Times New Roman"/>
                <w:b/>
                <w:color w:val="365F91"/>
                <w:sz w:val="22"/>
                <w:lang w:val="pl-PL"/>
              </w:rPr>
              <w:t>Kako bi problem evoluirao bez promjene propisa (“status quo” opcija)?</w:t>
            </w:r>
          </w:p>
        </w:tc>
      </w:tr>
      <w:tr w:rsidR="00DA785B" w:rsidRPr="009F5886" w14:paraId="567E1D16" w14:textId="77777777" w:rsidTr="00F57DEB">
        <w:tc>
          <w:tcPr>
            <w:tcW w:w="10250" w:type="dxa"/>
            <w:gridSpan w:val="2"/>
            <w:tcBorders>
              <w:top w:val="single" w:sz="8" w:space="0" w:color="C0C0C0"/>
              <w:left w:val="single" w:sz="8" w:space="0" w:color="C0C0C0"/>
              <w:bottom w:val="single" w:sz="8" w:space="0" w:color="C0C0C0"/>
              <w:right w:val="single" w:sz="8" w:space="0" w:color="C0C0C0"/>
            </w:tcBorders>
            <w:shd w:val="clear" w:color="auto" w:fill="auto"/>
          </w:tcPr>
          <w:p w14:paraId="4AB6CD27" w14:textId="77777777" w:rsidR="0013325A" w:rsidRPr="00E7752F" w:rsidRDefault="0013325A" w:rsidP="009F5886">
            <w:pPr>
              <w:spacing w:line="276" w:lineRule="auto"/>
              <w:rPr>
                <w:rFonts w:ascii="Times New Roman" w:hAnsi="Times New Roman"/>
                <w:sz w:val="22"/>
                <w:lang w:val="sr-Latn-ME"/>
              </w:rPr>
            </w:pPr>
          </w:p>
          <w:p w14:paraId="54476750" w14:textId="14B1C0CA" w:rsidR="000F69CC" w:rsidRPr="00E7752F" w:rsidRDefault="000F69CC" w:rsidP="000F69CC">
            <w:pPr>
              <w:spacing w:line="276" w:lineRule="auto"/>
              <w:rPr>
                <w:rFonts w:ascii="Times New Roman" w:eastAsia="Calibri" w:hAnsi="Times New Roman"/>
                <w:bCs w:val="0"/>
                <w:noProof/>
                <w:kern w:val="0"/>
                <w:sz w:val="22"/>
                <w:lang w:val="sr-Latn-RS" w:eastAsia="en-US"/>
              </w:rPr>
            </w:pPr>
            <w:r w:rsidRPr="00E7752F">
              <w:rPr>
                <w:rFonts w:ascii="Times New Roman" w:eastAsia="Calibri" w:hAnsi="Times New Roman"/>
                <w:bCs w:val="0"/>
                <w:noProof/>
                <w:kern w:val="0"/>
                <w:sz w:val="22"/>
                <w:lang w:val="sr-Latn-RS" w:eastAsia="en-US"/>
              </w:rPr>
              <w:t>Predloženim zakonskim rješenjem vrši se usklađivanje nacionalnog zakonodavstva s</w:t>
            </w:r>
            <w:r w:rsidR="00CB299D" w:rsidRPr="00E7752F">
              <w:rPr>
                <w:rFonts w:ascii="Times New Roman" w:eastAsia="Calibri" w:hAnsi="Times New Roman"/>
                <w:bCs w:val="0"/>
                <w:noProof/>
                <w:kern w:val="0"/>
                <w:sz w:val="22"/>
                <w:lang w:val="sr-Latn-RS" w:eastAsia="en-US"/>
              </w:rPr>
              <w:t>a</w:t>
            </w:r>
            <w:r w:rsidRPr="00E7752F">
              <w:rPr>
                <w:rFonts w:ascii="Times New Roman" w:eastAsia="Calibri" w:hAnsi="Times New Roman"/>
                <w:bCs w:val="0"/>
                <w:noProof/>
                <w:kern w:val="0"/>
                <w:sz w:val="22"/>
                <w:lang w:val="sr-Latn-RS" w:eastAsia="en-US"/>
              </w:rPr>
              <w:t xml:space="preserve"> odredbama Direktive Vijeća 2006/112/EZ o zajedničkom sistemu poreza na dodatu vrijednost, čime se osigurava pravna sigurnost, transparentnost i dosljedna primjena pravila PDV-a</w:t>
            </w:r>
            <w:r w:rsidR="00CE659D" w:rsidRPr="00E7752F">
              <w:rPr>
                <w:rFonts w:ascii="Times New Roman" w:eastAsia="Calibri" w:hAnsi="Times New Roman"/>
                <w:bCs w:val="0"/>
                <w:noProof/>
                <w:kern w:val="0"/>
                <w:sz w:val="22"/>
                <w:lang w:val="sr-Latn-RS" w:eastAsia="en-US"/>
              </w:rPr>
              <w:t>.</w:t>
            </w:r>
          </w:p>
          <w:p w14:paraId="52535BC0" w14:textId="339564C5" w:rsidR="000F69CC" w:rsidRPr="00E7752F" w:rsidRDefault="000F69CC" w:rsidP="000F69CC">
            <w:pPr>
              <w:spacing w:line="276" w:lineRule="auto"/>
              <w:rPr>
                <w:rFonts w:ascii="Times New Roman" w:eastAsia="Calibri" w:hAnsi="Times New Roman"/>
                <w:bCs w:val="0"/>
                <w:noProof/>
                <w:kern w:val="0"/>
                <w:sz w:val="22"/>
                <w:lang w:val="sr-Latn-RS" w:eastAsia="en-US"/>
              </w:rPr>
            </w:pPr>
            <w:r w:rsidRPr="00E7752F">
              <w:rPr>
                <w:rFonts w:ascii="Times New Roman" w:eastAsia="Calibri" w:hAnsi="Times New Roman"/>
                <w:bCs w:val="0"/>
                <w:noProof/>
                <w:kern w:val="0"/>
                <w:sz w:val="22"/>
                <w:lang w:val="sr-Latn-RS" w:eastAsia="en-US"/>
              </w:rPr>
              <w:t>Posebna pažnja posvećena je preciznijem definisanju poreskog tretmana prometa građevinskog zemljišta. U skladu s</w:t>
            </w:r>
            <w:r w:rsidR="00CE659D" w:rsidRPr="00E7752F">
              <w:rPr>
                <w:rFonts w:ascii="Times New Roman" w:eastAsia="Calibri" w:hAnsi="Times New Roman"/>
                <w:bCs w:val="0"/>
                <w:noProof/>
                <w:kern w:val="0"/>
                <w:sz w:val="22"/>
                <w:lang w:val="sr-Latn-RS" w:eastAsia="en-US"/>
              </w:rPr>
              <w:t>a</w:t>
            </w:r>
            <w:r w:rsidRPr="00E7752F">
              <w:rPr>
                <w:rFonts w:ascii="Times New Roman" w:eastAsia="Calibri" w:hAnsi="Times New Roman"/>
                <w:bCs w:val="0"/>
                <w:noProof/>
                <w:kern w:val="0"/>
                <w:sz w:val="22"/>
                <w:lang w:val="sr-Latn-RS" w:eastAsia="en-US"/>
              </w:rPr>
              <w:t xml:space="preserve"> važećim propisima Evropske unije, promet građevinskog zemljišta koji je funkcionalno i pravno povezan s</w:t>
            </w:r>
            <w:r w:rsidR="00CE659D" w:rsidRPr="00E7752F">
              <w:rPr>
                <w:rFonts w:ascii="Times New Roman" w:eastAsia="Calibri" w:hAnsi="Times New Roman"/>
                <w:bCs w:val="0"/>
                <w:noProof/>
                <w:kern w:val="0"/>
                <w:sz w:val="22"/>
                <w:lang w:val="sr-Latn-RS" w:eastAsia="en-US"/>
              </w:rPr>
              <w:t>a</w:t>
            </w:r>
            <w:r w:rsidRPr="00E7752F">
              <w:rPr>
                <w:rFonts w:ascii="Times New Roman" w:eastAsia="Calibri" w:hAnsi="Times New Roman"/>
                <w:bCs w:val="0"/>
                <w:noProof/>
                <w:kern w:val="0"/>
                <w:sz w:val="22"/>
                <w:lang w:val="sr-Latn-RS" w:eastAsia="en-US"/>
              </w:rPr>
              <w:t xml:space="preserve"> izgradnjom objekta smatra se jedinstvenom transakcijom, odnosno prometom koji prati sudbinu objekta. Time se izbjegava vještačko razdvajanje zemljišta i objekta u poreske svrhe, što doprinosi većoj pravnoj jasnoći i sprječavanju poreskih zloupotreba.</w:t>
            </w:r>
            <w:r w:rsidR="005B0935" w:rsidRPr="00E7752F">
              <w:t xml:space="preserve"> </w:t>
            </w:r>
            <w:r w:rsidR="00CA0DEE" w:rsidRPr="00CA0DEE">
              <w:rPr>
                <w:rFonts w:ascii="Times New Roman" w:eastAsia="Calibri" w:hAnsi="Times New Roman"/>
                <w:bCs w:val="0"/>
                <w:noProof/>
                <w:kern w:val="0"/>
                <w:sz w:val="22"/>
                <w:lang w:val="sr-Latn-RS" w:eastAsia="en-US"/>
              </w:rPr>
              <w:t>U tom kontekstu data je jasna definicija građevinskog zemljišta kao zemljišta za koje je izdat  akt kojim se odobrava gradnja, u skladu sa zakonom kojim se uređuju način i uslovi izgradnje objekata.</w:t>
            </w:r>
            <w:r w:rsidR="00CA0DEE">
              <w:rPr>
                <w:rFonts w:ascii="Times New Roman" w:eastAsia="Calibri" w:hAnsi="Times New Roman"/>
                <w:bCs w:val="0"/>
                <w:noProof/>
                <w:kern w:val="0"/>
                <w:sz w:val="22"/>
                <w:lang w:val="sr-Latn-RS" w:eastAsia="en-US"/>
              </w:rPr>
              <w:t xml:space="preserve"> </w:t>
            </w:r>
            <w:r w:rsidR="005B0935" w:rsidRPr="00E7752F">
              <w:rPr>
                <w:rFonts w:ascii="Times New Roman" w:eastAsia="Calibri" w:hAnsi="Times New Roman"/>
                <w:bCs w:val="0"/>
                <w:noProof/>
                <w:kern w:val="0"/>
                <w:sz w:val="22"/>
                <w:lang w:val="sr-Latn-RS" w:eastAsia="en-US"/>
              </w:rPr>
              <w:t>Dodatno je upotpunjena i definicija poreskog obveznika koji povremeno obavlja djelatnost, u dijelu da se poreskim obveznikom pored ostalog smatra i povremena aktivnost koja se odnosi na isporuku novoizgrađenih građevinskih objekata ili djelova građevinskih objekata kao i građevinskog zemljišta iz člana 4 stav 2 tačka 5 ovog zakona</w:t>
            </w:r>
            <w:r w:rsidR="00E00018">
              <w:rPr>
                <w:rFonts w:ascii="Times New Roman" w:eastAsia="Calibri" w:hAnsi="Times New Roman"/>
                <w:bCs w:val="0"/>
                <w:noProof/>
                <w:kern w:val="0"/>
                <w:sz w:val="22"/>
                <w:lang w:val="sr-Latn-RS" w:eastAsia="en-US"/>
              </w:rPr>
              <w:t>.</w:t>
            </w:r>
          </w:p>
          <w:p w14:paraId="270AD13B" w14:textId="77777777" w:rsidR="000555F0" w:rsidRPr="00E7752F" w:rsidRDefault="000555F0" w:rsidP="000555F0">
            <w:pPr>
              <w:spacing w:line="276" w:lineRule="auto"/>
              <w:rPr>
                <w:rFonts w:ascii="Times New Roman" w:eastAsia="Calibri" w:hAnsi="Times New Roman"/>
                <w:bCs w:val="0"/>
                <w:noProof/>
                <w:kern w:val="0"/>
                <w:sz w:val="22"/>
                <w:lang w:val="sr-Latn-RS" w:eastAsia="en-US"/>
              </w:rPr>
            </w:pPr>
          </w:p>
          <w:p w14:paraId="59247E39" w14:textId="77777777" w:rsidR="00FE56EB" w:rsidRDefault="00FE56EB" w:rsidP="005B0935">
            <w:pPr>
              <w:spacing w:line="276" w:lineRule="auto"/>
              <w:rPr>
                <w:rFonts w:ascii="Times New Roman" w:eastAsia="Calibri" w:hAnsi="Times New Roman"/>
                <w:bCs w:val="0"/>
                <w:noProof/>
                <w:kern w:val="0"/>
                <w:sz w:val="22"/>
                <w:lang w:val="sr-Latn-RS" w:eastAsia="en-US"/>
              </w:rPr>
            </w:pPr>
            <w:r w:rsidRPr="00FE56EB">
              <w:rPr>
                <w:rFonts w:ascii="Times New Roman" w:eastAsia="Calibri" w:hAnsi="Times New Roman"/>
                <w:bCs w:val="0"/>
                <w:noProof/>
                <w:kern w:val="0"/>
                <w:sz w:val="22"/>
                <w:lang w:val="sr-Latn-RS" w:eastAsia="en-US"/>
              </w:rPr>
              <w:t>Izmjenom zakona dopunjen je član 4, kojim se preciznije definišu uslovi, čime se u odnosu na raniju formulaciju smanjuje mogućnost pogrešnog tumačenja. Ukoliko sticatelj imovine koristi preuzetu imovinu u svrhe različite od onih za koje postoji pravo na odbitak ulaznog PDV-a, obavezan je da obračuna i plati PDV u skladu sa odredbama ovog zakona. Nadalje, propisano je da u slučaju promjene uslova relevantnih za oporezivanje, sticatelj imovine ima obavezu da izvrši ispravku ulaznog PDV-a za stečenu imovinu, u skladu sa postupkom utvrđenim članom 39 ovog zakona.</w:t>
            </w:r>
          </w:p>
          <w:p w14:paraId="0F6EEE68" w14:textId="77777777" w:rsidR="00FE56EB" w:rsidRDefault="00FE56EB" w:rsidP="005B0935">
            <w:pPr>
              <w:spacing w:line="276" w:lineRule="auto"/>
              <w:rPr>
                <w:rFonts w:ascii="Times New Roman" w:eastAsia="Calibri" w:hAnsi="Times New Roman"/>
                <w:bCs w:val="0"/>
                <w:noProof/>
                <w:kern w:val="0"/>
                <w:sz w:val="22"/>
                <w:lang w:val="sr-Latn-RS" w:eastAsia="en-US"/>
              </w:rPr>
            </w:pPr>
          </w:p>
          <w:p w14:paraId="7591BA71" w14:textId="4C180E04" w:rsidR="005B0935" w:rsidRPr="00E7752F" w:rsidRDefault="00FE56EB" w:rsidP="005B0935">
            <w:pPr>
              <w:spacing w:line="276" w:lineRule="auto"/>
              <w:rPr>
                <w:rFonts w:ascii="Times New Roman" w:eastAsia="Calibri" w:hAnsi="Times New Roman"/>
                <w:bCs w:val="0"/>
                <w:noProof/>
                <w:kern w:val="0"/>
                <w:sz w:val="22"/>
                <w:lang w:val="sr-Latn-RS" w:eastAsia="en-US"/>
              </w:rPr>
            </w:pPr>
            <w:r w:rsidRPr="00FE56EB">
              <w:rPr>
                <w:rFonts w:ascii="Times New Roman" w:eastAsia="Calibri" w:hAnsi="Times New Roman"/>
                <w:bCs w:val="0"/>
                <w:noProof/>
                <w:kern w:val="0"/>
                <w:sz w:val="22"/>
                <w:lang w:val="sr-Latn-RS" w:eastAsia="en-US"/>
              </w:rPr>
              <w:t xml:space="preserve">Član 17, kojim se uređuje pitanje mjesta prometa, sistematizovan je kroz više odredbi radi postizanja veće preglednosti, lakšeg razumijevanja i otklanjanja dosadašnjih nedoumica. Na taj način zakonska norma je unaprijeđena u skladu sa potrebama poreskih obveznika. Izmjenama je propisan način utvrđivanja mjesta prometa usluga kada se one pružaju licima koja nijesu poreski obveznici, kao i u drugim specifičnim slučajevima. Time je član zakona značajno poboljšan, jer obveznicima pruža jasniju definiciju osnovnog principa određivanja mjesta prometa, uz dodatno razrađene izuzetke koji su sistematski obuhvaćeni novim </w:t>
            </w:r>
            <w:r>
              <w:rPr>
                <w:rFonts w:ascii="Times New Roman" w:eastAsia="Calibri" w:hAnsi="Times New Roman"/>
                <w:bCs w:val="0"/>
                <w:noProof/>
                <w:kern w:val="0"/>
                <w:sz w:val="22"/>
                <w:lang w:val="sr-Latn-RS" w:eastAsia="en-US"/>
              </w:rPr>
              <w:t>članovima</w:t>
            </w:r>
            <w:r w:rsidRPr="00FE56EB">
              <w:rPr>
                <w:rFonts w:ascii="Times New Roman" w:eastAsia="Calibri" w:hAnsi="Times New Roman"/>
                <w:bCs w:val="0"/>
                <w:noProof/>
                <w:kern w:val="0"/>
                <w:sz w:val="22"/>
                <w:lang w:val="sr-Latn-RS" w:eastAsia="en-US"/>
              </w:rPr>
              <w:t xml:space="preserve"> zakona.</w:t>
            </w:r>
          </w:p>
          <w:p w14:paraId="01EC0B29" w14:textId="39EFB964" w:rsidR="005B0935" w:rsidRPr="00E7752F" w:rsidRDefault="005B0935" w:rsidP="005B0935">
            <w:pPr>
              <w:spacing w:line="276" w:lineRule="auto"/>
              <w:rPr>
                <w:rFonts w:ascii="Times New Roman" w:eastAsia="Calibri" w:hAnsi="Times New Roman"/>
                <w:bCs w:val="0"/>
                <w:noProof/>
                <w:kern w:val="0"/>
                <w:sz w:val="22"/>
                <w:lang w:val="sr-Latn-RS" w:eastAsia="en-US"/>
              </w:rPr>
            </w:pPr>
            <w:r w:rsidRPr="00E7752F">
              <w:rPr>
                <w:rFonts w:ascii="Times New Roman" w:eastAsia="Calibri" w:hAnsi="Times New Roman"/>
                <w:bCs w:val="0"/>
                <w:noProof/>
                <w:kern w:val="0"/>
                <w:sz w:val="22"/>
                <w:lang w:val="sr-Latn-RS" w:eastAsia="en-US"/>
              </w:rPr>
              <w:lastRenderedPageBreak/>
              <w:t>Izuzetno od stava 1 tačka 2 ovog člana, ukoliko je mjesto prometa usluga utvrđeno shodno članu 17 stavovima 2 do 5, kao i članovima 17c do 17j ovog zakona, mjesto u kojem primalac usluga koji nije poreski obveznik ima sjedište, prebivalište ili boravište, smatra se mjestom prometa. U tom slučaju, pružalac usluga dužan je da u Crnoj Gori osnuje stalnu poslovnu jedinicu ili imenuje zastupnika</w:t>
            </w:r>
            <w:r w:rsidR="00632D6B" w:rsidRPr="00E7752F">
              <w:rPr>
                <w:rFonts w:ascii="Times New Roman" w:eastAsia="Calibri" w:hAnsi="Times New Roman"/>
                <w:bCs w:val="0"/>
                <w:noProof/>
                <w:kern w:val="0"/>
                <w:sz w:val="22"/>
                <w:lang w:val="sr-Latn-RS" w:eastAsia="en-US"/>
              </w:rPr>
              <w:t>, za što su predviđene i kaznene odredbe ovim zakonom.</w:t>
            </w:r>
          </w:p>
          <w:p w14:paraId="3CA7FA4F" w14:textId="77777777" w:rsidR="00632D6B" w:rsidRPr="00E7752F" w:rsidRDefault="00632D6B" w:rsidP="005B0935">
            <w:pPr>
              <w:spacing w:line="276" w:lineRule="auto"/>
              <w:rPr>
                <w:rFonts w:ascii="Times New Roman" w:eastAsia="Calibri" w:hAnsi="Times New Roman"/>
                <w:bCs w:val="0"/>
                <w:noProof/>
                <w:kern w:val="0"/>
                <w:sz w:val="22"/>
                <w:lang w:val="sr-Latn-RS" w:eastAsia="en-US"/>
              </w:rPr>
            </w:pPr>
          </w:p>
          <w:p w14:paraId="2C74DA3E" w14:textId="0E517DE9" w:rsidR="005B0935" w:rsidRPr="00E7752F" w:rsidRDefault="005B0935" w:rsidP="005B0935">
            <w:pPr>
              <w:spacing w:line="276" w:lineRule="auto"/>
              <w:rPr>
                <w:rFonts w:ascii="Times New Roman" w:eastAsia="Calibri" w:hAnsi="Times New Roman"/>
                <w:bCs w:val="0"/>
                <w:noProof/>
                <w:kern w:val="0"/>
                <w:sz w:val="22"/>
                <w:lang w:val="sr-Latn-RS" w:eastAsia="en-US"/>
              </w:rPr>
            </w:pPr>
            <w:r w:rsidRPr="00E7752F">
              <w:rPr>
                <w:rFonts w:ascii="Times New Roman" w:eastAsia="Calibri" w:hAnsi="Times New Roman"/>
                <w:bCs w:val="0"/>
                <w:noProof/>
                <w:kern w:val="0"/>
                <w:sz w:val="22"/>
                <w:lang w:val="sr-Latn-RS" w:eastAsia="en-US"/>
              </w:rPr>
              <w:t>Poreski obveznik ima pravo da izvrši korekciju obračunatog PDV-a u slučajevima kada naplata potraživanja nije moguća. Ovo se odnosi na situacije u kojima, na osnovu pravosnažne sudske odluke o završenom stečajnom postupku, obustavljenom izvršnom postupku ili uspješno okončanom postupku prinudnog poravnanja, potraživanja nisu naplaćena u cjelosti ili uopšte. Da bi se ostvarilo pravo na korekciju, neophodno je da su ta potraživanja prethodno bila utužena, prije pokretanja navedenih postupaka.</w:t>
            </w:r>
          </w:p>
          <w:p w14:paraId="395A3EF8" w14:textId="285F31FF" w:rsidR="005B0935" w:rsidRPr="00E7752F" w:rsidRDefault="005B0935" w:rsidP="005B0935">
            <w:pPr>
              <w:spacing w:line="276" w:lineRule="auto"/>
              <w:rPr>
                <w:rFonts w:ascii="Times New Roman" w:eastAsia="Calibri" w:hAnsi="Times New Roman"/>
                <w:bCs w:val="0"/>
                <w:noProof/>
                <w:kern w:val="0"/>
                <w:sz w:val="22"/>
                <w:lang w:val="sr-Latn-RS" w:eastAsia="en-US"/>
              </w:rPr>
            </w:pPr>
            <w:r w:rsidRPr="00E7752F">
              <w:rPr>
                <w:rFonts w:ascii="Times New Roman" w:eastAsia="Calibri" w:hAnsi="Times New Roman"/>
                <w:bCs w:val="0"/>
                <w:noProof/>
                <w:kern w:val="0"/>
                <w:sz w:val="22"/>
                <w:lang w:val="sr-Latn-RS" w:eastAsia="en-US"/>
              </w:rPr>
              <w:t>Na isti način može postupiti i poreski obveznik čiji je dužnik izbrisan iz sudskog registra ili drugih relevantnih evidencija, pod uslovom da su ispunjeni isti kriterijumi. Na ovaj način je dopunjena poreska norma.</w:t>
            </w:r>
          </w:p>
          <w:p w14:paraId="5D6B87F2" w14:textId="77777777" w:rsidR="00632D6B" w:rsidRPr="00E7752F" w:rsidRDefault="00632D6B" w:rsidP="005B0935">
            <w:pPr>
              <w:spacing w:line="276" w:lineRule="auto"/>
              <w:rPr>
                <w:rFonts w:ascii="Times New Roman" w:eastAsia="Calibri" w:hAnsi="Times New Roman"/>
                <w:bCs w:val="0"/>
                <w:noProof/>
                <w:kern w:val="0"/>
                <w:sz w:val="22"/>
                <w:lang w:val="sr-Latn-RS" w:eastAsia="en-US"/>
              </w:rPr>
            </w:pPr>
          </w:p>
          <w:p w14:paraId="5303E0C5" w14:textId="597D4404" w:rsidR="005B0935" w:rsidRPr="00E7752F" w:rsidRDefault="005B0935" w:rsidP="005B0935">
            <w:pPr>
              <w:spacing w:line="276" w:lineRule="auto"/>
              <w:rPr>
                <w:rFonts w:ascii="Times New Roman" w:eastAsia="Calibri" w:hAnsi="Times New Roman"/>
                <w:bCs w:val="0"/>
                <w:noProof/>
                <w:kern w:val="0"/>
                <w:sz w:val="22"/>
                <w:lang w:val="sr-Latn-RS" w:eastAsia="en-US"/>
              </w:rPr>
            </w:pPr>
            <w:r w:rsidRPr="00E7752F">
              <w:rPr>
                <w:rFonts w:ascii="Times New Roman" w:eastAsia="Calibri" w:hAnsi="Times New Roman"/>
                <w:bCs w:val="0"/>
                <w:noProof/>
                <w:kern w:val="0"/>
                <w:sz w:val="22"/>
                <w:lang w:val="sr-Latn-RS" w:eastAsia="en-US"/>
              </w:rPr>
              <w:t>U cilju ujednačavanja poreskih propisa, zakonom je precizirano se da se nulta stopa PDV primjenjuje na promet proizvoda i usluga namijenjenih za lične potrebe stranog osoblja, diplomatskih i konzularnih predstavništava, uključujući i članove njihovih porodica, isključivo uz uslov uzajamnosti</w:t>
            </w:r>
            <w:r w:rsidR="00D66D8F">
              <w:rPr>
                <w:rFonts w:ascii="Times New Roman" w:eastAsia="Calibri" w:hAnsi="Times New Roman"/>
                <w:bCs w:val="0"/>
                <w:noProof/>
                <w:kern w:val="0"/>
                <w:sz w:val="22"/>
                <w:lang w:val="sr-Latn-RS" w:eastAsia="en-US"/>
              </w:rPr>
              <w:t>.</w:t>
            </w:r>
          </w:p>
          <w:p w14:paraId="7055EFCF" w14:textId="0EA39431" w:rsidR="005B0935" w:rsidRPr="00E7752F" w:rsidRDefault="005B0935" w:rsidP="005B0935">
            <w:pPr>
              <w:spacing w:line="276" w:lineRule="auto"/>
              <w:rPr>
                <w:rFonts w:ascii="Times New Roman" w:eastAsia="Calibri" w:hAnsi="Times New Roman"/>
                <w:bCs w:val="0"/>
                <w:noProof/>
                <w:kern w:val="0"/>
                <w:sz w:val="22"/>
                <w:lang w:val="sr-Latn-RS" w:eastAsia="en-US"/>
              </w:rPr>
            </w:pPr>
          </w:p>
          <w:p w14:paraId="7876FA13" w14:textId="58C355EB" w:rsidR="00632D6B" w:rsidRPr="00E7752F" w:rsidRDefault="00632D6B" w:rsidP="00632D6B">
            <w:pPr>
              <w:spacing w:line="276" w:lineRule="auto"/>
              <w:rPr>
                <w:rFonts w:ascii="Times New Roman" w:eastAsia="Calibri" w:hAnsi="Times New Roman"/>
                <w:bCs w:val="0"/>
                <w:noProof/>
                <w:kern w:val="0"/>
                <w:sz w:val="22"/>
                <w:lang w:val="sr-Latn-RS" w:eastAsia="en-US"/>
              </w:rPr>
            </w:pPr>
            <w:r w:rsidRPr="00E7752F">
              <w:rPr>
                <w:rFonts w:ascii="Times New Roman" w:eastAsia="Calibri" w:hAnsi="Times New Roman"/>
                <w:bCs w:val="0"/>
                <w:noProof/>
                <w:kern w:val="0"/>
                <w:sz w:val="22"/>
                <w:lang w:val="sr-Latn-RS" w:eastAsia="en-US"/>
              </w:rPr>
              <w:t>U cilju usklađivanja sa relevantnim direktivama i harmonizacije sa pravilima koja se primjenjuju na prostoru Evropske unije, ovom odredbom se uvodi obaveza navođenja podatka „prenos poreske obaveze“ u okviru izdatog računa. Ova obaveza se primjenjuje u slučajevima kada mjesto prometa usluga nije Crna Gora, čime se osigurava transparentnost i usklađenost sa prekograničnim poreskim pravilima.</w:t>
            </w:r>
          </w:p>
          <w:p w14:paraId="3478D3C6" w14:textId="563E02E9" w:rsidR="00632D6B" w:rsidRPr="00E7752F" w:rsidRDefault="00632D6B" w:rsidP="00632D6B">
            <w:pPr>
              <w:spacing w:line="276" w:lineRule="auto"/>
              <w:rPr>
                <w:rFonts w:ascii="Times New Roman" w:eastAsia="Calibri" w:hAnsi="Times New Roman"/>
                <w:bCs w:val="0"/>
                <w:noProof/>
                <w:kern w:val="0"/>
                <w:sz w:val="22"/>
                <w:lang w:val="sr-Latn-RS" w:eastAsia="en-US"/>
              </w:rPr>
            </w:pPr>
            <w:r w:rsidRPr="00E7752F">
              <w:rPr>
                <w:rFonts w:ascii="Times New Roman" w:eastAsia="Calibri" w:hAnsi="Times New Roman"/>
                <w:bCs w:val="0"/>
                <w:noProof/>
                <w:kern w:val="0"/>
                <w:sz w:val="22"/>
                <w:lang w:val="sr-Latn-RS" w:eastAsia="en-US"/>
              </w:rPr>
              <w:t>Dodatno, propisuje se obaveza navođenja istog podatka</w:t>
            </w:r>
            <w:r w:rsidR="00CA0DEE">
              <w:rPr>
                <w:rFonts w:ascii="Times New Roman" w:eastAsia="Calibri" w:hAnsi="Times New Roman"/>
                <w:bCs w:val="0"/>
                <w:noProof/>
                <w:kern w:val="0"/>
                <w:sz w:val="22"/>
                <w:lang w:val="sr-Latn-RS" w:eastAsia="en-US"/>
              </w:rPr>
              <w:t xml:space="preserve"> </w:t>
            </w:r>
            <w:r w:rsidR="00CA0DEE" w:rsidRPr="00CA0DEE">
              <w:rPr>
                <w:rFonts w:ascii="Times New Roman" w:eastAsia="Calibri" w:hAnsi="Times New Roman"/>
                <w:bCs w:val="0"/>
                <w:noProof/>
                <w:kern w:val="0"/>
                <w:sz w:val="22"/>
                <w:lang w:val="sr-Latn-RS" w:eastAsia="en-US"/>
              </w:rPr>
              <w:t xml:space="preserve">(„prenos poreske obaveze“ </w:t>
            </w:r>
            <w:r w:rsidR="00CA0DEE">
              <w:rPr>
                <w:rFonts w:ascii="Times New Roman" w:eastAsia="Calibri" w:hAnsi="Times New Roman"/>
                <w:bCs w:val="0"/>
                <w:noProof/>
                <w:kern w:val="0"/>
                <w:sz w:val="22"/>
                <w:lang w:val="sr-Latn-RS" w:eastAsia="en-US"/>
              </w:rPr>
              <w:t>)</w:t>
            </w:r>
            <w:r w:rsidRPr="00E7752F">
              <w:rPr>
                <w:rFonts w:ascii="Times New Roman" w:eastAsia="Calibri" w:hAnsi="Times New Roman"/>
                <w:bCs w:val="0"/>
                <w:noProof/>
                <w:kern w:val="0"/>
                <w:sz w:val="22"/>
                <w:lang w:val="sr-Latn-RS" w:eastAsia="en-US"/>
              </w:rPr>
              <w:t xml:space="preserve"> i u računima koje izdaje poreski obveznik prilikom prometa prirodnog gasa, električne energije, kao i energije za grijanje ili hlađenje, kada se promet vrši drugom poreskom obvezniku koji nije krajnji potrošač. Time se doprinosi preciznijem evidentiranju poreskih obaveza i jačanju kontrole u prometu energetskih resursa.</w:t>
            </w:r>
          </w:p>
          <w:p w14:paraId="2764BAA4" w14:textId="77777777" w:rsidR="00632D6B" w:rsidRPr="00E7752F" w:rsidRDefault="00632D6B" w:rsidP="00632D6B">
            <w:pPr>
              <w:spacing w:line="276" w:lineRule="auto"/>
              <w:rPr>
                <w:rFonts w:ascii="Times New Roman" w:eastAsia="Calibri" w:hAnsi="Times New Roman"/>
                <w:bCs w:val="0"/>
                <w:noProof/>
                <w:kern w:val="0"/>
                <w:sz w:val="22"/>
                <w:lang w:val="sr-Latn-RS" w:eastAsia="en-US"/>
              </w:rPr>
            </w:pPr>
          </w:p>
          <w:p w14:paraId="148100BB" w14:textId="6CEB0841" w:rsidR="00632D6B" w:rsidRDefault="00632D6B" w:rsidP="00632D6B">
            <w:pPr>
              <w:spacing w:line="276" w:lineRule="auto"/>
              <w:rPr>
                <w:rFonts w:ascii="Times New Roman" w:eastAsia="Calibri" w:hAnsi="Times New Roman"/>
                <w:bCs w:val="0"/>
                <w:noProof/>
                <w:kern w:val="0"/>
                <w:sz w:val="22"/>
                <w:lang w:val="sr-Latn-RS" w:eastAsia="en-US"/>
              </w:rPr>
            </w:pPr>
            <w:r w:rsidRPr="00E7752F">
              <w:rPr>
                <w:rFonts w:ascii="Times New Roman" w:eastAsia="Calibri" w:hAnsi="Times New Roman"/>
                <w:bCs w:val="0"/>
                <w:noProof/>
                <w:kern w:val="0"/>
                <w:sz w:val="22"/>
                <w:lang w:val="sr-Latn-RS" w:eastAsia="en-US"/>
              </w:rPr>
              <w:t>U cilju unapređenja primjene instituta ispravke odbitka ulaznog PDV-a, dodatno su pojašnjeni uslovi koji se smatraju mjerodavnim za oporezivanje. Do sada je njihova primjena u praksi izazivala različita tumačenja, što je stvaralo pravnu nesigurnost i otežavalo dosljednu primjenu propisa. Preciznim definisanjem tih uslova, otklonjene su nedoumice i omogućeno je efikasnije sprovođenje poreskih pravila.</w:t>
            </w:r>
          </w:p>
          <w:p w14:paraId="69818131" w14:textId="77777777" w:rsidR="00D4446B" w:rsidRPr="00E7752F" w:rsidRDefault="00D4446B" w:rsidP="00632D6B">
            <w:pPr>
              <w:spacing w:line="276" w:lineRule="auto"/>
              <w:rPr>
                <w:rFonts w:ascii="Times New Roman" w:eastAsia="Calibri" w:hAnsi="Times New Roman"/>
                <w:bCs w:val="0"/>
                <w:noProof/>
                <w:kern w:val="0"/>
                <w:sz w:val="22"/>
                <w:lang w:val="sr-Latn-RS" w:eastAsia="en-US"/>
              </w:rPr>
            </w:pPr>
          </w:p>
          <w:p w14:paraId="396F828F" w14:textId="43A44816" w:rsidR="00632D6B" w:rsidRPr="00E7752F" w:rsidRDefault="00632D6B" w:rsidP="005B0935">
            <w:pPr>
              <w:spacing w:line="276" w:lineRule="auto"/>
              <w:rPr>
                <w:rFonts w:ascii="Times New Roman" w:eastAsia="Calibri" w:hAnsi="Times New Roman"/>
                <w:bCs w:val="0"/>
                <w:noProof/>
                <w:kern w:val="0"/>
                <w:sz w:val="22"/>
                <w:lang w:val="sr-Latn-RS" w:eastAsia="en-US"/>
              </w:rPr>
            </w:pPr>
            <w:r w:rsidRPr="00E7752F">
              <w:rPr>
                <w:rFonts w:ascii="Times New Roman" w:eastAsia="Calibri" w:hAnsi="Times New Roman"/>
                <w:bCs w:val="0"/>
                <w:noProof/>
                <w:kern w:val="0"/>
                <w:sz w:val="22"/>
                <w:lang w:val="sr-Latn-RS" w:eastAsia="en-US"/>
              </w:rPr>
              <w:t>U okviru planiranih mjera za usklađivanje sa praksom zemalja članica Evropske unije, predviđeno je uvođenje PDV broja karakterističnog za EU sistem. Kao preduslov za efikasnu razmjenu podataka u prekograničnom prometu, PDV registracioni broj će se formirati dodavanjem oznake „ME“ ispred postojećeg poreskog identifikacionog broja (PIB). Ova struktura omogućava standardizaciju i olakšava identifikaciju poreskih obveznika iz Crne Gore u sistemima buduće razmjene informacija unutar EU. Uvođenje novog PDV broja planirano je od 1.1.2026.godine, sa primjenom novog IRMS sistema od strane Poreske uprave Crne Gore.</w:t>
            </w:r>
          </w:p>
          <w:p w14:paraId="106E5E05" w14:textId="208D8DD2" w:rsidR="00632D6B" w:rsidRPr="00E7752F" w:rsidRDefault="00632D6B" w:rsidP="005B0935">
            <w:pPr>
              <w:spacing w:line="276" w:lineRule="auto"/>
              <w:rPr>
                <w:rFonts w:ascii="Times New Roman" w:eastAsia="Calibri" w:hAnsi="Times New Roman"/>
                <w:bCs w:val="0"/>
                <w:noProof/>
                <w:kern w:val="0"/>
                <w:sz w:val="22"/>
                <w:lang w:val="sr-Latn-RS" w:eastAsia="en-US"/>
              </w:rPr>
            </w:pPr>
          </w:p>
          <w:p w14:paraId="7D3A3616" w14:textId="4E49C090" w:rsidR="00632D6B" w:rsidRPr="00E7752F" w:rsidRDefault="00632D6B" w:rsidP="00632D6B">
            <w:pPr>
              <w:spacing w:line="240" w:lineRule="auto"/>
              <w:ind w:firstLine="720"/>
              <w:rPr>
                <w:rFonts w:ascii="Times New Roman" w:eastAsia="Calibri" w:hAnsi="Times New Roman"/>
                <w:bCs w:val="0"/>
                <w:noProof/>
                <w:kern w:val="0"/>
                <w:sz w:val="22"/>
                <w:lang w:val="sr-Latn-RS" w:eastAsia="en-US"/>
              </w:rPr>
            </w:pPr>
            <w:r w:rsidRPr="00E7752F">
              <w:rPr>
                <w:rFonts w:ascii="Times New Roman" w:eastAsia="Calibri" w:hAnsi="Times New Roman"/>
                <w:bCs w:val="0"/>
                <w:noProof/>
                <w:kern w:val="0"/>
                <w:sz w:val="22"/>
                <w:lang w:val="sr-Latn-RS" w:eastAsia="en-US"/>
              </w:rPr>
              <w:t xml:space="preserve">U prelaznim odredbama je predviđeno da za promet građevinskog zemljišta u sklopu novoizgrađenih objekata ili njihovih djelova iz člana 4 stav 2 tačka 4 i tačka 5 ovog zakona, koji se vrši po osnovu kupoprodajnih ugovora koji su zaključeni  i za koje je u cjelosti izvršena avansna uplata prije stupanja na snagu ovog zakona, primjenjivaće se odredbe Zakona o porezu na dodatu </w:t>
            </w:r>
            <w:bookmarkStart w:id="0" w:name="_Hlk213673905"/>
            <w:r w:rsidRPr="00E7752F">
              <w:rPr>
                <w:rFonts w:ascii="Times New Roman" w:eastAsia="Calibri" w:hAnsi="Times New Roman"/>
                <w:bCs w:val="0"/>
                <w:noProof/>
                <w:kern w:val="0"/>
                <w:sz w:val="22"/>
                <w:lang w:val="sr-Latn-RS" w:eastAsia="en-US"/>
              </w:rPr>
              <w:t>vrijednost ("Službeni list RCG", br. 65/01, 38/02, 72/02, 21/03 i 76/05 i "Službeni list CG", br. 16/07, 29/13, 9/15, 53/16, 1/17, 50/17, 80/20, 59/21, 146/21, 49/22, 65/22, 140/22, 3/23 i 94/24)</w:t>
            </w:r>
            <w:bookmarkEnd w:id="0"/>
            <w:r w:rsidRPr="00E7752F">
              <w:rPr>
                <w:rFonts w:ascii="Times New Roman" w:eastAsia="Calibri" w:hAnsi="Times New Roman"/>
                <w:bCs w:val="0"/>
                <w:noProof/>
                <w:kern w:val="0"/>
                <w:sz w:val="22"/>
                <w:lang w:val="sr-Latn-RS" w:eastAsia="en-US"/>
              </w:rPr>
              <w:t>, pod uslovom da isporuka novoizgrađene nepokretnosti bude izvršena u roku predviđenom kupoprodajnim ugovorom.“</w:t>
            </w:r>
          </w:p>
          <w:p w14:paraId="71866FC7" w14:textId="3FDD02AF" w:rsidR="00632D6B" w:rsidRPr="00E7752F" w:rsidRDefault="00632D6B" w:rsidP="005B0935">
            <w:pPr>
              <w:spacing w:line="276" w:lineRule="auto"/>
              <w:rPr>
                <w:rFonts w:ascii="Times New Roman" w:eastAsia="Calibri" w:hAnsi="Times New Roman"/>
                <w:bCs w:val="0"/>
                <w:noProof/>
                <w:kern w:val="0"/>
                <w:sz w:val="22"/>
                <w:lang w:val="sr-Latn-RS" w:eastAsia="en-US"/>
              </w:rPr>
            </w:pPr>
            <w:r w:rsidRPr="00E7752F">
              <w:rPr>
                <w:rFonts w:ascii="Times New Roman" w:eastAsia="Calibri" w:hAnsi="Times New Roman"/>
                <w:bCs w:val="0"/>
                <w:noProof/>
                <w:kern w:val="0"/>
                <w:sz w:val="22"/>
                <w:lang w:val="sr-Latn-RS" w:eastAsia="en-US"/>
              </w:rPr>
              <w:lastRenderedPageBreak/>
              <w:t>Na ovaj način stvorena je mogućnost da kompanije koje su već započele aktivnosti, uz ispunjenje dodatnih propisanih uslova, budu izuzete od primjene opšte poreske stope na već formirane cijene zemljišta. Ova mjera ima za cilj da obezbijedi kontinuitet poslovnih planova i investicionih aktivnosti, uz istovremeno poštovanje poreskih pravila i očuvanje pravne sigurnosti za subjekte koji su postupali u skladu sa važećim propisima u trenutku pokretanja projekta.</w:t>
            </w:r>
          </w:p>
          <w:p w14:paraId="74DE4901" w14:textId="77777777" w:rsidR="00632D6B" w:rsidRPr="00E7752F" w:rsidRDefault="00632D6B" w:rsidP="005B0935">
            <w:pPr>
              <w:spacing w:line="276" w:lineRule="auto"/>
              <w:rPr>
                <w:rFonts w:ascii="Times New Roman" w:eastAsia="Calibri" w:hAnsi="Times New Roman"/>
                <w:bCs w:val="0"/>
                <w:noProof/>
                <w:kern w:val="0"/>
                <w:sz w:val="22"/>
                <w:lang w:val="sr-Latn-RS" w:eastAsia="en-US"/>
              </w:rPr>
            </w:pPr>
          </w:p>
          <w:p w14:paraId="62BC3DCF" w14:textId="381AE9A1" w:rsidR="001A4883" w:rsidRPr="00E7752F" w:rsidRDefault="000F69CC" w:rsidP="005B0935">
            <w:pPr>
              <w:spacing w:line="276" w:lineRule="auto"/>
              <w:rPr>
                <w:rFonts w:ascii="Times New Roman" w:eastAsia="Calibri" w:hAnsi="Times New Roman"/>
                <w:bCs w:val="0"/>
                <w:noProof/>
                <w:kern w:val="0"/>
                <w:sz w:val="22"/>
                <w:lang w:val="sr-Latn-RS" w:eastAsia="en-US"/>
              </w:rPr>
            </w:pPr>
            <w:r w:rsidRPr="00E7752F">
              <w:rPr>
                <w:rFonts w:ascii="Times New Roman" w:eastAsia="Calibri" w:hAnsi="Times New Roman"/>
                <w:bCs w:val="0"/>
                <w:noProof/>
                <w:kern w:val="0"/>
                <w:sz w:val="22"/>
                <w:lang w:val="sr-Latn-RS" w:eastAsia="en-US"/>
              </w:rPr>
              <w:t>Ovim izmjenama dodatno se unapređuje pravna norma kroz preciznije definisanje pojmova, usklađivanje sa sudskom praksom Suda pravde Evropske unije, te stvaranje preduslova za efikasniju primjenu zakona u praksi. Cilj je osigurati ravnotežu između fiskalne discipline i stvarnih potreba poreskih obveznika, uz očuvanje principa neutralnosti PDV-a i jednakog tretmana svih učesnika na tržištu.</w:t>
            </w:r>
            <w:r w:rsidR="001F1C20">
              <w:rPr>
                <w:rFonts w:ascii="Times New Roman" w:eastAsia="Calibri" w:hAnsi="Times New Roman"/>
                <w:bCs w:val="0"/>
                <w:noProof/>
                <w:kern w:val="0"/>
                <w:sz w:val="22"/>
                <w:lang w:val="sr-Latn-RS" w:eastAsia="en-US"/>
              </w:rPr>
              <w:t xml:space="preserve"> </w:t>
            </w:r>
            <w:r w:rsidR="006A7AA7" w:rsidRPr="006A7AA7">
              <w:rPr>
                <w:rFonts w:ascii="Times New Roman" w:eastAsia="Calibri" w:hAnsi="Times New Roman"/>
                <w:bCs w:val="0"/>
                <w:noProof/>
                <w:kern w:val="0"/>
                <w:sz w:val="22"/>
                <w:lang w:val="sr-Latn-RS" w:eastAsia="en-US"/>
              </w:rPr>
              <w:t>Takođe, propis je usaglašen sa pravnim tekovinama Evropske unije, čime se obezbjeđuje harmonizacija domaćeg zakonodavstva sa relevantnim evropskim standardima.</w:t>
            </w:r>
          </w:p>
          <w:p w14:paraId="6899271B" w14:textId="6A30577B" w:rsidR="000C387B" w:rsidRPr="00E7752F" w:rsidRDefault="000C387B" w:rsidP="00514722">
            <w:pPr>
              <w:suppressAutoHyphens w:val="0"/>
              <w:spacing w:line="276" w:lineRule="auto"/>
              <w:rPr>
                <w:rFonts w:ascii="Times New Roman" w:eastAsia="Calibri" w:hAnsi="Times New Roman"/>
                <w:bCs w:val="0"/>
                <w:noProof/>
                <w:kern w:val="0"/>
                <w:sz w:val="22"/>
                <w:lang w:val="sr-Latn-RS" w:eastAsia="en-US"/>
              </w:rPr>
            </w:pPr>
          </w:p>
        </w:tc>
      </w:tr>
      <w:tr w:rsidR="00DA785B" w:rsidRPr="009F5886" w14:paraId="39FE57A0" w14:textId="77777777" w:rsidTr="00F57DEB">
        <w:tc>
          <w:tcPr>
            <w:tcW w:w="10250" w:type="dxa"/>
            <w:gridSpan w:val="2"/>
            <w:tcBorders>
              <w:top w:val="single" w:sz="8" w:space="0" w:color="C0C0C0"/>
              <w:left w:val="single" w:sz="8" w:space="0" w:color="C0C0C0"/>
              <w:bottom w:val="single" w:sz="8" w:space="0" w:color="C0C0C0"/>
              <w:right w:val="single" w:sz="8" w:space="0" w:color="C0C0C0"/>
            </w:tcBorders>
            <w:shd w:val="clear" w:color="auto" w:fill="D2EAF1"/>
          </w:tcPr>
          <w:p w14:paraId="3F2EAC82" w14:textId="77777777" w:rsidR="00DA785B" w:rsidRPr="009F5886" w:rsidRDefault="00DA785B" w:rsidP="009F5886">
            <w:pPr>
              <w:spacing w:before="120" w:line="276" w:lineRule="auto"/>
              <w:rPr>
                <w:rFonts w:ascii="Times New Roman" w:hAnsi="Times New Roman"/>
                <w:b/>
                <w:color w:val="365F91"/>
                <w:sz w:val="22"/>
              </w:rPr>
            </w:pPr>
            <w:r w:rsidRPr="009F5886">
              <w:rPr>
                <w:rFonts w:ascii="Times New Roman" w:hAnsi="Times New Roman"/>
                <w:b/>
                <w:color w:val="365F91"/>
                <w:sz w:val="22"/>
              </w:rPr>
              <w:lastRenderedPageBreak/>
              <w:t>2</w:t>
            </w:r>
            <w:r w:rsidR="00864B6A" w:rsidRPr="009F5886">
              <w:rPr>
                <w:rFonts w:ascii="Times New Roman" w:hAnsi="Times New Roman"/>
                <w:b/>
                <w:color w:val="365F91"/>
                <w:sz w:val="22"/>
              </w:rPr>
              <w:t>.</w:t>
            </w:r>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Ciljevi</w:t>
            </w:r>
            <w:proofErr w:type="spellEnd"/>
          </w:p>
          <w:p w14:paraId="7C9CD70E" w14:textId="77777777" w:rsidR="00DA785B" w:rsidRPr="009F5886" w:rsidRDefault="00DA785B" w:rsidP="009F5886">
            <w:pPr>
              <w:pStyle w:val="ListParagraph"/>
              <w:numPr>
                <w:ilvl w:val="0"/>
                <w:numId w:val="3"/>
              </w:numPr>
              <w:spacing w:before="120" w:line="276" w:lineRule="auto"/>
              <w:jc w:val="left"/>
              <w:rPr>
                <w:rFonts w:ascii="Times New Roman" w:hAnsi="Times New Roman"/>
                <w:b/>
                <w:color w:val="365F91"/>
                <w:sz w:val="22"/>
                <w:lang w:val="nb-NO"/>
              </w:rPr>
            </w:pPr>
            <w:r w:rsidRPr="009F5886">
              <w:rPr>
                <w:rFonts w:ascii="Times New Roman" w:hAnsi="Times New Roman"/>
                <w:b/>
                <w:color w:val="365F91"/>
                <w:sz w:val="22"/>
                <w:lang w:val="nb-NO"/>
              </w:rPr>
              <w:t>Koji ciljevi se postižu predloženim propisom ?</w:t>
            </w:r>
          </w:p>
          <w:p w14:paraId="27F34081" w14:textId="77777777" w:rsidR="00DA785B" w:rsidRPr="009F5886" w:rsidRDefault="00DA785B" w:rsidP="009F5886">
            <w:pPr>
              <w:pStyle w:val="ListParagraph"/>
              <w:numPr>
                <w:ilvl w:val="0"/>
                <w:numId w:val="3"/>
              </w:numPr>
              <w:spacing w:before="120" w:line="276" w:lineRule="auto"/>
              <w:rPr>
                <w:rFonts w:ascii="Times New Roman" w:hAnsi="Times New Roman"/>
                <w:b/>
                <w:color w:val="365F91"/>
                <w:sz w:val="22"/>
                <w:lang w:val="nb-NO"/>
              </w:rPr>
            </w:pPr>
            <w:r w:rsidRPr="009F5886">
              <w:rPr>
                <w:rFonts w:ascii="Times New Roman" w:hAnsi="Times New Roman"/>
                <w:b/>
                <w:color w:val="365F91"/>
                <w:sz w:val="22"/>
                <w:lang w:val="nb-NO"/>
              </w:rPr>
              <w:t>Navesti dosljednost ovih ciljeva sa postojećim strategijama ili programima Vlade, ako je primjenljivo.</w:t>
            </w:r>
          </w:p>
        </w:tc>
      </w:tr>
      <w:tr w:rsidR="00DA785B" w:rsidRPr="009F5886" w14:paraId="43F276D8" w14:textId="77777777" w:rsidTr="00F57DEB">
        <w:tc>
          <w:tcPr>
            <w:tcW w:w="10250" w:type="dxa"/>
            <w:gridSpan w:val="2"/>
            <w:tcBorders>
              <w:top w:val="single" w:sz="8" w:space="0" w:color="C0C0C0"/>
              <w:left w:val="single" w:sz="8" w:space="0" w:color="C0C0C0"/>
              <w:bottom w:val="single" w:sz="8" w:space="0" w:color="C0C0C0"/>
              <w:right w:val="single" w:sz="8" w:space="0" w:color="C0C0C0"/>
            </w:tcBorders>
            <w:shd w:val="clear" w:color="auto" w:fill="auto"/>
          </w:tcPr>
          <w:p w14:paraId="624C855A" w14:textId="77777777" w:rsidR="00210BBF" w:rsidRPr="009F5886" w:rsidRDefault="00210BBF" w:rsidP="009F5886">
            <w:pPr>
              <w:spacing w:line="276" w:lineRule="auto"/>
              <w:rPr>
                <w:rFonts w:ascii="Times New Roman" w:hAnsi="Times New Roman"/>
                <w:color w:val="000000" w:themeColor="text1"/>
                <w:sz w:val="22"/>
                <w:lang w:val="en-US"/>
              </w:rPr>
            </w:pPr>
            <w:bookmarkStart w:id="1" w:name="_Hlk167778801"/>
            <w:bookmarkStart w:id="2" w:name="_Hlk171329636"/>
          </w:p>
          <w:bookmarkEnd w:id="1"/>
          <w:bookmarkEnd w:id="2"/>
          <w:p w14:paraId="52F54A47" w14:textId="28461875" w:rsidR="000D1ED1" w:rsidRDefault="004F05AA" w:rsidP="009F5886">
            <w:pPr>
              <w:suppressAutoHyphens w:val="0"/>
              <w:spacing w:line="276" w:lineRule="auto"/>
              <w:rPr>
                <w:rFonts w:ascii="Times New Roman" w:eastAsia="Calibri" w:hAnsi="Times New Roman"/>
                <w:bCs w:val="0"/>
                <w:noProof/>
                <w:kern w:val="0"/>
                <w:sz w:val="22"/>
                <w:lang w:val="sr-Latn-RS" w:eastAsia="en-US"/>
              </w:rPr>
            </w:pPr>
            <w:r w:rsidRPr="009F5886">
              <w:rPr>
                <w:rFonts w:ascii="Times New Roman" w:eastAsia="Calibri" w:hAnsi="Times New Roman"/>
                <w:bCs w:val="0"/>
                <w:noProof/>
                <w:kern w:val="0"/>
                <w:sz w:val="22"/>
                <w:lang w:val="sr-Latn-RS" w:eastAsia="en-US"/>
              </w:rPr>
              <w:t>Predložen</w:t>
            </w:r>
            <w:r w:rsidR="00514722">
              <w:rPr>
                <w:rFonts w:ascii="Times New Roman" w:eastAsia="Calibri" w:hAnsi="Times New Roman"/>
                <w:bCs w:val="0"/>
                <w:noProof/>
                <w:kern w:val="0"/>
                <w:sz w:val="22"/>
                <w:lang w:val="sr-Latn-RS" w:eastAsia="en-US"/>
              </w:rPr>
              <w:t>im</w:t>
            </w:r>
            <w:r w:rsidRPr="009F5886">
              <w:rPr>
                <w:rFonts w:ascii="Times New Roman" w:eastAsia="Calibri" w:hAnsi="Times New Roman"/>
                <w:bCs w:val="0"/>
                <w:noProof/>
                <w:kern w:val="0"/>
                <w:sz w:val="22"/>
                <w:lang w:val="sr-Latn-RS" w:eastAsia="en-US"/>
              </w:rPr>
              <w:t xml:space="preserve"> zakonsk</w:t>
            </w:r>
            <w:r w:rsidR="00514722">
              <w:rPr>
                <w:rFonts w:ascii="Times New Roman" w:eastAsia="Calibri" w:hAnsi="Times New Roman"/>
                <w:bCs w:val="0"/>
                <w:noProof/>
                <w:kern w:val="0"/>
                <w:sz w:val="22"/>
                <w:lang w:val="sr-Latn-RS" w:eastAsia="en-US"/>
              </w:rPr>
              <w:t>im</w:t>
            </w:r>
            <w:r w:rsidRPr="009F5886">
              <w:rPr>
                <w:rFonts w:ascii="Times New Roman" w:eastAsia="Calibri" w:hAnsi="Times New Roman"/>
                <w:bCs w:val="0"/>
                <w:noProof/>
                <w:kern w:val="0"/>
                <w:sz w:val="22"/>
                <w:lang w:val="sr-Latn-RS" w:eastAsia="en-US"/>
              </w:rPr>
              <w:t xml:space="preserve"> rješenje</w:t>
            </w:r>
            <w:r w:rsidR="00514722">
              <w:rPr>
                <w:rFonts w:ascii="Times New Roman" w:eastAsia="Calibri" w:hAnsi="Times New Roman"/>
                <w:bCs w:val="0"/>
                <w:noProof/>
                <w:kern w:val="0"/>
                <w:sz w:val="22"/>
                <w:lang w:val="sr-Latn-RS" w:eastAsia="en-US"/>
              </w:rPr>
              <w:t xml:space="preserve">m postiže se djelimična usklađenost </w:t>
            </w:r>
            <w:r w:rsidR="00514722" w:rsidRPr="00514722">
              <w:rPr>
                <w:rFonts w:ascii="Times New Roman" w:eastAsia="Calibri" w:hAnsi="Times New Roman"/>
                <w:bCs w:val="0"/>
                <w:noProof/>
                <w:kern w:val="0"/>
                <w:sz w:val="22"/>
                <w:lang w:val="sr-Latn-RS" w:eastAsia="en-US"/>
              </w:rPr>
              <w:t>odredb</w:t>
            </w:r>
            <w:r w:rsidR="00DC022E">
              <w:rPr>
                <w:rFonts w:ascii="Times New Roman" w:eastAsia="Calibri" w:hAnsi="Times New Roman"/>
                <w:bCs w:val="0"/>
                <w:noProof/>
                <w:kern w:val="0"/>
                <w:sz w:val="22"/>
                <w:lang w:val="sr-Latn-RS" w:eastAsia="en-US"/>
              </w:rPr>
              <w:t>i</w:t>
            </w:r>
            <w:r w:rsidR="00514722" w:rsidRPr="00514722">
              <w:rPr>
                <w:rFonts w:ascii="Times New Roman" w:eastAsia="Calibri" w:hAnsi="Times New Roman"/>
                <w:bCs w:val="0"/>
                <w:noProof/>
                <w:kern w:val="0"/>
                <w:sz w:val="22"/>
                <w:lang w:val="sr-Latn-RS" w:eastAsia="en-US"/>
              </w:rPr>
              <w:t xml:space="preserve"> iz Direktive 2006/112/EZ</w:t>
            </w:r>
            <w:r w:rsidRPr="009F5886">
              <w:rPr>
                <w:rFonts w:ascii="Times New Roman" w:eastAsia="Calibri" w:hAnsi="Times New Roman"/>
                <w:bCs w:val="0"/>
                <w:noProof/>
                <w:kern w:val="0"/>
                <w:sz w:val="22"/>
                <w:lang w:val="sr-Latn-RS" w:eastAsia="en-US"/>
              </w:rPr>
              <w:t xml:space="preserve"> </w:t>
            </w:r>
            <w:r w:rsidR="000D1ED1">
              <w:rPr>
                <w:rFonts w:ascii="Times New Roman" w:eastAsia="Calibri" w:hAnsi="Times New Roman"/>
                <w:bCs w:val="0"/>
                <w:noProof/>
                <w:kern w:val="0"/>
                <w:sz w:val="22"/>
                <w:lang w:val="sr-Latn-RS" w:eastAsia="en-US"/>
              </w:rPr>
              <w:t>kao i unapređenje zakonskih normi koje su u praksi izazivale nedovoljno r</w:t>
            </w:r>
            <w:r w:rsidR="00D4446B">
              <w:rPr>
                <w:rFonts w:ascii="Times New Roman" w:eastAsia="Calibri" w:hAnsi="Times New Roman"/>
                <w:bCs w:val="0"/>
                <w:noProof/>
                <w:kern w:val="0"/>
                <w:sz w:val="22"/>
                <w:lang w:val="sr-Latn-RS" w:eastAsia="en-US"/>
              </w:rPr>
              <w:t>a</w:t>
            </w:r>
            <w:r w:rsidR="000D1ED1">
              <w:rPr>
                <w:rFonts w:ascii="Times New Roman" w:eastAsia="Calibri" w:hAnsi="Times New Roman"/>
                <w:bCs w:val="0"/>
                <w:noProof/>
                <w:kern w:val="0"/>
                <w:sz w:val="22"/>
                <w:lang w:val="sr-Latn-RS" w:eastAsia="en-US"/>
              </w:rPr>
              <w:t>zumijevanje ili različita tumačenja.</w:t>
            </w:r>
          </w:p>
          <w:p w14:paraId="6C74C492" w14:textId="3A9B711F" w:rsidR="00514722" w:rsidRPr="00514722" w:rsidRDefault="00D4446B" w:rsidP="00514722">
            <w:pPr>
              <w:suppressAutoHyphens w:val="0"/>
              <w:spacing w:line="276" w:lineRule="auto"/>
              <w:rPr>
                <w:rFonts w:ascii="Times New Roman" w:eastAsia="Calibri" w:hAnsi="Times New Roman"/>
                <w:bCs w:val="0"/>
                <w:noProof/>
                <w:kern w:val="0"/>
                <w:sz w:val="22"/>
                <w:lang w:val="sr-Latn-RS" w:eastAsia="en-US"/>
              </w:rPr>
            </w:pPr>
            <w:r>
              <w:rPr>
                <w:rFonts w:ascii="Times New Roman" w:eastAsia="Calibri" w:hAnsi="Times New Roman"/>
                <w:bCs w:val="0"/>
                <w:noProof/>
                <w:kern w:val="0"/>
                <w:sz w:val="22"/>
                <w:lang w:val="sr-Latn-RS" w:eastAsia="en-US"/>
              </w:rPr>
              <w:t>U pomenutoj Direktivi, čl</w:t>
            </w:r>
            <w:r w:rsidR="00514722" w:rsidRPr="00514722">
              <w:rPr>
                <w:rFonts w:ascii="Times New Roman" w:eastAsia="Calibri" w:hAnsi="Times New Roman"/>
                <w:bCs w:val="0"/>
                <w:noProof/>
                <w:kern w:val="0"/>
                <w:sz w:val="22"/>
                <w:lang w:val="sr-Latn-RS" w:eastAsia="en-US"/>
              </w:rPr>
              <w:t>an 135</w:t>
            </w:r>
            <w:r>
              <w:rPr>
                <w:rFonts w:ascii="Times New Roman" w:eastAsia="Calibri" w:hAnsi="Times New Roman"/>
                <w:bCs w:val="0"/>
                <w:noProof/>
                <w:kern w:val="0"/>
                <w:sz w:val="22"/>
                <w:lang w:val="sr-Latn-RS" w:eastAsia="en-US"/>
              </w:rPr>
              <w:t xml:space="preserve"> </w:t>
            </w:r>
            <w:r w:rsidR="00514722" w:rsidRPr="00514722">
              <w:rPr>
                <w:rFonts w:ascii="Times New Roman" w:eastAsia="Calibri" w:hAnsi="Times New Roman"/>
                <w:bCs w:val="0"/>
                <w:noProof/>
                <w:kern w:val="0"/>
                <w:sz w:val="22"/>
                <w:lang w:val="sr-Latn-RS" w:eastAsia="en-US"/>
              </w:rPr>
              <w:t xml:space="preserve"> stav 1 tačka k</w:t>
            </w:r>
            <w:r>
              <w:rPr>
                <w:rFonts w:ascii="Times New Roman" w:eastAsia="Calibri" w:hAnsi="Times New Roman"/>
                <w:bCs w:val="0"/>
                <w:noProof/>
                <w:kern w:val="0"/>
                <w:sz w:val="22"/>
                <w:lang w:val="sr-Latn-RS" w:eastAsia="en-US"/>
              </w:rPr>
              <w:t>,</w:t>
            </w:r>
            <w:r w:rsidR="00514722" w:rsidRPr="00514722">
              <w:rPr>
                <w:rFonts w:ascii="Times New Roman" w:eastAsia="Calibri" w:hAnsi="Times New Roman"/>
                <w:bCs w:val="0"/>
                <w:noProof/>
                <w:kern w:val="0"/>
                <w:sz w:val="22"/>
                <w:lang w:val="sr-Latn-RS" w:eastAsia="en-US"/>
              </w:rPr>
              <w:t xml:space="preserve"> predviđa </w:t>
            </w:r>
            <w:r>
              <w:rPr>
                <w:rFonts w:ascii="Times New Roman" w:eastAsia="Calibri" w:hAnsi="Times New Roman"/>
                <w:bCs w:val="0"/>
                <w:noProof/>
                <w:kern w:val="0"/>
                <w:sz w:val="22"/>
                <w:lang w:val="sr-Latn-RS" w:eastAsia="en-US"/>
              </w:rPr>
              <w:t xml:space="preserve">se </w:t>
            </w:r>
            <w:r w:rsidR="00514722" w:rsidRPr="00514722">
              <w:rPr>
                <w:rFonts w:ascii="Times New Roman" w:eastAsia="Calibri" w:hAnsi="Times New Roman"/>
                <w:bCs w:val="0"/>
                <w:noProof/>
                <w:kern w:val="0"/>
                <w:sz w:val="22"/>
                <w:lang w:val="sr-Latn-RS" w:eastAsia="en-US"/>
              </w:rPr>
              <w:t>izuzeće od PDV-a za isporuku zemljišta koje nije građevinsko.</w:t>
            </w:r>
            <w:r>
              <w:rPr>
                <w:rFonts w:ascii="Times New Roman" w:eastAsia="Calibri" w:hAnsi="Times New Roman"/>
                <w:bCs w:val="0"/>
                <w:noProof/>
                <w:kern w:val="0"/>
                <w:sz w:val="22"/>
                <w:lang w:val="sr-Latn-RS" w:eastAsia="en-US"/>
              </w:rPr>
              <w:t xml:space="preserve"> Takođe, č</w:t>
            </w:r>
            <w:r w:rsidR="00514722" w:rsidRPr="00514722">
              <w:rPr>
                <w:rFonts w:ascii="Times New Roman" w:eastAsia="Calibri" w:hAnsi="Times New Roman"/>
                <w:bCs w:val="0"/>
                <w:noProof/>
                <w:kern w:val="0"/>
                <w:sz w:val="22"/>
                <w:lang w:val="sr-Latn-RS" w:eastAsia="en-US"/>
              </w:rPr>
              <w:t>lan 12 stav 1 i 2: definiše da se isporuka građevinskog zemljišta smatra oporezivom transakcijom ako se radi o zemljištu za koje je izdat izvršni akt koji omogućava gradnju (npr. građevinska dozvola, lokacijska dozvola, rješenje o građenju).</w:t>
            </w:r>
          </w:p>
          <w:p w14:paraId="56A6026F" w14:textId="77777777" w:rsidR="00514722" w:rsidRPr="00514722" w:rsidRDefault="00514722" w:rsidP="00514722">
            <w:pPr>
              <w:suppressAutoHyphens w:val="0"/>
              <w:spacing w:line="276" w:lineRule="auto"/>
              <w:rPr>
                <w:rFonts w:ascii="Times New Roman" w:eastAsia="Calibri" w:hAnsi="Times New Roman"/>
                <w:bCs w:val="0"/>
                <w:noProof/>
                <w:kern w:val="0"/>
                <w:sz w:val="22"/>
                <w:lang w:val="sr-Latn-RS" w:eastAsia="en-US"/>
              </w:rPr>
            </w:pPr>
          </w:p>
          <w:p w14:paraId="73C4C765" w14:textId="1F9D3ACC" w:rsidR="004F05AA" w:rsidRPr="009F5886" w:rsidRDefault="00514722" w:rsidP="00514722">
            <w:pPr>
              <w:suppressAutoHyphens w:val="0"/>
              <w:spacing w:line="276" w:lineRule="auto"/>
              <w:rPr>
                <w:rFonts w:ascii="Times New Roman" w:eastAsia="Calibri" w:hAnsi="Times New Roman"/>
                <w:bCs w:val="0"/>
                <w:noProof/>
                <w:kern w:val="0"/>
                <w:sz w:val="22"/>
                <w:lang w:val="sr-Latn-RS" w:eastAsia="en-US"/>
              </w:rPr>
            </w:pPr>
            <w:r w:rsidRPr="00514722">
              <w:rPr>
                <w:rFonts w:ascii="Times New Roman" w:eastAsia="Calibri" w:hAnsi="Times New Roman"/>
                <w:bCs w:val="0"/>
                <w:noProof/>
                <w:kern w:val="0"/>
                <w:sz w:val="22"/>
                <w:lang w:val="sr-Latn-RS" w:eastAsia="en-US"/>
              </w:rPr>
              <w:t>Građevinsko zemljište se oporezuje PDV-om jer se smatra da ima komercijalnu vrijednost i koristi se za obavljanje ekonomske djelatnosti.</w:t>
            </w:r>
            <w:r w:rsidR="000D1ED1">
              <w:t xml:space="preserve"> D</w:t>
            </w:r>
            <w:r w:rsidR="000D1ED1" w:rsidRPr="000D1ED1">
              <w:rPr>
                <w:rFonts w:ascii="Times New Roman" w:eastAsia="Calibri" w:hAnsi="Times New Roman"/>
                <w:bCs w:val="0"/>
                <w:noProof/>
                <w:kern w:val="0"/>
                <w:sz w:val="22"/>
                <w:lang w:val="sr-Latn-RS" w:eastAsia="en-US"/>
              </w:rPr>
              <w:t>opunjena je</w:t>
            </w:r>
            <w:r w:rsidR="000D1ED1">
              <w:rPr>
                <w:rFonts w:ascii="Times New Roman" w:eastAsia="Calibri" w:hAnsi="Times New Roman"/>
                <w:bCs w:val="0"/>
                <w:noProof/>
                <w:kern w:val="0"/>
                <w:sz w:val="22"/>
                <w:lang w:val="sr-Latn-RS" w:eastAsia="en-US"/>
              </w:rPr>
              <w:t xml:space="preserve"> i</w:t>
            </w:r>
            <w:r w:rsidR="000D1ED1" w:rsidRPr="000D1ED1">
              <w:rPr>
                <w:rFonts w:ascii="Times New Roman" w:eastAsia="Calibri" w:hAnsi="Times New Roman"/>
                <w:bCs w:val="0"/>
                <w:noProof/>
                <w:kern w:val="0"/>
                <w:sz w:val="22"/>
                <w:lang w:val="sr-Latn-RS" w:eastAsia="en-US"/>
              </w:rPr>
              <w:t xml:space="preserve"> definicija poreskog obveznika koji povremeno obavlja djelatnost u dijelu isporuke novoizgrađenih građevinskih objekata i građevinskog zemljišta koji su predmet prometa.</w:t>
            </w:r>
            <w:r w:rsidR="00D26165">
              <w:t xml:space="preserve"> </w:t>
            </w:r>
            <w:r w:rsidR="00D26165">
              <w:rPr>
                <w:rFonts w:ascii="Times New Roman" w:eastAsia="Calibri" w:hAnsi="Times New Roman"/>
                <w:bCs w:val="0"/>
                <w:noProof/>
                <w:kern w:val="0"/>
                <w:sz w:val="22"/>
                <w:lang w:val="sr-Latn-RS" w:eastAsia="en-US"/>
              </w:rPr>
              <w:t>Takođe se</w:t>
            </w:r>
            <w:r w:rsidR="00D26165" w:rsidRPr="00D26165">
              <w:rPr>
                <w:rFonts w:ascii="Times New Roman" w:eastAsia="Calibri" w:hAnsi="Times New Roman"/>
                <w:bCs w:val="0"/>
                <w:noProof/>
                <w:kern w:val="0"/>
                <w:sz w:val="22"/>
                <w:lang w:val="sr-Latn-RS" w:eastAsia="en-US"/>
              </w:rPr>
              <w:t xml:space="preserve"> uvodi prelazna odredba za promet građevinskog zemljiešta u sklopu novoizgrađenih objekata ili njihovih djelova za koje će važiti Zakon o porezu na dodatu vrijednost ("Službeni list RCG", br. 65/01, 38/02, 72/02, 21/03 i 76/05 i "Službeni list CG", br. 16/07, 29/13, 9/15, 53/16, 1/17, 50/17, 80/20, 59/21, 146/21, 49/22, 65/22, 140/22, 3/23 i 94/24), i koji uslovi trebaju biti zadovoljeni u tom slučaju</w:t>
            </w:r>
            <w:r w:rsidR="00D26165">
              <w:rPr>
                <w:rFonts w:ascii="Times New Roman" w:eastAsia="Calibri" w:hAnsi="Times New Roman"/>
                <w:bCs w:val="0"/>
                <w:noProof/>
                <w:kern w:val="0"/>
                <w:sz w:val="22"/>
                <w:lang w:val="sr-Latn-RS" w:eastAsia="en-US"/>
              </w:rPr>
              <w:t>.</w:t>
            </w:r>
          </w:p>
          <w:p w14:paraId="459687E3" w14:textId="00285B57" w:rsidR="000D1ED1" w:rsidRDefault="00D4446B" w:rsidP="000D1ED1">
            <w:pPr>
              <w:numPr>
                <w:ilvl w:val="0"/>
                <w:numId w:val="19"/>
              </w:numPr>
              <w:suppressAutoHyphens w:val="0"/>
              <w:spacing w:after="160" w:line="276" w:lineRule="auto"/>
              <w:contextualSpacing/>
              <w:rPr>
                <w:rFonts w:ascii="Times New Roman" w:eastAsia="Calibri" w:hAnsi="Times New Roman"/>
                <w:bCs w:val="0"/>
                <w:noProof/>
                <w:kern w:val="0"/>
                <w:sz w:val="22"/>
                <w:lang w:val="sr-Latn-RS" w:eastAsia="en-US"/>
              </w:rPr>
            </w:pPr>
            <w:r>
              <w:rPr>
                <w:rFonts w:ascii="Times New Roman" w:eastAsia="Calibri" w:hAnsi="Times New Roman"/>
                <w:bCs w:val="0"/>
                <w:noProof/>
                <w:kern w:val="0"/>
                <w:sz w:val="22"/>
                <w:lang w:val="sr-Latn-RS" w:eastAsia="en-US"/>
              </w:rPr>
              <w:t>R</w:t>
            </w:r>
            <w:r w:rsidR="000D1ED1">
              <w:rPr>
                <w:rFonts w:ascii="Times New Roman" w:eastAsia="Calibri" w:hAnsi="Times New Roman"/>
                <w:bCs w:val="0"/>
                <w:noProof/>
                <w:kern w:val="0"/>
                <w:sz w:val="22"/>
                <w:lang w:val="sr-Latn-RS" w:eastAsia="en-US"/>
              </w:rPr>
              <w:t>eformom</w:t>
            </w:r>
            <w:r w:rsidR="000D1ED1" w:rsidRPr="000D1ED1">
              <w:rPr>
                <w:rFonts w:ascii="Times New Roman" w:eastAsia="Calibri" w:hAnsi="Times New Roman"/>
                <w:bCs w:val="0"/>
                <w:noProof/>
                <w:kern w:val="0"/>
                <w:sz w:val="22"/>
                <w:lang w:val="sr-Latn-RS" w:eastAsia="en-US"/>
              </w:rPr>
              <w:t xml:space="preserve"> </w:t>
            </w:r>
            <w:r w:rsidR="000D1ED1">
              <w:rPr>
                <w:rFonts w:ascii="Times New Roman" w:eastAsia="Calibri" w:hAnsi="Times New Roman"/>
                <w:bCs w:val="0"/>
                <w:noProof/>
                <w:kern w:val="0"/>
                <w:sz w:val="22"/>
                <w:lang w:val="sr-Latn-RS" w:eastAsia="en-US"/>
              </w:rPr>
              <w:t>je definisano što se</w:t>
            </w:r>
            <w:r w:rsidR="000D1ED1" w:rsidRPr="000D1ED1">
              <w:rPr>
                <w:rFonts w:ascii="Times New Roman" w:eastAsia="Calibri" w:hAnsi="Times New Roman"/>
                <w:bCs w:val="0"/>
                <w:noProof/>
                <w:kern w:val="0"/>
                <w:sz w:val="22"/>
                <w:lang w:val="sr-Latn-RS" w:eastAsia="en-US"/>
              </w:rPr>
              <w:t xml:space="preserve"> ne smatra prometom proizvoda, što je usklađeno sa dobrom poreskom praksom a čime je isključena mogućnost nerazumijevanja zakona ili dvosmislenog tumačenja zakonskih normi.  </w:t>
            </w:r>
          </w:p>
          <w:p w14:paraId="65AAC4B2" w14:textId="4DB39006" w:rsidR="00D26165" w:rsidRDefault="00D4446B" w:rsidP="004C6D96">
            <w:pPr>
              <w:numPr>
                <w:ilvl w:val="0"/>
                <w:numId w:val="19"/>
              </w:numPr>
              <w:suppressAutoHyphens w:val="0"/>
              <w:spacing w:after="160" w:line="276" w:lineRule="auto"/>
              <w:contextualSpacing/>
              <w:rPr>
                <w:rFonts w:ascii="Times New Roman" w:eastAsia="Calibri" w:hAnsi="Times New Roman"/>
                <w:bCs w:val="0"/>
                <w:noProof/>
                <w:kern w:val="0"/>
                <w:sz w:val="22"/>
                <w:lang w:val="sr-Latn-RS" w:eastAsia="en-US"/>
              </w:rPr>
            </w:pPr>
            <w:r>
              <w:rPr>
                <w:rFonts w:ascii="Times New Roman" w:eastAsia="Calibri" w:hAnsi="Times New Roman"/>
                <w:bCs w:val="0"/>
                <w:noProof/>
                <w:kern w:val="0"/>
                <w:sz w:val="22"/>
                <w:lang w:val="sr-Latn-RS" w:eastAsia="en-US"/>
              </w:rPr>
              <w:t>N</w:t>
            </w:r>
            <w:r w:rsidR="000D1ED1" w:rsidRPr="00D26165">
              <w:rPr>
                <w:rFonts w:ascii="Times New Roman" w:eastAsia="Calibri" w:hAnsi="Times New Roman"/>
                <w:bCs w:val="0"/>
                <w:noProof/>
                <w:kern w:val="0"/>
                <w:sz w:val="22"/>
                <w:lang w:val="sr-Latn-RS" w:eastAsia="en-US"/>
              </w:rPr>
              <w:t xml:space="preserve">ovom odredbom propisana je obaveza osnivanja stalne poslovne jedinice odnosno imenovanja poreskog zastupnika u Crnoj Gori od strane pružaoca usluge u slučaju kada se pruža usluga licu koje nije poreski obveznik. </w:t>
            </w:r>
          </w:p>
          <w:p w14:paraId="78BD5A70" w14:textId="604F84E9" w:rsidR="000D1ED1" w:rsidRPr="00D26165" w:rsidRDefault="000D1ED1" w:rsidP="004C6D96">
            <w:pPr>
              <w:numPr>
                <w:ilvl w:val="0"/>
                <w:numId w:val="19"/>
              </w:numPr>
              <w:suppressAutoHyphens w:val="0"/>
              <w:spacing w:after="160" w:line="276" w:lineRule="auto"/>
              <w:contextualSpacing/>
              <w:rPr>
                <w:rFonts w:ascii="Times New Roman" w:eastAsia="Calibri" w:hAnsi="Times New Roman"/>
                <w:bCs w:val="0"/>
                <w:noProof/>
                <w:kern w:val="0"/>
                <w:sz w:val="22"/>
                <w:lang w:val="sr-Latn-RS" w:eastAsia="en-US"/>
              </w:rPr>
            </w:pPr>
            <w:r w:rsidRPr="00D26165">
              <w:rPr>
                <w:rFonts w:ascii="Times New Roman" w:eastAsia="Calibri" w:hAnsi="Times New Roman"/>
                <w:bCs w:val="0"/>
                <w:noProof/>
                <w:kern w:val="0"/>
                <w:sz w:val="22"/>
                <w:lang w:val="sr-Latn-RS" w:eastAsia="en-US"/>
              </w:rPr>
              <w:t>Reformom je razrađen član kojim se definiše mjesto prometa usluga,</w:t>
            </w:r>
            <w:r w:rsidR="009919D9" w:rsidRPr="00D26165">
              <w:rPr>
                <w:rFonts w:ascii="Times New Roman" w:eastAsia="Calibri" w:hAnsi="Times New Roman"/>
                <w:bCs w:val="0"/>
                <w:noProof/>
                <w:kern w:val="0"/>
                <w:sz w:val="22"/>
                <w:lang w:val="sr-Latn-RS" w:eastAsia="en-US"/>
              </w:rPr>
              <w:t xml:space="preserve"> </w:t>
            </w:r>
            <w:r w:rsidRPr="00D26165">
              <w:rPr>
                <w:rFonts w:ascii="Times New Roman" w:eastAsia="Calibri" w:hAnsi="Times New Roman"/>
                <w:bCs w:val="0"/>
                <w:noProof/>
                <w:kern w:val="0"/>
                <w:sz w:val="22"/>
                <w:lang w:val="sr-Latn-RS" w:eastAsia="en-US"/>
              </w:rPr>
              <w:t>a koji je često u praksi bio predmet različitog tumačenja</w:t>
            </w:r>
            <w:r w:rsidR="009919D9">
              <w:t xml:space="preserve">, </w:t>
            </w:r>
            <w:r w:rsidR="002C08BC" w:rsidRPr="00D26165">
              <w:rPr>
                <w:rFonts w:ascii="Times New Roman" w:eastAsia="Calibri" w:hAnsi="Times New Roman"/>
                <w:bCs w:val="0"/>
                <w:noProof/>
                <w:kern w:val="0"/>
                <w:sz w:val="22"/>
                <w:lang w:val="sr-Latn-RS" w:eastAsia="en-US"/>
              </w:rPr>
              <w:t>unaprijeđen</w:t>
            </w:r>
            <w:r w:rsidR="009919D9" w:rsidRPr="00D26165">
              <w:rPr>
                <w:rFonts w:ascii="Times New Roman" w:eastAsia="Calibri" w:hAnsi="Times New Roman"/>
                <w:bCs w:val="0"/>
                <w:noProof/>
                <w:kern w:val="0"/>
                <w:sz w:val="22"/>
                <w:lang w:val="sr-Latn-RS" w:eastAsia="en-US"/>
              </w:rPr>
              <w:t xml:space="preserve"> je</w:t>
            </w:r>
            <w:r w:rsidR="002C08BC" w:rsidRPr="00D26165">
              <w:rPr>
                <w:rFonts w:ascii="Times New Roman" w:eastAsia="Calibri" w:hAnsi="Times New Roman"/>
                <w:bCs w:val="0"/>
                <w:noProof/>
                <w:kern w:val="0"/>
                <w:sz w:val="22"/>
                <w:lang w:val="sr-Latn-RS" w:eastAsia="en-US"/>
              </w:rPr>
              <w:t xml:space="preserve"> i poreskim obveznicima </w:t>
            </w:r>
            <w:r w:rsidR="009919D9" w:rsidRPr="00D26165">
              <w:rPr>
                <w:rFonts w:ascii="Times New Roman" w:eastAsia="Calibri" w:hAnsi="Times New Roman"/>
                <w:bCs w:val="0"/>
                <w:noProof/>
                <w:kern w:val="0"/>
                <w:sz w:val="22"/>
                <w:lang w:val="sr-Latn-RS" w:eastAsia="en-US"/>
              </w:rPr>
              <w:t>će biti</w:t>
            </w:r>
            <w:r w:rsidR="002C08BC" w:rsidRPr="00D26165">
              <w:rPr>
                <w:rFonts w:ascii="Times New Roman" w:eastAsia="Calibri" w:hAnsi="Times New Roman"/>
                <w:bCs w:val="0"/>
                <w:noProof/>
                <w:kern w:val="0"/>
                <w:sz w:val="22"/>
                <w:lang w:val="sr-Latn-RS" w:eastAsia="en-US"/>
              </w:rPr>
              <w:t xml:space="preserve"> pružena jasnija definicija osnovnog principa određivanja mjesta prometa kao i izuzeci koji su razrađeni kroz dodate članove zakona.</w:t>
            </w:r>
          </w:p>
          <w:p w14:paraId="49158DFA" w14:textId="103ADB9E" w:rsidR="000D1ED1" w:rsidRPr="000D1ED1" w:rsidRDefault="00046957" w:rsidP="000D1ED1">
            <w:pPr>
              <w:numPr>
                <w:ilvl w:val="0"/>
                <w:numId w:val="19"/>
              </w:numPr>
              <w:suppressAutoHyphens w:val="0"/>
              <w:spacing w:after="160" w:line="276" w:lineRule="auto"/>
              <w:contextualSpacing/>
              <w:rPr>
                <w:rFonts w:ascii="Times New Roman" w:eastAsia="Calibri" w:hAnsi="Times New Roman"/>
                <w:bCs w:val="0"/>
                <w:noProof/>
                <w:kern w:val="0"/>
                <w:sz w:val="22"/>
                <w:lang w:val="sr-Latn-RS" w:eastAsia="en-US"/>
              </w:rPr>
            </w:pPr>
            <w:r>
              <w:rPr>
                <w:rFonts w:ascii="Times New Roman" w:eastAsia="Calibri" w:hAnsi="Times New Roman"/>
                <w:bCs w:val="0"/>
                <w:noProof/>
                <w:kern w:val="0"/>
                <w:sz w:val="22"/>
                <w:lang w:val="sr-Latn-RS" w:eastAsia="en-US"/>
              </w:rPr>
              <w:lastRenderedPageBreak/>
              <w:t>Reformom se</w:t>
            </w:r>
            <w:r w:rsidR="000D1ED1" w:rsidRPr="000D1ED1">
              <w:rPr>
                <w:rFonts w:ascii="Times New Roman" w:eastAsia="Calibri" w:hAnsi="Times New Roman"/>
                <w:bCs w:val="0"/>
                <w:noProof/>
                <w:kern w:val="0"/>
                <w:sz w:val="22"/>
                <w:lang w:val="sr-Latn-RS" w:eastAsia="en-US"/>
              </w:rPr>
              <w:t xml:space="preserve"> precizira da se nulta stopa PDV primjenjuje na promet proizvoda i usluga namijenjenih za lične potrebe stranog osoblja, diplomatskih i konzularnih predstavništava, uključujući i članove njihovih porodica, isključivo uz uslov uzajamnosti. </w:t>
            </w:r>
          </w:p>
          <w:p w14:paraId="5AF493EC" w14:textId="17E574DA" w:rsidR="000D1ED1" w:rsidRPr="000D1ED1" w:rsidRDefault="00046957" w:rsidP="000D1ED1">
            <w:pPr>
              <w:numPr>
                <w:ilvl w:val="0"/>
                <w:numId w:val="19"/>
              </w:numPr>
              <w:suppressAutoHyphens w:val="0"/>
              <w:spacing w:after="160" w:line="276" w:lineRule="auto"/>
              <w:contextualSpacing/>
              <w:rPr>
                <w:rFonts w:ascii="Times New Roman" w:eastAsia="Calibri" w:hAnsi="Times New Roman"/>
                <w:bCs w:val="0"/>
                <w:noProof/>
                <w:kern w:val="0"/>
                <w:sz w:val="22"/>
                <w:lang w:val="sr-Latn-RS" w:eastAsia="en-US"/>
              </w:rPr>
            </w:pPr>
            <w:r>
              <w:rPr>
                <w:rFonts w:ascii="Times New Roman" w:eastAsia="Calibri" w:hAnsi="Times New Roman"/>
                <w:bCs w:val="0"/>
                <w:noProof/>
                <w:kern w:val="0"/>
                <w:sz w:val="22"/>
                <w:lang w:val="sr-Latn-RS" w:eastAsia="en-US"/>
              </w:rPr>
              <w:t>Reformom se</w:t>
            </w:r>
            <w:r w:rsidR="000D1ED1" w:rsidRPr="000D1ED1">
              <w:rPr>
                <w:rFonts w:ascii="Times New Roman" w:eastAsia="Calibri" w:hAnsi="Times New Roman"/>
                <w:bCs w:val="0"/>
                <w:noProof/>
                <w:kern w:val="0"/>
                <w:sz w:val="22"/>
                <w:lang w:val="sr-Latn-RS" w:eastAsia="en-US"/>
              </w:rPr>
              <w:t xml:space="preserve"> definiše da je uvoz putničkih vozila od strane lica sa invaliditetom a koja su oslobođena od plaćanja carine, uz uslove propisane carinskim propisima, oslobođen plaćanja PDV pri uvozu, bez dodatnog uslova „posebnog podešavanja“.</w:t>
            </w:r>
          </w:p>
          <w:p w14:paraId="73DBB859" w14:textId="244ED3DB" w:rsidR="000D1ED1" w:rsidRPr="000D1ED1" w:rsidRDefault="00046957" w:rsidP="000D1ED1">
            <w:pPr>
              <w:numPr>
                <w:ilvl w:val="0"/>
                <w:numId w:val="19"/>
              </w:numPr>
              <w:suppressAutoHyphens w:val="0"/>
              <w:spacing w:after="160" w:line="276" w:lineRule="auto"/>
              <w:contextualSpacing/>
              <w:rPr>
                <w:rFonts w:ascii="Times New Roman" w:eastAsia="Calibri" w:hAnsi="Times New Roman"/>
                <w:bCs w:val="0"/>
                <w:noProof/>
                <w:kern w:val="0"/>
                <w:sz w:val="22"/>
                <w:lang w:val="sr-Latn-RS" w:eastAsia="en-US"/>
              </w:rPr>
            </w:pPr>
            <w:r>
              <w:rPr>
                <w:rFonts w:ascii="Times New Roman" w:eastAsia="Calibri" w:hAnsi="Times New Roman"/>
                <w:bCs w:val="0"/>
                <w:noProof/>
                <w:kern w:val="0"/>
                <w:sz w:val="22"/>
                <w:lang w:val="sr-Latn-RS" w:eastAsia="en-US"/>
              </w:rPr>
              <w:t>Re</w:t>
            </w:r>
            <w:r w:rsidR="006A7AA7">
              <w:rPr>
                <w:rFonts w:ascii="Times New Roman" w:eastAsia="Calibri" w:hAnsi="Times New Roman"/>
                <w:bCs w:val="0"/>
                <w:noProof/>
                <w:kern w:val="0"/>
                <w:sz w:val="22"/>
                <w:lang w:val="sr-Latn-RS" w:eastAsia="en-US"/>
              </w:rPr>
              <w:t>f</w:t>
            </w:r>
            <w:r>
              <w:rPr>
                <w:rFonts w:ascii="Times New Roman" w:eastAsia="Calibri" w:hAnsi="Times New Roman"/>
                <w:bCs w:val="0"/>
                <w:noProof/>
                <w:kern w:val="0"/>
                <w:sz w:val="22"/>
                <w:lang w:val="sr-Latn-RS" w:eastAsia="en-US"/>
              </w:rPr>
              <w:t>ormom se</w:t>
            </w:r>
            <w:r w:rsidR="000D1ED1" w:rsidRPr="000D1ED1">
              <w:rPr>
                <w:rFonts w:ascii="Times New Roman" w:eastAsia="Calibri" w:hAnsi="Times New Roman"/>
                <w:bCs w:val="0"/>
                <w:noProof/>
                <w:kern w:val="0"/>
                <w:sz w:val="22"/>
                <w:lang w:val="sr-Latn-RS" w:eastAsia="en-US"/>
              </w:rPr>
              <w:t xml:space="preserve"> definiše obaveza navođenja podatka „prenos poreske obaveze“ u okviru računa kada kao mjesto prometa usluga nije određena Crna Gora. Takođe, ovom odredbom uvodi se i obaveza navođenja podatka „prenos poreske obaveze“ u okviru računa za poreskog obveznia koji vrši promet prirodnog gasa, električne energije i energije za grijanje ili hlađenje poreskom obvezniku koji nije krajnji potrošač. </w:t>
            </w:r>
          </w:p>
          <w:p w14:paraId="4EA1DFD4" w14:textId="79039DAB" w:rsidR="000D1ED1" w:rsidRPr="000D1ED1" w:rsidRDefault="00046957" w:rsidP="000D1ED1">
            <w:pPr>
              <w:numPr>
                <w:ilvl w:val="0"/>
                <w:numId w:val="19"/>
              </w:numPr>
              <w:suppressAutoHyphens w:val="0"/>
              <w:spacing w:after="160" w:line="276" w:lineRule="auto"/>
              <w:contextualSpacing/>
              <w:rPr>
                <w:rFonts w:ascii="Times New Roman" w:eastAsia="Calibri" w:hAnsi="Times New Roman"/>
                <w:bCs w:val="0"/>
                <w:noProof/>
                <w:kern w:val="0"/>
                <w:sz w:val="22"/>
                <w:lang w:val="sr-Latn-RS" w:eastAsia="en-US"/>
              </w:rPr>
            </w:pPr>
            <w:r>
              <w:rPr>
                <w:rFonts w:ascii="Times New Roman" w:eastAsia="Calibri" w:hAnsi="Times New Roman"/>
                <w:bCs w:val="0"/>
                <w:noProof/>
                <w:kern w:val="0"/>
                <w:sz w:val="22"/>
                <w:lang w:val="sr-Latn-RS" w:eastAsia="en-US"/>
              </w:rPr>
              <w:t>Reformom se detaljno razrađuju</w:t>
            </w:r>
            <w:r w:rsidR="000D1ED1" w:rsidRPr="000D1ED1">
              <w:rPr>
                <w:rFonts w:ascii="Times New Roman" w:eastAsia="Calibri" w:hAnsi="Times New Roman"/>
                <w:bCs w:val="0"/>
                <w:noProof/>
                <w:kern w:val="0"/>
                <w:sz w:val="22"/>
                <w:lang w:val="sr-Latn-RS" w:eastAsia="en-US"/>
              </w:rPr>
              <w:t xml:space="preserve"> uslov</w:t>
            </w:r>
            <w:r>
              <w:rPr>
                <w:rFonts w:ascii="Times New Roman" w:eastAsia="Calibri" w:hAnsi="Times New Roman"/>
                <w:bCs w:val="0"/>
                <w:noProof/>
                <w:kern w:val="0"/>
                <w:sz w:val="22"/>
                <w:lang w:val="sr-Latn-RS" w:eastAsia="en-US"/>
              </w:rPr>
              <w:t>i</w:t>
            </w:r>
            <w:r w:rsidR="000D1ED1" w:rsidRPr="000D1ED1">
              <w:rPr>
                <w:rFonts w:ascii="Times New Roman" w:eastAsia="Calibri" w:hAnsi="Times New Roman"/>
                <w:bCs w:val="0"/>
                <w:noProof/>
                <w:kern w:val="0"/>
                <w:sz w:val="22"/>
                <w:lang w:val="sr-Latn-RS" w:eastAsia="en-US"/>
              </w:rPr>
              <w:t xml:space="preserve"> mjerodavnih za oporezivanje</w:t>
            </w:r>
            <w:r>
              <w:rPr>
                <w:rFonts w:ascii="Times New Roman" w:eastAsia="Calibri" w:hAnsi="Times New Roman"/>
                <w:bCs w:val="0"/>
                <w:noProof/>
                <w:kern w:val="0"/>
                <w:sz w:val="22"/>
                <w:lang w:val="sr-Latn-RS" w:eastAsia="en-US"/>
              </w:rPr>
              <w:t xml:space="preserve"> u slučajevima kada se koriguje PDV za korišćenje opreme i nepokretnosti</w:t>
            </w:r>
            <w:r w:rsidR="000D1ED1" w:rsidRPr="000D1ED1">
              <w:rPr>
                <w:rFonts w:ascii="Times New Roman" w:eastAsia="Calibri" w:hAnsi="Times New Roman"/>
                <w:bCs w:val="0"/>
                <w:noProof/>
                <w:kern w:val="0"/>
                <w:sz w:val="22"/>
                <w:lang w:val="sr-Latn-RS" w:eastAsia="en-US"/>
              </w:rPr>
              <w:t>.</w:t>
            </w:r>
            <w:r>
              <w:rPr>
                <w:rFonts w:ascii="Times New Roman" w:eastAsia="Calibri" w:hAnsi="Times New Roman"/>
                <w:bCs w:val="0"/>
                <w:noProof/>
                <w:kern w:val="0"/>
                <w:sz w:val="22"/>
                <w:lang w:val="sr-Latn-RS" w:eastAsia="en-US"/>
              </w:rPr>
              <w:t xml:space="preserve"> Jasnim definisanjem uslova unaprijeđena je pravna norma i otklonjena nesigurnost od strane poreskih obveznika.</w:t>
            </w:r>
          </w:p>
          <w:p w14:paraId="530E3F51" w14:textId="54516995" w:rsidR="000D1ED1" w:rsidRPr="000D1ED1" w:rsidRDefault="00D26165" w:rsidP="000D1ED1">
            <w:pPr>
              <w:numPr>
                <w:ilvl w:val="0"/>
                <w:numId w:val="19"/>
              </w:numPr>
              <w:suppressAutoHyphens w:val="0"/>
              <w:spacing w:after="160" w:line="276" w:lineRule="auto"/>
              <w:contextualSpacing/>
              <w:rPr>
                <w:rFonts w:ascii="Times New Roman" w:eastAsia="Calibri" w:hAnsi="Times New Roman"/>
                <w:bCs w:val="0"/>
                <w:noProof/>
                <w:kern w:val="0"/>
                <w:sz w:val="22"/>
                <w:lang w:val="sr-Latn-RS" w:eastAsia="en-US"/>
              </w:rPr>
            </w:pPr>
            <w:r>
              <w:rPr>
                <w:rFonts w:ascii="Times New Roman" w:eastAsia="Calibri" w:hAnsi="Times New Roman"/>
                <w:bCs w:val="0"/>
                <w:noProof/>
                <w:kern w:val="0"/>
                <w:sz w:val="22"/>
                <w:lang w:val="sr-Latn-RS" w:eastAsia="en-US"/>
              </w:rPr>
              <w:t>U</w:t>
            </w:r>
            <w:r w:rsidR="000D1ED1" w:rsidRPr="000D1ED1">
              <w:rPr>
                <w:rFonts w:ascii="Times New Roman" w:eastAsia="Calibri" w:hAnsi="Times New Roman"/>
                <w:bCs w:val="0"/>
                <w:noProof/>
                <w:kern w:val="0"/>
                <w:sz w:val="22"/>
                <w:lang w:val="sr-Latn-RS" w:eastAsia="en-US"/>
              </w:rPr>
              <w:t>vodi se prelazna odredba za uvođenje PDV registracionog broja sa predznakom „ME“  od 1.1.2026.godine.</w:t>
            </w:r>
          </w:p>
          <w:p w14:paraId="2C8443F1" w14:textId="77777777" w:rsidR="009F5886" w:rsidRPr="009F5886" w:rsidRDefault="009F5886" w:rsidP="009F5886">
            <w:pPr>
              <w:suppressAutoHyphens w:val="0"/>
              <w:spacing w:after="160" w:line="276" w:lineRule="auto"/>
              <w:contextualSpacing/>
              <w:rPr>
                <w:rFonts w:ascii="Times New Roman" w:eastAsia="Calibri" w:hAnsi="Times New Roman"/>
                <w:bCs w:val="0"/>
                <w:noProof/>
                <w:kern w:val="0"/>
                <w:sz w:val="22"/>
                <w:lang w:val="sr-Latn-RS" w:eastAsia="en-US"/>
              </w:rPr>
            </w:pPr>
          </w:p>
          <w:p w14:paraId="3AFB1009" w14:textId="77777777" w:rsidR="00D26165" w:rsidRPr="00D26165" w:rsidRDefault="00D26165" w:rsidP="00D26165">
            <w:pPr>
              <w:suppressAutoHyphens w:val="0"/>
              <w:spacing w:after="160" w:line="276" w:lineRule="auto"/>
              <w:contextualSpacing/>
              <w:rPr>
                <w:rFonts w:ascii="Times New Roman" w:eastAsia="Calibri" w:hAnsi="Times New Roman"/>
                <w:bCs w:val="0"/>
                <w:noProof/>
                <w:kern w:val="0"/>
                <w:sz w:val="22"/>
                <w:lang w:val="sr-Latn-RS" w:eastAsia="en-US"/>
              </w:rPr>
            </w:pPr>
            <w:r w:rsidRPr="00D26165">
              <w:rPr>
                <w:rFonts w:ascii="Times New Roman" w:eastAsia="Calibri" w:hAnsi="Times New Roman"/>
                <w:bCs w:val="0"/>
                <w:noProof/>
                <w:kern w:val="0"/>
                <w:sz w:val="22"/>
                <w:lang w:val="sr-Latn-RS" w:eastAsia="en-US"/>
              </w:rPr>
              <w:t>Crna Gora je jasno definisala strateški cilj – punopravno članstvo u Evropskoj uniji. U skladu sa Programom pristupanja, predviđeno je transponovanje cjelokupne pravne tekovine EU u nacionalno zakonodavstvo, čime se obezbjeđuje usklađenost domaćih propisa sa evropskim standardima.</w:t>
            </w:r>
          </w:p>
          <w:p w14:paraId="4CA2FD90" w14:textId="77777777" w:rsidR="00D26165" w:rsidRPr="00D26165" w:rsidRDefault="00D26165" w:rsidP="00D26165">
            <w:pPr>
              <w:suppressAutoHyphens w:val="0"/>
              <w:spacing w:after="160" w:line="276" w:lineRule="auto"/>
              <w:contextualSpacing/>
              <w:rPr>
                <w:rFonts w:ascii="Times New Roman" w:eastAsia="Calibri" w:hAnsi="Times New Roman"/>
                <w:bCs w:val="0"/>
                <w:noProof/>
                <w:kern w:val="0"/>
                <w:sz w:val="22"/>
                <w:lang w:val="sr-Latn-RS" w:eastAsia="en-US"/>
              </w:rPr>
            </w:pPr>
          </w:p>
          <w:p w14:paraId="23E6646A" w14:textId="77777777" w:rsidR="00D26165" w:rsidRPr="00D26165" w:rsidRDefault="00D26165" w:rsidP="00D26165">
            <w:pPr>
              <w:suppressAutoHyphens w:val="0"/>
              <w:spacing w:after="160" w:line="276" w:lineRule="auto"/>
              <w:contextualSpacing/>
              <w:rPr>
                <w:rFonts w:ascii="Times New Roman" w:eastAsia="Calibri" w:hAnsi="Times New Roman"/>
                <w:bCs w:val="0"/>
                <w:noProof/>
                <w:kern w:val="0"/>
                <w:sz w:val="22"/>
                <w:lang w:val="sr-Latn-RS" w:eastAsia="en-US"/>
              </w:rPr>
            </w:pPr>
            <w:r w:rsidRPr="00D26165">
              <w:rPr>
                <w:rFonts w:ascii="Times New Roman" w:eastAsia="Calibri" w:hAnsi="Times New Roman"/>
                <w:bCs w:val="0"/>
                <w:noProof/>
                <w:kern w:val="0"/>
                <w:sz w:val="22"/>
                <w:lang w:val="sr-Latn-RS" w:eastAsia="en-US"/>
              </w:rPr>
              <w:t>U cilju efikasne implementacije i izbjegavanja naglih promjena u pravnom ambijentu, pristupili smo postepenom uvođenju pojedinih normi. Ovakav pristup omogućava pravovremenu pripremu javnosti i privrednih subjekata na nove regulatorne zahtjeve, uz očuvanje pravne sigurnosti.</w:t>
            </w:r>
          </w:p>
          <w:p w14:paraId="58A70DF3" w14:textId="77777777" w:rsidR="00D26165" w:rsidRPr="00D26165" w:rsidRDefault="00D26165" w:rsidP="00D26165">
            <w:pPr>
              <w:suppressAutoHyphens w:val="0"/>
              <w:spacing w:after="160" w:line="276" w:lineRule="auto"/>
              <w:contextualSpacing/>
              <w:rPr>
                <w:rFonts w:ascii="Times New Roman" w:eastAsia="Calibri" w:hAnsi="Times New Roman"/>
                <w:bCs w:val="0"/>
                <w:noProof/>
                <w:kern w:val="0"/>
                <w:sz w:val="22"/>
                <w:lang w:val="sr-Latn-RS" w:eastAsia="en-US"/>
              </w:rPr>
            </w:pPr>
          </w:p>
          <w:p w14:paraId="1BCEFC25" w14:textId="469ED20A" w:rsidR="00D26165" w:rsidRPr="00D26165" w:rsidRDefault="00D26165" w:rsidP="00D26165">
            <w:pPr>
              <w:suppressAutoHyphens w:val="0"/>
              <w:spacing w:after="160" w:line="276" w:lineRule="auto"/>
              <w:contextualSpacing/>
              <w:rPr>
                <w:rFonts w:ascii="Times New Roman" w:eastAsia="Calibri" w:hAnsi="Times New Roman"/>
                <w:bCs w:val="0"/>
                <w:noProof/>
                <w:kern w:val="0"/>
                <w:sz w:val="22"/>
                <w:lang w:val="sr-Latn-RS" w:eastAsia="en-US"/>
              </w:rPr>
            </w:pPr>
            <w:r w:rsidRPr="00D26165">
              <w:rPr>
                <w:rFonts w:ascii="Times New Roman" w:eastAsia="Calibri" w:hAnsi="Times New Roman"/>
                <w:bCs w:val="0"/>
                <w:noProof/>
                <w:kern w:val="0"/>
                <w:sz w:val="22"/>
                <w:lang w:val="sr-Latn-RS" w:eastAsia="en-US"/>
              </w:rPr>
              <w:t>Posebna pažnja posvećena je projektima čija je realizacija već započeta, kako bi se izbjegli negativni efekti retroaktivne primjene propisa. U tom kontekstu, za određene kategorije poreskih obveznika zadržane su važeće zakonske odredbe, uz dodatno propisane uslove</w:t>
            </w:r>
            <w:r w:rsidR="00D4446B">
              <w:rPr>
                <w:rFonts w:ascii="Times New Roman" w:eastAsia="Calibri" w:hAnsi="Times New Roman"/>
                <w:bCs w:val="0"/>
                <w:noProof/>
                <w:kern w:val="0"/>
                <w:sz w:val="22"/>
                <w:lang w:val="sr-Latn-RS" w:eastAsia="en-US"/>
              </w:rPr>
              <w:t xml:space="preserve"> kroz prelazne odredbe, </w:t>
            </w:r>
            <w:r w:rsidRPr="00D26165">
              <w:rPr>
                <w:rFonts w:ascii="Times New Roman" w:eastAsia="Calibri" w:hAnsi="Times New Roman"/>
                <w:bCs w:val="0"/>
                <w:noProof/>
                <w:kern w:val="0"/>
                <w:sz w:val="22"/>
                <w:lang w:val="sr-Latn-RS" w:eastAsia="en-US"/>
              </w:rPr>
              <w:t xml:space="preserve"> koji obezbjeđuju usklađenost sa novim zakonodavnim okvirom.</w:t>
            </w:r>
          </w:p>
          <w:p w14:paraId="6EABDB40" w14:textId="77777777" w:rsidR="00D26165" w:rsidRPr="00D26165" w:rsidRDefault="00D26165" w:rsidP="00D26165">
            <w:pPr>
              <w:suppressAutoHyphens w:val="0"/>
              <w:spacing w:after="160" w:line="276" w:lineRule="auto"/>
              <w:contextualSpacing/>
              <w:rPr>
                <w:rFonts w:ascii="Times New Roman" w:eastAsia="Calibri" w:hAnsi="Times New Roman"/>
                <w:bCs w:val="0"/>
                <w:noProof/>
                <w:kern w:val="0"/>
                <w:sz w:val="22"/>
                <w:lang w:val="sr-Latn-RS" w:eastAsia="en-US"/>
              </w:rPr>
            </w:pPr>
          </w:p>
          <w:p w14:paraId="05C07919" w14:textId="52070ED9" w:rsidR="00D26165" w:rsidRPr="009F5886" w:rsidRDefault="00D26165" w:rsidP="00D26165">
            <w:pPr>
              <w:suppressAutoHyphens w:val="0"/>
              <w:spacing w:after="160" w:line="276" w:lineRule="auto"/>
              <w:contextualSpacing/>
              <w:rPr>
                <w:rFonts w:ascii="Times New Roman" w:eastAsia="Calibri" w:hAnsi="Times New Roman"/>
                <w:bCs w:val="0"/>
                <w:noProof/>
                <w:kern w:val="0"/>
                <w:sz w:val="22"/>
                <w:lang w:val="sr-Latn-RS" w:eastAsia="en-US"/>
              </w:rPr>
            </w:pPr>
            <w:r w:rsidRPr="00D26165">
              <w:rPr>
                <w:rFonts w:ascii="Times New Roman" w:eastAsia="Calibri" w:hAnsi="Times New Roman"/>
                <w:bCs w:val="0"/>
                <w:noProof/>
                <w:kern w:val="0"/>
                <w:sz w:val="22"/>
                <w:lang w:val="sr-Latn-RS" w:eastAsia="en-US"/>
              </w:rPr>
              <w:t>Ovakav model tranzicije predstavlja balans između obaveza koje proizilaze iz procesa evropskih integracija i potreba domaće privrede, uz očuvanje kontinuiteta i pravne stabilnosti.</w:t>
            </w:r>
          </w:p>
        </w:tc>
      </w:tr>
      <w:tr w:rsidR="00DA785B" w:rsidRPr="009F5886" w14:paraId="0A7102B9" w14:textId="77777777" w:rsidTr="00F57DEB">
        <w:tc>
          <w:tcPr>
            <w:tcW w:w="10250" w:type="dxa"/>
            <w:gridSpan w:val="2"/>
            <w:tcBorders>
              <w:top w:val="single" w:sz="8" w:space="0" w:color="C0C0C0"/>
              <w:left w:val="single" w:sz="8" w:space="0" w:color="C0C0C0"/>
              <w:bottom w:val="single" w:sz="8" w:space="0" w:color="C0C0C0"/>
              <w:right w:val="single" w:sz="8" w:space="0" w:color="C0C0C0"/>
            </w:tcBorders>
            <w:shd w:val="clear" w:color="auto" w:fill="D2EAF1"/>
          </w:tcPr>
          <w:p w14:paraId="47C6103D" w14:textId="77777777" w:rsidR="00DA785B" w:rsidRPr="009F5886" w:rsidRDefault="00DA785B" w:rsidP="009F5886">
            <w:pPr>
              <w:spacing w:line="276" w:lineRule="auto"/>
              <w:rPr>
                <w:rFonts w:ascii="Times New Roman" w:hAnsi="Times New Roman"/>
                <w:b/>
                <w:color w:val="365F91"/>
                <w:sz w:val="22"/>
              </w:rPr>
            </w:pPr>
            <w:r w:rsidRPr="009F5886">
              <w:rPr>
                <w:rFonts w:ascii="Times New Roman" w:hAnsi="Times New Roman"/>
                <w:b/>
                <w:color w:val="365F91"/>
                <w:sz w:val="22"/>
              </w:rPr>
              <w:lastRenderedPageBreak/>
              <w:t>3</w:t>
            </w:r>
            <w:r w:rsidR="00864B6A" w:rsidRPr="009F5886">
              <w:rPr>
                <w:rFonts w:ascii="Times New Roman" w:hAnsi="Times New Roman"/>
                <w:b/>
                <w:color w:val="365F91"/>
                <w:sz w:val="22"/>
              </w:rPr>
              <w:t>.</w:t>
            </w:r>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Opcije</w:t>
            </w:r>
            <w:proofErr w:type="spellEnd"/>
          </w:p>
          <w:p w14:paraId="1469D0D9" w14:textId="77777777" w:rsidR="00DA785B" w:rsidRPr="009F5886" w:rsidRDefault="00DA785B" w:rsidP="009F5886">
            <w:pPr>
              <w:pStyle w:val="ListParagraph"/>
              <w:numPr>
                <w:ilvl w:val="0"/>
                <w:numId w:val="5"/>
              </w:numPr>
              <w:spacing w:line="276" w:lineRule="auto"/>
              <w:rPr>
                <w:rFonts w:ascii="Times New Roman" w:hAnsi="Times New Roman"/>
                <w:b/>
                <w:color w:val="365F91"/>
                <w:sz w:val="22"/>
                <w:lang w:val="pl-PL"/>
              </w:rPr>
            </w:pPr>
            <w:r w:rsidRPr="009F5886">
              <w:rPr>
                <w:rFonts w:ascii="Times New Roman" w:hAnsi="Times New Roman"/>
                <w:b/>
                <w:color w:val="365F91"/>
                <w:sz w:val="22"/>
                <w:lang w:val="pl-PL"/>
              </w:rPr>
              <w:t>Koje su moguće opcije za ispunjavanje ciljeva i rješavanje problema? (uvijek treba razmatrati “status quo” opciju i preporučljivo je uključiti i neregulatornu opciju, osim ako postoji obaveza pravnog djelovanja).</w:t>
            </w:r>
          </w:p>
          <w:p w14:paraId="3A7DE2C2" w14:textId="77777777" w:rsidR="00DA785B" w:rsidRPr="009F5886" w:rsidRDefault="00DA785B" w:rsidP="009F5886">
            <w:pPr>
              <w:pStyle w:val="ListParagraph"/>
              <w:numPr>
                <w:ilvl w:val="0"/>
                <w:numId w:val="5"/>
              </w:numPr>
              <w:spacing w:line="276" w:lineRule="auto"/>
              <w:rPr>
                <w:rFonts w:ascii="Times New Roman" w:hAnsi="Times New Roman"/>
                <w:b/>
                <w:color w:val="365F91"/>
                <w:sz w:val="22"/>
                <w:lang w:val="pl-PL"/>
              </w:rPr>
            </w:pPr>
            <w:r w:rsidRPr="009F5886">
              <w:rPr>
                <w:rFonts w:ascii="Times New Roman" w:hAnsi="Times New Roman"/>
                <w:b/>
                <w:color w:val="365F91"/>
                <w:sz w:val="22"/>
                <w:lang w:val="pl-PL"/>
              </w:rPr>
              <w:t>Obrazložiti preferiranu, tj izabranu opciju.</w:t>
            </w:r>
          </w:p>
        </w:tc>
      </w:tr>
      <w:tr w:rsidR="00DA785B" w:rsidRPr="009F5886" w14:paraId="1F65FF5D" w14:textId="77777777" w:rsidTr="00F57DEB">
        <w:tc>
          <w:tcPr>
            <w:tcW w:w="10250" w:type="dxa"/>
            <w:gridSpan w:val="2"/>
            <w:tcBorders>
              <w:top w:val="single" w:sz="8" w:space="0" w:color="C0C0C0"/>
              <w:left w:val="single" w:sz="8" w:space="0" w:color="C0C0C0"/>
              <w:bottom w:val="single" w:sz="8" w:space="0" w:color="C0C0C0"/>
              <w:right w:val="single" w:sz="8" w:space="0" w:color="C0C0C0"/>
            </w:tcBorders>
            <w:shd w:val="clear" w:color="auto" w:fill="auto"/>
          </w:tcPr>
          <w:p w14:paraId="38B65C7A" w14:textId="4147DF63" w:rsidR="00B13536" w:rsidRPr="009F5886" w:rsidRDefault="00B13536" w:rsidP="009F5886">
            <w:pPr>
              <w:pStyle w:val="ListParagraph"/>
              <w:numPr>
                <w:ilvl w:val="0"/>
                <w:numId w:val="10"/>
              </w:numPr>
              <w:spacing w:before="120" w:line="276" w:lineRule="auto"/>
              <w:rPr>
                <w:rFonts w:ascii="Times New Roman" w:hAnsi="Times New Roman"/>
                <w:color w:val="000000" w:themeColor="text1"/>
                <w:sz w:val="22"/>
              </w:rPr>
            </w:pPr>
            <w:r w:rsidRPr="009F5886">
              <w:rPr>
                <w:rFonts w:ascii="Times New Roman" w:hAnsi="Times New Roman"/>
                <w:color w:val="000000" w:themeColor="text1"/>
                <w:sz w:val="22"/>
              </w:rPr>
              <w:t>Status quo</w:t>
            </w:r>
            <w:r w:rsidR="00E44CAF" w:rsidRPr="009F5886">
              <w:rPr>
                <w:rFonts w:ascii="Times New Roman" w:hAnsi="Times New Roman"/>
                <w:color w:val="000000" w:themeColor="text1"/>
                <w:sz w:val="22"/>
              </w:rPr>
              <w:t>;</w:t>
            </w:r>
          </w:p>
          <w:p w14:paraId="10CB79E0" w14:textId="1687A62B" w:rsidR="00C46661" w:rsidRPr="009F5886" w:rsidRDefault="000E2CDA" w:rsidP="009F5886">
            <w:pPr>
              <w:pStyle w:val="ListParagraph"/>
              <w:numPr>
                <w:ilvl w:val="0"/>
                <w:numId w:val="10"/>
              </w:numPr>
              <w:spacing w:before="120" w:line="276" w:lineRule="auto"/>
              <w:rPr>
                <w:rFonts w:ascii="Times New Roman" w:hAnsi="Times New Roman"/>
                <w:color w:val="000000" w:themeColor="text1"/>
                <w:sz w:val="22"/>
                <w:lang w:val="nb-NO"/>
              </w:rPr>
            </w:pPr>
            <w:r w:rsidRPr="009F5886">
              <w:rPr>
                <w:rFonts w:ascii="Times New Roman" w:hAnsi="Times New Roman"/>
                <w:color w:val="000000" w:themeColor="text1"/>
                <w:sz w:val="22"/>
                <w:lang w:val="nb-NO"/>
              </w:rPr>
              <w:t xml:space="preserve">Izmjena zakona, kako bi se </w:t>
            </w:r>
            <w:r w:rsidR="004B2981">
              <w:rPr>
                <w:rFonts w:ascii="Times New Roman" w:hAnsi="Times New Roman"/>
                <w:color w:val="000000" w:themeColor="text1"/>
                <w:sz w:val="22"/>
                <w:lang w:val="nb-NO"/>
              </w:rPr>
              <w:t>postojeći zakon uskladio sa Direktivom 2006/112/EU u cilju unapređenja normi i stvaranja sigurnijeg poreskog ambijenta</w:t>
            </w:r>
            <w:r w:rsidRPr="009F5886">
              <w:rPr>
                <w:rFonts w:ascii="Times New Roman" w:hAnsi="Times New Roman"/>
                <w:color w:val="000000" w:themeColor="text1"/>
                <w:sz w:val="22"/>
                <w:lang w:val="nb-NO"/>
              </w:rPr>
              <w:t>.</w:t>
            </w:r>
            <w:r w:rsidR="004B2981">
              <w:rPr>
                <w:rFonts w:ascii="Times New Roman" w:hAnsi="Times New Roman"/>
                <w:color w:val="000000" w:themeColor="text1"/>
                <w:sz w:val="22"/>
                <w:lang w:val="nb-NO"/>
              </w:rPr>
              <w:t xml:space="preserve"> Pored toga omogućava se uvećanje Budžeta Crne Gore oporezivanjem građevinskog zemljišta prilikom prometa novoizgrađenih objekata</w:t>
            </w:r>
            <w:r w:rsidR="00744CC8">
              <w:rPr>
                <w:rFonts w:ascii="Times New Roman" w:hAnsi="Times New Roman"/>
                <w:color w:val="000000" w:themeColor="text1"/>
                <w:sz w:val="22"/>
                <w:lang w:val="nb-NO"/>
              </w:rPr>
              <w:t xml:space="preserve">. Takođe se </w:t>
            </w:r>
            <w:r w:rsidR="004B2981">
              <w:rPr>
                <w:rFonts w:ascii="Times New Roman" w:hAnsi="Times New Roman"/>
                <w:color w:val="000000" w:themeColor="text1"/>
                <w:sz w:val="22"/>
                <w:lang w:val="nb-NO"/>
              </w:rPr>
              <w:t xml:space="preserve"> boljim razumijevanjem zakona posti</w:t>
            </w:r>
            <w:r w:rsidR="00744CC8">
              <w:rPr>
                <w:rFonts w:ascii="Times New Roman" w:hAnsi="Times New Roman"/>
                <w:color w:val="000000" w:themeColor="text1"/>
                <w:sz w:val="22"/>
                <w:lang w:val="nb-NO"/>
              </w:rPr>
              <w:t>že</w:t>
            </w:r>
            <w:r w:rsidR="004B2981">
              <w:rPr>
                <w:rFonts w:ascii="Times New Roman" w:hAnsi="Times New Roman"/>
                <w:color w:val="000000" w:themeColor="text1"/>
                <w:sz w:val="22"/>
                <w:lang w:val="nb-NO"/>
              </w:rPr>
              <w:t xml:space="preserve"> bolj</w:t>
            </w:r>
            <w:r w:rsidR="00744CC8">
              <w:rPr>
                <w:rFonts w:ascii="Times New Roman" w:hAnsi="Times New Roman"/>
                <w:color w:val="000000" w:themeColor="text1"/>
                <w:sz w:val="22"/>
                <w:lang w:val="nb-NO"/>
              </w:rPr>
              <w:t>a</w:t>
            </w:r>
            <w:r w:rsidR="004B2981">
              <w:rPr>
                <w:rFonts w:ascii="Times New Roman" w:hAnsi="Times New Roman"/>
                <w:color w:val="000000" w:themeColor="text1"/>
                <w:sz w:val="22"/>
                <w:lang w:val="nb-NO"/>
              </w:rPr>
              <w:t xml:space="preserve"> poresk</w:t>
            </w:r>
            <w:r w:rsidR="00744CC8">
              <w:rPr>
                <w:rFonts w:ascii="Times New Roman" w:hAnsi="Times New Roman"/>
                <w:color w:val="000000" w:themeColor="text1"/>
                <w:sz w:val="22"/>
                <w:lang w:val="nb-NO"/>
              </w:rPr>
              <w:t>a</w:t>
            </w:r>
            <w:r w:rsidR="004B2981">
              <w:rPr>
                <w:rFonts w:ascii="Times New Roman" w:hAnsi="Times New Roman"/>
                <w:color w:val="000000" w:themeColor="text1"/>
                <w:sz w:val="22"/>
                <w:lang w:val="nb-NO"/>
              </w:rPr>
              <w:t xml:space="preserve"> displin</w:t>
            </w:r>
            <w:r w:rsidR="00744CC8">
              <w:rPr>
                <w:rFonts w:ascii="Times New Roman" w:hAnsi="Times New Roman"/>
                <w:color w:val="000000" w:themeColor="text1"/>
                <w:sz w:val="22"/>
                <w:lang w:val="nb-NO"/>
              </w:rPr>
              <w:t>a</w:t>
            </w:r>
            <w:r w:rsidR="004B2981">
              <w:rPr>
                <w:rFonts w:ascii="Times New Roman" w:hAnsi="Times New Roman"/>
                <w:color w:val="000000" w:themeColor="text1"/>
                <w:sz w:val="22"/>
                <w:lang w:val="nb-NO"/>
              </w:rPr>
              <w:t>.</w:t>
            </w:r>
          </w:p>
          <w:p w14:paraId="1ADBB1EA" w14:textId="5FA514F8" w:rsidR="001F01DD" w:rsidRPr="009F5886" w:rsidRDefault="001F01DD" w:rsidP="009F5886">
            <w:pPr>
              <w:spacing w:before="120" w:line="276" w:lineRule="auto"/>
              <w:rPr>
                <w:rFonts w:ascii="Times New Roman" w:hAnsi="Times New Roman"/>
                <w:color w:val="000000" w:themeColor="text1"/>
                <w:sz w:val="22"/>
                <w:lang w:val="pl-PL"/>
              </w:rPr>
            </w:pPr>
            <w:r w:rsidRPr="009F5886">
              <w:rPr>
                <w:rFonts w:ascii="Times New Roman" w:hAnsi="Times New Roman"/>
                <w:color w:val="000000" w:themeColor="text1"/>
                <w:sz w:val="22"/>
                <w:lang w:val="pl-PL"/>
              </w:rPr>
              <w:t>Primjenom „status quo” opcije ne bi došlo do uvećanja prihoda Budžeta Crne Gore, odnosno postojeće zakonsko rješenje ne bi bilo usklađeno sa naveden</w:t>
            </w:r>
            <w:r w:rsidR="004B2981">
              <w:rPr>
                <w:rFonts w:ascii="Times New Roman" w:hAnsi="Times New Roman"/>
                <w:color w:val="000000" w:themeColor="text1"/>
                <w:sz w:val="22"/>
                <w:lang w:val="pl-PL"/>
              </w:rPr>
              <w:t>o</w:t>
            </w:r>
            <w:r w:rsidRPr="009F5886">
              <w:rPr>
                <w:rFonts w:ascii="Times New Roman" w:hAnsi="Times New Roman"/>
                <w:color w:val="000000" w:themeColor="text1"/>
                <w:sz w:val="22"/>
                <w:lang w:val="pl-PL"/>
              </w:rPr>
              <w:t xml:space="preserve">m Direktivom. </w:t>
            </w:r>
          </w:p>
          <w:p w14:paraId="09D92947" w14:textId="26EF429F" w:rsidR="001F01DD" w:rsidRPr="009F5886" w:rsidRDefault="001F01DD" w:rsidP="009F5886">
            <w:pPr>
              <w:spacing w:before="120" w:line="276" w:lineRule="auto"/>
              <w:rPr>
                <w:rFonts w:ascii="Times New Roman" w:hAnsi="Times New Roman"/>
                <w:color w:val="000000" w:themeColor="text1"/>
                <w:sz w:val="22"/>
                <w:lang w:val="pl-PL"/>
              </w:rPr>
            </w:pPr>
            <w:r w:rsidRPr="009F5886">
              <w:rPr>
                <w:rFonts w:ascii="Times New Roman" w:hAnsi="Times New Roman"/>
                <w:color w:val="000000" w:themeColor="text1"/>
                <w:sz w:val="22"/>
                <w:lang w:val="pl-PL"/>
              </w:rPr>
              <w:lastRenderedPageBreak/>
              <w:t>Uvećanje prihoda Budžeta Crne Gore se ogleda kroz:</w:t>
            </w:r>
          </w:p>
          <w:p w14:paraId="623E610C" w14:textId="58263B62" w:rsidR="001F01DD" w:rsidRPr="009F5886" w:rsidRDefault="001F01DD" w:rsidP="009F5886">
            <w:pPr>
              <w:pStyle w:val="ListParagraph"/>
              <w:numPr>
                <w:ilvl w:val="0"/>
                <w:numId w:val="23"/>
              </w:numPr>
              <w:spacing w:before="120" w:line="276" w:lineRule="auto"/>
              <w:rPr>
                <w:rFonts w:ascii="Times New Roman" w:hAnsi="Times New Roman"/>
                <w:color w:val="000000" w:themeColor="text1"/>
                <w:sz w:val="22"/>
                <w:lang w:val="pl-PL"/>
              </w:rPr>
            </w:pPr>
            <w:r w:rsidRPr="009F5886">
              <w:rPr>
                <w:rFonts w:ascii="Times New Roman" w:hAnsi="Times New Roman"/>
                <w:color w:val="000000" w:themeColor="text1"/>
                <w:sz w:val="22"/>
                <w:lang w:val="pl-PL"/>
              </w:rPr>
              <w:t xml:space="preserve">reformu </w:t>
            </w:r>
            <w:r w:rsidR="004B2981">
              <w:rPr>
                <w:rFonts w:ascii="Times New Roman" w:hAnsi="Times New Roman"/>
                <w:color w:val="000000" w:themeColor="text1"/>
                <w:sz w:val="22"/>
                <w:lang w:val="pl-PL"/>
              </w:rPr>
              <w:t>oporezivanja građevinskog zemljišta prometovanog uz novoizgrađene objekte</w:t>
            </w:r>
            <w:r w:rsidRPr="009F5886">
              <w:rPr>
                <w:rFonts w:ascii="Times New Roman" w:hAnsi="Times New Roman"/>
                <w:color w:val="000000" w:themeColor="text1"/>
                <w:sz w:val="22"/>
                <w:lang w:val="pl-PL"/>
              </w:rPr>
              <w:t>;</w:t>
            </w:r>
          </w:p>
          <w:p w14:paraId="1880C72E" w14:textId="2DA3DFF8" w:rsidR="00840995" w:rsidRPr="009F5886" w:rsidRDefault="004B2981" w:rsidP="00840995">
            <w:pPr>
              <w:spacing w:before="120" w:line="276" w:lineRule="auto"/>
              <w:rPr>
                <w:rFonts w:ascii="Times New Roman" w:hAnsi="Times New Roman"/>
                <w:color w:val="000000" w:themeColor="text1"/>
                <w:sz w:val="22"/>
                <w:lang w:val="pl-PL"/>
              </w:rPr>
            </w:pPr>
            <w:r w:rsidRPr="004B2981">
              <w:rPr>
                <w:rFonts w:ascii="Times New Roman" w:hAnsi="Times New Roman"/>
                <w:color w:val="000000" w:themeColor="text1"/>
                <w:sz w:val="22"/>
                <w:lang w:val="pl-PL"/>
              </w:rPr>
              <w:t>Uvođenjem prefiksa "ME" na poreski identifikacioni broj, Crna Gora dobija novi format PDV broja koji je usklađen sa standardima Evropske unije. Ova izmjena predstavlja važan korak ka harmonizaciji poreskog sistema, stvarajući tehnički preduslov za buduću razmjenu informacija</w:t>
            </w:r>
            <w:r w:rsidR="00744CC8">
              <w:rPr>
                <w:rFonts w:ascii="Times New Roman" w:hAnsi="Times New Roman"/>
                <w:color w:val="000000" w:themeColor="text1"/>
                <w:sz w:val="22"/>
                <w:lang w:val="pl-PL"/>
              </w:rPr>
              <w:t xml:space="preserve"> o prometu i porezu na dodatu vrijednost</w:t>
            </w:r>
            <w:r w:rsidRPr="004B2981">
              <w:rPr>
                <w:rFonts w:ascii="Times New Roman" w:hAnsi="Times New Roman"/>
                <w:color w:val="000000" w:themeColor="text1"/>
                <w:sz w:val="22"/>
                <w:lang w:val="pl-PL"/>
              </w:rPr>
              <w:t xml:space="preserve"> i digitalizaciju administrativnih procedura.</w:t>
            </w:r>
          </w:p>
        </w:tc>
      </w:tr>
      <w:tr w:rsidR="00DA785B" w:rsidRPr="009F5886" w14:paraId="157D7D61" w14:textId="77777777" w:rsidTr="00F57DEB">
        <w:tc>
          <w:tcPr>
            <w:tcW w:w="10250" w:type="dxa"/>
            <w:gridSpan w:val="2"/>
            <w:tcBorders>
              <w:top w:val="single" w:sz="8" w:space="0" w:color="C0C0C0"/>
              <w:left w:val="single" w:sz="8" w:space="0" w:color="C0C0C0"/>
              <w:bottom w:val="single" w:sz="8" w:space="0" w:color="C0C0C0"/>
              <w:right w:val="single" w:sz="8" w:space="0" w:color="C0C0C0"/>
            </w:tcBorders>
            <w:shd w:val="clear" w:color="auto" w:fill="D2EAF1"/>
          </w:tcPr>
          <w:p w14:paraId="2702497C" w14:textId="77777777" w:rsidR="00DA785B" w:rsidRPr="009F5886" w:rsidRDefault="00DA785B" w:rsidP="009F5886">
            <w:pPr>
              <w:spacing w:line="276" w:lineRule="auto"/>
              <w:rPr>
                <w:rFonts w:ascii="Times New Roman" w:hAnsi="Times New Roman"/>
                <w:b/>
                <w:color w:val="365F91"/>
                <w:sz w:val="22"/>
              </w:rPr>
            </w:pPr>
            <w:r w:rsidRPr="009F5886">
              <w:rPr>
                <w:rFonts w:ascii="Times New Roman" w:hAnsi="Times New Roman"/>
                <w:b/>
                <w:color w:val="365F91"/>
                <w:sz w:val="22"/>
              </w:rPr>
              <w:lastRenderedPageBreak/>
              <w:t>4</w:t>
            </w:r>
            <w:r w:rsidR="00864B6A" w:rsidRPr="009F5886">
              <w:rPr>
                <w:rFonts w:ascii="Times New Roman" w:hAnsi="Times New Roman"/>
                <w:b/>
                <w:color w:val="365F91"/>
                <w:sz w:val="22"/>
              </w:rPr>
              <w:t>.</w:t>
            </w:r>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Analiza</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uticaja</w:t>
            </w:r>
            <w:proofErr w:type="spellEnd"/>
          </w:p>
          <w:p w14:paraId="1DC9E474" w14:textId="77777777" w:rsidR="00DA785B" w:rsidRPr="009F5886" w:rsidRDefault="00DA785B" w:rsidP="009F5886">
            <w:pPr>
              <w:pStyle w:val="ListParagraph"/>
              <w:numPr>
                <w:ilvl w:val="0"/>
                <w:numId w:val="4"/>
              </w:numPr>
              <w:spacing w:line="276" w:lineRule="auto"/>
              <w:rPr>
                <w:rFonts w:ascii="Times New Roman" w:hAnsi="Times New Roman"/>
                <w:b/>
                <w:color w:val="365F91"/>
                <w:sz w:val="22"/>
              </w:rPr>
            </w:pPr>
            <w:proofErr w:type="spellStart"/>
            <w:r w:rsidRPr="009F5886">
              <w:rPr>
                <w:rFonts w:ascii="Times New Roman" w:hAnsi="Times New Roman"/>
                <w:b/>
                <w:color w:val="365F91"/>
                <w:sz w:val="22"/>
              </w:rPr>
              <w:t>na</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koga</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će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i</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kako</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će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najvjerovatnije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uticati</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rješenja</w:t>
            </w:r>
            <w:proofErr w:type="spellEnd"/>
            <w:r w:rsidRPr="009F5886">
              <w:rPr>
                <w:rFonts w:ascii="Times New Roman" w:hAnsi="Times New Roman"/>
                <w:b/>
                <w:color w:val="365F91"/>
                <w:sz w:val="22"/>
              </w:rPr>
              <w:t xml:space="preserve"> u </w:t>
            </w:r>
            <w:proofErr w:type="spellStart"/>
            <w:r w:rsidRPr="009F5886">
              <w:rPr>
                <w:rFonts w:ascii="Times New Roman" w:hAnsi="Times New Roman"/>
                <w:b/>
                <w:color w:val="365F91"/>
                <w:sz w:val="22"/>
              </w:rPr>
              <w:t>propisu</w:t>
            </w:r>
            <w:proofErr w:type="spellEnd"/>
            <w:r w:rsidRPr="009F5886">
              <w:rPr>
                <w:rFonts w:ascii="Times New Roman" w:hAnsi="Times New Roman"/>
                <w:b/>
                <w:color w:val="365F91"/>
                <w:sz w:val="22"/>
              </w:rPr>
              <w:t xml:space="preserve"> - </w:t>
            </w:r>
            <w:proofErr w:type="spellStart"/>
            <w:r w:rsidRPr="009F5886">
              <w:rPr>
                <w:rFonts w:ascii="Times New Roman" w:hAnsi="Times New Roman"/>
                <w:b/>
                <w:color w:val="365F91"/>
                <w:sz w:val="22"/>
              </w:rPr>
              <w:t>Nabrojati</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pozitivne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i</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negativne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uticaje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direktne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i</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indirektne</w:t>
            </w:r>
            <w:proofErr w:type="spellEnd"/>
          </w:p>
          <w:p w14:paraId="654DF7C7" w14:textId="77777777" w:rsidR="00DA785B" w:rsidRPr="009F5886" w:rsidRDefault="00DA785B" w:rsidP="009F5886">
            <w:pPr>
              <w:pStyle w:val="ListParagraph"/>
              <w:numPr>
                <w:ilvl w:val="0"/>
                <w:numId w:val="4"/>
              </w:numPr>
              <w:spacing w:line="276" w:lineRule="auto"/>
              <w:rPr>
                <w:rFonts w:ascii="Times New Roman" w:hAnsi="Times New Roman"/>
                <w:b/>
                <w:color w:val="365F91"/>
                <w:sz w:val="22"/>
              </w:rPr>
            </w:pPr>
            <w:proofErr w:type="spellStart"/>
            <w:r w:rsidRPr="009F5886">
              <w:rPr>
                <w:rFonts w:ascii="Times New Roman" w:hAnsi="Times New Roman"/>
                <w:b/>
                <w:color w:val="365F91"/>
                <w:sz w:val="22"/>
              </w:rPr>
              <w:t>kakve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troškove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će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primjena</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propisa</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stvoriti</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građanima</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i</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privredi</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naročito</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malim</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i</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srednjim</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preduzećima</w:t>
            </w:r>
            <w:proofErr w:type="spellEnd"/>
            <w:r w:rsidRPr="009F5886">
              <w:rPr>
                <w:rFonts w:ascii="Times New Roman" w:hAnsi="Times New Roman"/>
                <w:b/>
                <w:color w:val="365F91"/>
                <w:sz w:val="22"/>
              </w:rPr>
              <w:t>),</w:t>
            </w:r>
          </w:p>
          <w:p w14:paraId="7B276BA0" w14:textId="77777777" w:rsidR="00DA785B" w:rsidRPr="009F5886" w:rsidRDefault="00DA785B" w:rsidP="009F5886">
            <w:pPr>
              <w:pStyle w:val="ListParagraph"/>
              <w:numPr>
                <w:ilvl w:val="0"/>
                <w:numId w:val="4"/>
              </w:numPr>
              <w:spacing w:line="276" w:lineRule="auto"/>
              <w:rPr>
                <w:rFonts w:ascii="Times New Roman" w:hAnsi="Times New Roman"/>
                <w:b/>
                <w:color w:val="365F91"/>
                <w:sz w:val="22"/>
              </w:rPr>
            </w:pPr>
            <w:r w:rsidRPr="009F5886">
              <w:rPr>
                <w:rFonts w:ascii="Times New Roman" w:hAnsi="Times New Roman"/>
                <w:b/>
                <w:color w:val="365F91"/>
                <w:sz w:val="22"/>
              </w:rPr>
              <w:t xml:space="preserve">da li </w:t>
            </w:r>
            <w:proofErr w:type="spellStart"/>
            <w:r w:rsidRPr="009F5886">
              <w:rPr>
                <w:rFonts w:ascii="Times New Roman" w:hAnsi="Times New Roman"/>
                <w:b/>
                <w:color w:val="365F91"/>
                <w:sz w:val="22"/>
              </w:rPr>
              <w:t>su</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pozitivne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posljedice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donošenja</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propisa</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takve</w:t>
            </w:r>
            <w:proofErr w:type="spellEnd"/>
            <w:r w:rsidRPr="009F5886">
              <w:rPr>
                <w:rFonts w:ascii="Times New Roman" w:hAnsi="Times New Roman"/>
                <w:b/>
                <w:color w:val="365F91"/>
                <w:sz w:val="22"/>
              </w:rPr>
              <w:t xml:space="preserve"> da </w:t>
            </w:r>
            <w:proofErr w:type="spellStart"/>
            <w:r w:rsidRPr="009F5886">
              <w:rPr>
                <w:rFonts w:ascii="Times New Roman" w:hAnsi="Times New Roman"/>
                <w:b/>
                <w:color w:val="365F91"/>
                <w:sz w:val="22"/>
              </w:rPr>
              <w:t>opravdavaju</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troškove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koje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će</w:t>
            </w:r>
            <w:proofErr w:type="spellEnd"/>
            <w:r w:rsidRPr="009F5886">
              <w:rPr>
                <w:rFonts w:ascii="Times New Roman" w:hAnsi="Times New Roman"/>
                <w:b/>
                <w:color w:val="365F91"/>
                <w:sz w:val="22"/>
              </w:rPr>
              <w:t xml:space="preserve"> on </w:t>
            </w:r>
            <w:proofErr w:type="spellStart"/>
            <w:r w:rsidRPr="009F5886">
              <w:rPr>
                <w:rFonts w:ascii="Times New Roman" w:hAnsi="Times New Roman"/>
                <w:b/>
                <w:color w:val="365F91"/>
                <w:sz w:val="22"/>
              </w:rPr>
              <w:t>stvoriti</w:t>
            </w:r>
            <w:proofErr w:type="spellEnd"/>
            <w:r w:rsidRPr="009F5886">
              <w:rPr>
                <w:rFonts w:ascii="Times New Roman" w:hAnsi="Times New Roman"/>
                <w:b/>
                <w:color w:val="365F91"/>
                <w:sz w:val="22"/>
              </w:rPr>
              <w:t xml:space="preserve">, </w:t>
            </w:r>
          </w:p>
          <w:p w14:paraId="3258CD44" w14:textId="77777777" w:rsidR="00DA785B" w:rsidRPr="009F5886" w:rsidRDefault="00DA785B" w:rsidP="009F5886">
            <w:pPr>
              <w:pStyle w:val="ListParagraph"/>
              <w:numPr>
                <w:ilvl w:val="0"/>
                <w:numId w:val="4"/>
              </w:numPr>
              <w:spacing w:line="276" w:lineRule="auto"/>
              <w:rPr>
                <w:rFonts w:ascii="Times New Roman" w:hAnsi="Times New Roman"/>
                <w:b/>
                <w:color w:val="365F91"/>
                <w:sz w:val="22"/>
              </w:rPr>
            </w:pPr>
            <w:r w:rsidRPr="009F5886">
              <w:rPr>
                <w:rFonts w:ascii="Times New Roman" w:hAnsi="Times New Roman"/>
                <w:b/>
                <w:color w:val="365F91"/>
                <w:sz w:val="22"/>
              </w:rPr>
              <w:t xml:space="preserve">da li se </w:t>
            </w:r>
            <w:proofErr w:type="spellStart"/>
            <w:r w:rsidRPr="009F5886">
              <w:rPr>
                <w:rFonts w:ascii="Times New Roman" w:hAnsi="Times New Roman"/>
                <w:b/>
                <w:color w:val="365F91"/>
                <w:sz w:val="22"/>
              </w:rPr>
              <w:t>propisom</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podržava</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stvaranje</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novih</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privrednih</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subjekata</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na</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tržištu</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i</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tržišna</w:t>
            </w:r>
            <w:proofErr w:type="spellEnd"/>
            <w:r w:rsidRPr="009F5886">
              <w:rPr>
                <w:rFonts w:ascii="Times New Roman" w:hAnsi="Times New Roman"/>
                <w:b/>
                <w:color w:val="365F91"/>
                <w:sz w:val="22"/>
              </w:rPr>
              <w:t xml:space="preserve"> </w:t>
            </w:r>
            <w:proofErr w:type="spellStart"/>
            <w:r w:rsidRPr="009F5886">
              <w:rPr>
                <w:rFonts w:ascii="Times New Roman" w:hAnsi="Times New Roman"/>
                <w:b/>
                <w:color w:val="365F91"/>
                <w:sz w:val="22"/>
              </w:rPr>
              <w:t>konkurencija</w:t>
            </w:r>
            <w:proofErr w:type="spellEnd"/>
          </w:p>
          <w:p w14:paraId="65735B2B" w14:textId="1C9C9B7D" w:rsidR="00DA785B" w:rsidRPr="009F5886" w:rsidRDefault="00DA785B" w:rsidP="009F5886">
            <w:pPr>
              <w:pStyle w:val="ListParagraph"/>
              <w:numPr>
                <w:ilvl w:val="0"/>
                <w:numId w:val="4"/>
              </w:numPr>
              <w:spacing w:line="276" w:lineRule="auto"/>
              <w:rPr>
                <w:rFonts w:ascii="Times New Roman" w:hAnsi="Times New Roman"/>
                <w:b/>
                <w:color w:val="365F91"/>
                <w:sz w:val="22"/>
                <w:lang w:val="pl-PL"/>
              </w:rPr>
            </w:pPr>
            <w:r w:rsidRPr="009F5886">
              <w:rPr>
                <w:rFonts w:ascii="Times New Roman" w:hAnsi="Times New Roman"/>
                <w:b/>
                <w:color w:val="365F91"/>
                <w:sz w:val="22"/>
                <w:lang w:val="pl-PL"/>
              </w:rPr>
              <w:t>uključiti procjenu administrativnih opterećenja i biznis barijera.</w:t>
            </w:r>
          </w:p>
        </w:tc>
      </w:tr>
      <w:tr w:rsidR="00DA785B" w:rsidRPr="009F5886" w14:paraId="7F40D1C6" w14:textId="77777777" w:rsidTr="00F57DEB">
        <w:tc>
          <w:tcPr>
            <w:tcW w:w="10250" w:type="dxa"/>
            <w:gridSpan w:val="2"/>
            <w:tcBorders>
              <w:top w:val="single" w:sz="8" w:space="0" w:color="C0C0C0"/>
              <w:left w:val="single" w:sz="8" w:space="0" w:color="C0C0C0"/>
              <w:bottom w:val="single" w:sz="8" w:space="0" w:color="C0C0C0"/>
              <w:right w:val="single" w:sz="8" w:space="0" w:color="C0C0C0"/>
            </w:tcBorders>
            <w:shd w:val="clear" w:color="auto" w:fill="auto"/>
          </w:tcPr>
          <w:p w14:paraId="008BE3C1" w14:textId="4C1C5DE1" w:rsidR="00A27181" w:rsidRPr="00891903" w:rsidRDefault="00C90EB7" w:rsidP="009F5886">
            <w:pPr>
              <w:spacing w:before="120" w:line="276" w:lineRule="auto"/>
              <w:rPr>
                <w:rFonts w:ascii="Times New Roman" w:hAnsi="Times New Roman"/>
                <w:color w:val="000000" w:themeColor="text1"/>
                <w:sz w:val="22"/>
                <w:lang w:val="pl-PL"/>
              </w:rPr>
            </w:pPr>
            <w:r w:rsidRPr="00891903">
              <w:rPr>
                <w:rFonts w:ascii="Times New Roman" w:hAnsi="Times New Roman"/>
                <w:color w:val="000000" w:themeColor="text1"/>
                <w:sz w:val="22"/>
                <w:lang w:val="pl-PL"/>
              </w:rPr>
              <w:t xml:space="preserve">Pozitivni </w:t>
            </w:r>
            <w:r w:rsidR="00C96D54" w:rsidRPr="00891903">
              <w:rPr>
                <w:rFonts w:ascii="Times New Roman" w:hAnsi="Times New Roman"/>
                <w:color w:val="000000" w:themeColor="text1"/>
                <w:sz w:val="22"/>
                <w:lang w:val="pl-PL"/>
              </w:rPr>
              <w:t xml:space="preserve">direktni </w:t>
            </w:r>
            <w:r w:rsidRPr="00891903">
              <w:rPr>
                <w:rFonts w:ascii="Times New Roman" w:hAnsi="Times New Roman"/>
                <w:color w:val="000000" w:themeColor="text1"/>
                <w:sz w:val="22"/>
                <w:lang w:val="pl-PL"/>
              </w:rPr>
              <w:t>uticaji donošenja propisa su:</w:t>
            </w:r>
          </w:p>
          <w:p w14:paraId="1114677E" w14:textId="653D53A7" w:rsidR="002F24B9" w:rsidRDefault="00C96D54" w:rsidP="009F5886">
            <w:pPr>
              <w:pStyle w:val="ListParagraph"/>
              <w:numPr>
                <w:ilvl w:val="0"/>
                <w:numId w:val="21"/>
              </w:numPr>
              <w:spacing w:before="120" w:line="276" w:lineRule="auto"/>
              <w:rPr>
                <w:rFonts w:ascii="Times New Roman" w:hAnsi="Times New Roman"/>
                <w:color w:val="000000" w:themeColor="text1"/>
                <w:sz w:val="22"/>
                <w:lang w:val="pl-PL"/>
              </w:rPr>
            </w:pPr>
            <w:r w:rsidRPr="00891903">
              <w:rPr>
                <w:rFonts w:ascii="Times New Roman" w:hAnsi="Times New Roman"/>
                <w:color w:val="000000" w:themeColor="text1"/>
                <w:sz w:val="22"/>
                <w:lang w:val="pl-PL"/>
              </w:rPr>
              <w:t xml:space="preserve"> </w:t>
            </w:r>
            <w:r w:rsidR="00496A0F" w:rsidRPr="00891903">
              <w:rPr>
                <w:rFonts w:ascii="Times New Roman" w:hAnsi="Times New Roman"/>
                <w:color w:val="000000" w:themeColor="text1"/>
                <w:sz w:val="22"/>
                <w:lang w:val="pl-PL"/>
              </w:rPr>
              <w:t>Prema važećim zakonskim normama, promet proizvoda ne obuhvata promet zemljišta, što nije usklađeno sa EU Direktivom 2006/112. Evropska komisija je više puta ukazivala da ovo pitanje mora biti predmet usklađivanja</w:t>
            </w:r>
            <w:r w:rsidR="002852BE" w:rsidRPr="00891903">
              <w:rPr>
                <w:rFonts w:ascii="Times New Roman" w:hAnsi="Times New Roman"/>
                <w:color w:val="000000" w:themeColor="text1"/>
                <w:sz w:val="22"/>
                <w:lang w:val="pl-PL"/>
              </w:rPr>
              <w:t xml:space="preserve">. </w:t>
            </w:r>
            <w:r w:rsidR="00496A0F" w:rsidRPr="00891903">
              <w:rPr>
                <w:rFonts w:ascii="Times New Roman" w:hAnsi="Times New Roman"/>
                <w:color w:val="000000" w:themeColor="text1"/>
                <w:sz w:val="22"/>
                <w:lang w:val="pl-PL"/>
              </w:rPr>
              <w:t>U praksi je česta situacija da se na fakturama za promet novoizgrađenih objekata i pripadajućeg zemljišta vrijednost zemljišta prikazuje u iznosu od 50% ukupne vrijednosti fakture. Takvo postupanje jasno ukazuje na zloupotrebu zakonske norme i pokušaj poreske evazije.</w:t>
            </w:r>
            <w:r w:rsidR="002852BE" w:rsidRPr="00891903">
              <w:rPr>
                <w:rFonts w:ascii="Times New Roman" w:hAnsi="Times New Roman"/>
                <w:color w:val="000000" w:themeColor="text1"/>
                <w:sz w:val="22"/>
                <w:lang w:val="pl-PL"/>
              </w:rPr>
              <w:t xml:space="preserve">  </w:t>
            </w:r>
            <w:r w:rsidR="00496A0F">
              <w:rPr>
                <w:rFonts w:ascii="Times New Roman" w:hAnsi="Times New Roman"/>
                <w:color w:val="000000" w:themeColor="text1"/>
                <w:sz w:val="22"/>
                <w:lang w:val="pl-PL"/>
              </w:rPr>
              <w:t>Takođe ukazujemo da o</w:t>
            </w:r>
            <w:r w:rsidR="00B06B62">
              <w:rPr>
                <w:rFonts w:ascii="Times New Roman" w:hAnsi="Times New Roman"/>
                <w:color w:val="000000" w:themeColor="text1"/>
                <w:sz w:val="22"/>
                <w:lang w:val="pl-PL"/>
              </w:rPr>
              <w:t>vakav pristup nije u skladu sa principima na  kojima se zasniva porez na dodatu vrijednost</w:t>
            </w:r>
            <w:r w:rsidR="00A4186F">
              <w:rPr>
                <w:rFonts w:ascii="Times New Roman" w:hAnsi="Times New Roman"/>
                <w:color w:val="000000" w:themeColor="text1"/>
                <w:sz w:val="22"/>
                <w:lang w:val="pl-PL"/>
              </w:rPr>
              <w:t xml:space="preserve"> novoizgrađenih objekata</w:t>
            </w:r>
            <w:r w:rsidR="00B06B62">
              <w:rPr>
                <w:rFonts w:ascii="Times New Roman" w:hAnsi="Times New Roman"/>
                <w:color w:val="000000" w:themeColor="text1"/>
                <w:sz w:val="22"/>
                <w:lang w:val="pl-PL"/>
              </w:rPr>
              <w:t>, kao ni evropskom legislativom</w:t>
            </w:r>
            <w:r w:rsidR="00A4186F">
              <w:rPr>
                <w:rFonts w:ascii="Times New Roman" w:hAnsi="Times New Roman"/>
                <w:color w:val="000000" w:themeColor="text1"/>
                <w:sz w:val="22"/>
                <w:lang w:val="pl-PL"/>
              </w:rPr>
              <w:t>,</w:t>
            </w:r>
            <w:r w:rsidR="00A4186F" w:rsidRPr="00891903">
              <w:rPr>
                <w:rFonts w:ascii="Times New Roman" w:hAnsi="Times New Roman"/>
                <w:color w:val="000000" w:themeColor="text1"/>
                <w:sz w:val="22"/>
                <w:lang w:val="pl-PL"/>
              </w:rPr>
              <w:t xml:space="preserve"> </w:t>
            </w:r>
            <w:r w:rsidR="00496A0F" w:rsidRPr="00891903">
              <w:rPr>
                <w:rFonts w:ascii="Times New Roman" w:hAnsi="Times New Roman"/>
                <w:color w:val="000000" w:themeColor="text1"/>
                <w:sz w:val="22"/>
                <w:lang w:val="pl-PL"/>
              </w:rPr>
              <w:t xml:space="preserve">budući da </w:t>
            </w:r>
            <w:r w:rsidR="00A4186F" w:rsidRPr="00891903">
              <w:rPr>
                <w:rFonts w:ascii="Times New Roman" w:hAnsi="Times New Roman"/>
                <w:color w:val="000000" w:themeColor="text1"/>
                <w:sz w:val="22"/>
                <w:lang w:val="pl-PL"/>
              </w:rPr>
              <w:t>g</w:t>
            </w:r>
            <w:r w:rsidR="00A4186F" w:rsidRPr="00A4186F">
              <w:rPr>
                <w:rFonts w:ascii="Times New Roman" w:hAnsi="Times New Roman"/>
                <w:color w:val="000000" w:themeColor="text1"/>
                <w:sz w:val="22"/>
                <w:lang w:val="pl-PL"/>
              </w:rPr>
              <w:t>rađevinsko zemljišt</w:t>
            </w:r>
            <w:r w:rsidR="00A4186F">
              <w:rPr>
                <w:rFonts w:ascii="Times New Roman" w:hAnsi="Times New Roman"/>
                <w:color w:val="000000" w:themeColor="text1"/>
                <w:sz w:val="22"/>
                <w:lang w:val="pl-PL"/>
              </w:rPr>
              <w:t>e</w:t>
            </w:r>
            <w:r w:rsidR="00A4186F" w:rsidRPr="00A4186F">
              <w:rPr>
                <w:rFonts w:ascii="Times New Roman" w:hAnsi="Times New Roman"/>
                <w:color w:val="000000" w:themeColor="text1"/>
                <w:sz w:val="22"/>
                <w:lang w:val="pl-PL"/>
              </w:rPr>
              <w:t xml:space="preserve"> ima komercijalnu vrijednost i koristi se za obavljanje ekonomske djelatnosti</w:t>
            </w:r>
            <w:r w:rsidR="00A4186F">
              <w:rPr>
                <w:rFonts w:ascii="Times New Roman" w:hAnsi="Times New Roman"/>
                <w:color w:val="000000" w:themeColor="text1"/>
                <w:sz w:val="22"/>
                <w:lang w:val="pl-PL"/>
              </w:rPr>
              <w:t xml:space="preserve"> zbog čega</w:t>
            </w:r>
            <w:r w:rsidR="004C2035">
              <w:rPr>
                <w:rFonts w:ascii="Times New Roman" w:hAnsi="Times New Roman"/>
                <w:color w:val="000000" w:themeColor="text1"/>
                <w:sz w:val="22"/>
                <w:lang w:val="pl-PL"/>
              </w:rPr>
              <w:t xml:space="preserve"> i ovaj promet treba da bude operezovan PDV-om. </w:t>
            </w:r>
            <w:r w:rsidR="00496A0F">
              <w:rPr>
                <w:rFonts w:ascii="Times New Roman" w:hAnsi="Times New Roman"/>
                <w:color w:val="000000" w:themeColor="text1"/>
                <w:sz w:val="22"/>
                <w:lang w:val="pl-PL"/>
              </w:rPr>
              <w:t>Predložene zakonske izmjene imale bi direktan p</w:t>
            </w:r>
            <w:r w:rsidR="004C2035">
              <w:rPr>
                <w:rFonts w:ascii="Times New Roman" w:hAnsi="Times New Roman"/>
                <w:color w:val="000000" w:themeColor="text1"/>
                <w:sz w:val="22"/>
                <w:lang w:val="pl-PL"/>
              </w:rPr>
              <w:t>ozitivan uticaj</w:t>
            </w:r>
            <w:r w:rsidR="00A4186F">
              <w:rPr>
                <w:rFonts w:ascii="Times New Roman" w:hAnsi="Times New Roman"/>
                <w:color w:val="000000" w:themeColor="text1"/>
                <w:sz w:val="22"/>
                <w:lang w:val="pl-PL"/>
              </w:rPr>
              <w:t xml:space="preserve"> </w:t>
            </w:r>
            <w:r w:rsidR="00496A0F">
              <w:rPr>
                <w:rFonts w:ascii="Times New Roman" w:hAnsi="Times New Roman"/>
                <w:color w:val="000000" w:themeColor="text1"/>
                <w:sz w:val="22"/>
                <w:lang w:val="pl-PL"/>
              </w:rPr>
              <w:t xml:space="preserve">na budžet Crne Gore, kroz povećanje prihoda od cca 3-4 miliona eura godišnje, po osnovu </w:t>
            </w:r>
            <w:r w:rsidR="00A4186F" w:rsidRPr="00A4186F">
              <w:rPr>
                <w:rFonts w:ascii="Times New Roman" w:hAnsi="Times New Roman"/>
                <w:color w:val="000000" w:themeColor="text1"/>
                <w:sz w:val="22"/>
                <w:lang w:val="pl-PL"/>
              </w:rPr>
              <w:t>oporezivanj</w:t>
            </w:r>
            <w:r w:rsidR="004C2035">
              <w:rPr>
                <w:rFonts w:ascii="Times New Roman" w:hAnsi="Times New Roman"/>
                <w:color w:val="000000" w:themeColor="text1"/>
                <w:sz w:val="22"/>
                <w:lang w:val="pl-PL"/>
              </w:rPr>
              <w:t>a</w:t>
            </w:r>
            <w:r w:rsidR="00A4186F" w:rsidRPr="00A4186F">
              <w:rPr>
                <w:rFonts w:ascii="Times New Roman" w:hAnsi="Times New Roman"/>
                <w:color w:val="000000" w:themeColor="text1"/>
                <w:sz w:val="22"/>
                <w:lang w:val="pl-PL"/>
              </w:rPr>
              <w:t xml:space="preserve"> građevinskog zemljišta uz novoizgrađene objekte</w:t>
            </w:r>
            <w:r w:rsidR="004C2035">
              <w:rPr>
                <w:rFonts w:ascii="Times New Roman" w:hAnsi="Times New Roman"/>
                <w:color w:val="000000" w:themeColor="text1"/>
                <w:sz w:val="22"/>
                <w:lang w:val="pl-PL"/>
              </w:rPr>
              <w:t xml:space="preserve">. </w:t>
            </w:r>
            <w:r w:rsidR="00A4186F" w:rsidRPr="00A4186F">
              <w:rPr>
                <w:rFonts w:ascii="Times New Roman" w:hAnsi="Times New Roman"/>
                <w:color w:val="000000" w:themeColor="text1"/>
                <w:sz w:val="22"/>
                <w:lang w:val="pl-PL"/>
              </w:rPr>
              <w:t xml:space="preserve"> </w:t>
            </w:r>
            <w:r w:rsidR="002F24B9">
              <w:rPr>
                <w:rFonts w:ascii="Times New Roman" w:hAnsi="Times New Roman"/>
                <w:color w:val="000000" w:themeColor="text1"/>
                <w:sz w:val="22"/>
                <w:lang w:val="pl-PL"/>
              </w:rPr>
              <w:t>Uvođenjem oporezivanja građevinskog zemljišta u sistem PDV-a smanjuje se mogućnost za prikrivanje stvarnih cijena u građevinskom sektoru.</w:t>
            </w:r>
            <w:r w:rsidR="00B8224A" w:rsidRPr="00891903">
              <w:rPr>
                <w:rFonts w:ascii="Times New Roman" w:hAnsi="Times New Roman"/>
                <w:color w:val="000000" w:themeColor="text1"/>
                <w:sz w:val="22"/>
                <w:lang w:val="pl-PL"/>
              </w:rPr>
              <w:t xml:space="preserve"> </w:t>
            </w:r>
            <w:r w:rsidR="00B8224A" w:rsidRPr="00B8224A">
              <w:rPr>
                <w:rFonts w:ascii="Times New Roman" w:hAnsi="Times New Roman"/>
                <w:color w:val="000000" w:themeColor="text1"/>
                <w:sz w:val="22"/>
                <w:lang w:val="pl-PL"/>
              </w:rPr>
              <w:t>Poreska uprava će raspolagati preciznijim i kvalitetnijim informacijama o prometu i cijenama novoizgrađenih objekata, kao i pouzdanijim podacima o samim poreskim obveznicima.</w:t>
            </w:r>
          </w:p>
          <w:p w14:paraId="3B3FC172" w14:textId="6FAEFF2F" w:rsidR="002F24B9" w:rsidRPr="00F57DEB" w:rsidRDefault="002F24B9" w:rsidP="00891903">
            <w:pPr>
              <w:spacing w:before="120" w:line="276" w:lineRule="auto"/>
              <w:rPr>
                <w:rFonts w:ascii="Times New Roman" w:hAnsi="Times New Roman"/>
                <w:color w:val="000000" w:themeColor="text1"/>
                <w:sz w:val="22"/>
                <w:lang w:val="pl-PL"/>
              </w:rPr>
            </w:pPr>
            <w:r>
              <w:rPr>
                <w:rFonts w:ascii="Times New Roman" w:hAnsi="Times New Roman"/>
                <w:color w:val="000000" w:themeColor="text1"/>
                <w:sz w:val="22"/>
                <w:lang w:val="pl-PL"/>
              </w:rPr>
              <w:t xml:space="preserve">Pozitivni indirektni uticaji </w:t>
            </w:r>
            <w:r w:rsidR="00891903" w:rsidRPr="00891903">
              <w:rPr>
                <w:rFonts w:ascii="Times New Roman" w:hAnsi="Times New Roman"/>
                <w:color w:val="000000" w:themeColor="text1"/>
                <w:sz w:val="22"/>
                <w:lang w:val="pl-PL"/>
              </w:rPr>
              <w:t xml:space="preserve">donošenja propisa </w:t>
            </w:r>
            <w:r>
              <w:rPr>
                <w:rFonts w:ascii="Times New Roman" w:hAnsi="Times New Roman"/>
                <w:color w:val="000000" w:themeColor="text1"/>
                <w:sz w:val="22"/>
                <w:lang w:val="pl-PL"/>
              </w:rPr>
              <w:t>su:</w:t>
            </w:r>
          </w:p>
          <w:p w14:paraId="3A654D9E" w14:textId="591F2B73" w:rsidR="00537944" w:rsidRPr="009F5886" w:rsidRDefault="00891903" w:rsidP="009F5886">
            <w:pPr>
              <w:pStyle w:val="ListParagraph"/>
              <w:numPr>
                <w:ilvl w:val="0"/>
                <w:numId w:val="21"/>
              </w:numPr>
              <w:spacing w:before="120" w:line="276" w:lineRule="auto"/>
              <w:rPr>
                <w:rFonts w:ascii="Times New Roman" w:hAnsi="Times New Roman"/>
                <w:color w:val="000000" w:themeColor="text1"/>
                <w:sz w:val="22"/>
                <w:lang w:val="pl-PL"/>
              </w:rPr>
            </w:pPr>
            <w:r>
              <w:rPr>
                <w:rFonts w:ascii="Times New Roman" w:hAnsi="Times New Roman"/>
                <w:color w:val="000000" w:themeColor="text1"/>
                <w:sz w:val="22"/>
                <w:lang w:val="pl-PL"/>
              </w:rPr>
              <w:t>u</w:t>
            </w:r>
            <w:r w:rsidR="00537944" w:rsidRPr="009F5886">
              <w:rPr>
                <w:rFonts w:ascii="Times New Roman" w:hAnsi="Times New Roman"/>
                <w:color w:val="000000" w:themeColor="text1"/>
                <w:sz w:val="22"/>
                <w:lang w:val="pl-PL"/>
              </w:rPr>
              <w:t>sklađivanje sa EU direktivama;</w:t>
            </w:r>
          </w:p>
          <w:p w14:paraId="186E9DB9" w14:textId="1BD2D1FE" w:rsidR="00EE111E" w:rsidRPr="00F57DEB" w:rsidRDefault="00891903" w:rsidP="009F5886">
            <w:pPr>
              <w:pStyle w:val="ListParagraph"/>
              <w:numPr>
                <w:ilvl w:val="0"/>
                <w:numId w:val="21"/>
              </w:numPr>
              <w:spacing w:before="120" w:line="276" w:lineRule="auto"/>
              <w:rPr>
                <w:rFonts w:ascii="Times New Roman" w:hAnsi="Times New Roman"/>
                <w:color w:val="000000" w:themeColor="text1"/>
                <w:sz w:val="22"/>
                <w:lang w:val="pl-PL"/>
              </w:rPr>
            </w:pPr>
            <w:r w:rsidRPr="00891903">
              <w:rPr>
                <w:rFonts w:ascii="Times New Roman" w:hAnsi="Times New Roman"/>
                <w:color w:val="000000" w:themeColor="text1"/>
                <w:sz w:val="22"/>
                <w:lang w:val="pl-PL"/>
              </w:rPr>
              <w:t>u</w:t>
            </w:r>
            <w:r w:rsidR="00EE111E" w:rsidRPr="00891903">
              <w:rPr>
                <w:rFonts w:ascii="Times New Roman" w:hAnsi="Times New Roman"/>
                <w:color w:val="000000" w:themeColor="text1"/>
                <w:sz w:val="22"/>
                <w:lang w:val="pl-PL"/>
              </w:rPr>
              <w:t>vođenjem prefiksa „ME“ PDV broj se usklađuje sa EU standardima, čime se postiže harmonizacija formata PDV broja i stvaraju preduslovi za buduću digitalizaciju sistema i efikasnu razmjenu podataka</w:t>
            </w:r>
          </w:p>
          <w:p w14:paraId="33433F7F" w14:textId="01CEB061" w:rsidR="002F24B9" w:rsidRDefault="00891903" w:rsidP="009F5886">
            <w:pPr>
              <w:pStyle w:val="ListParagraph"/>
              <w:numPr>
                <w:ilvl w:val="0"/>
                <w:numId w:val="21"/>
              </w:numPr>
              <w:spacing w:before="120" w:line="276" w:lineRule="auto"/>
              <w:rPr>
                <w:rFonts w:ascii="Times New Roman" w:hAnsi="Times New Roman"/>
                <w:color w:val="000000" w:themeColor="text1"/>
                <w:sz w:val="22"/>
                <w:lang w:val="pl-PL"/>
              </w:rPr>
            </w:pPr>
            <w:r>
              <w:rPr>
                <w:rFonts w:ascii="Times New Roman" w:hAnsi="Times New Roman"/>
                <w:color w:val="000000" w:themeColor="text1"/>
                <w:sz w:val="22"/>
                <w:lang w:val="pl-PL"/>
              </w:rPr>
              <w:t>s</w:t>
            </w:r>
            <w:r w:rsidR="001C5A94">
              <w:rPr>
                <w:rFonts w:ascii="Times New Roman" w:hAnsi="Times New Roman"/>
                <w:color w:val="000000" w:themeColor="text1"/>
                <w:sz w:val="22"/>
                <w:lang w:val="pl-PL"/>
              </w:rPr>
              <w:t>manjenje sive ekonomije u građevinskom sektoru.</w:t>
            </w:r>
          </w:p>
          <w:p w14:paraId="5CB41092" w14:textId="77777777" w:rsidR="00891903" w:rsidRDefault="00891903" w:rsidP="00891903">
            <w:pPr>
              <w:spacing w:before="120" w:line="276" w:lineRule="auto"/>
              <w:rPr>
                <w:rFonts w:ascii="Times New Roman" w:hAnsi="Times New Roman"/>
                <w:color w:val="000000" w:themeColor="text1"/>
                <w:sz w:val="22"/>
                <w:lang w:val="pl-PL"/>
              </w:rPr>
            </w:pPr>
          </w:p>
          <w:p w14:paraId="65EE3A56" w14:textId="6F058235" w:rsidR="00A37B25" w:rsidRPr="00891903" w:rsidRDefault="001C5A94" w:rsidP="009F5886">
            <w:pPr>
              <w:spacing w:line="276" w:lineRule="auto"/>
              <w:rPr>
                <w:rFonts w:ascii="Times New Roman" w:hAnsi="Times New Roman"/>
                <w:color w:val="000000" w:themeColor="text1"/>
                <w:sz w:val="22"/>
                <w:lang w:val="pl-PL"/>
              </w:rPr>
            </w:pPr>
            <w:r>
              <w:rPr>
                <w:rFonts w:ascii="Times New Roman" w:hAnsi="Times New Roman"/>
                <w:color w:val="000000" w:themeColor="text1"/>
                <w:sz w:val="22"/>
                <w:lang w:val="pl-PL"/>
              </w:rPr>
              <w:t xml:space="preserve">Negativni uticaji </w:t>
            </w:r>
            <w:r w:rsidR="008B7EA0" w:rsidRPr="008B7EA0">
              <w:rPr>
                <w:rFonts w:ascii="Times New Roman" w:hAnsi="Times New Roman"/>
                <w:color w:val="000000" w:themeColor="text1"/>
                <w:sz w:val="22"/>
                <w:lang w:val="pl-PL"/>
              </w:rPr>
              <w:t>predložen</w:t>
            </w:r>
            <w:r w:rsidR="008B7EA0">
              <w:rPr>
                <w:rFonts w:ascii="Times New Roman" w:hAnsi="Times New Roman"/>
                <w:color w:val="000000" w:themeColor="text1"/>
                <w:sz w:val="22"/>
                <w:lang w:val="pl-PL"/>
              </w:rPr>
              <w:t>ih</w:t>
            </w:r>
            <w:r w:rsidR="008B7EA0" w:rsidRPr="008B7EA0">
              <w:rPr>
                <w:rFonts w:ascii="Times New Roman" w:hAnsi="Times New Roman"/>
                <w:color w:val="000000" w:themeColor="text1"/>
                <w:sz w:val="22"/>
                <w:lang w:val="pl-PL"/>
              </w:rPr>
              <w:t xml:space="preserve"> zakonsk</w:t>
            </w:r>
            <w:r w:rsidR="008B7EA0">
              <w:rPr>
                <w:rFonts w:ascii="Times New Roman" w:hAnsi="Times New Roman"/>
                <w:color w:val="000000" w:themeColor="text1"/>
                <w:sz w:val="22"/>
                <w:lang w:val="pl-PL"/>
              </w:rPr>
              <w:t>ih</w:t>
            </w:r>
            <w:r w:rsidR="008B7EA0" w:rsidRPr="008B7EA0">
              <w:rPr>
                <w:rFonts w:ascii="Times New Roman" w:hAnsi="Times New Roman"/>
                <w:color w:val="000000" w:themeColor="text1"/>
                <w:sz w:val="22"/>
                <w:lang w:val="pl-PL"/>
              </w:rPr>
              <w:t xml:space="preserve"> izmjena</w:t>
            </w:r>
            <w:r w:rsidR="008B7EA0">
              <w:rPr>
                <w:rFonts w:ascii="Times New Roman" w:hAnsi="Times New Roman"/>
                <w:color w:val="000000" w:themeColor="text1"/>
                <w:sz w:val="22"/>
                <w:lang w:val="pl-PL"/>
              </w:rPr>
              <w:t xml:space="preserve"> </w:t>
            </w:r>
            <w:r w:rsidR="008B7EA0" w:rsidRPr="008B7EA0">
              <w:rPr>
                <w:rFonts w:ascii="Times New Roman" w:hAnsi="Times New Roman"/>
                <w:color w:val="000000" w:themeColor="text1"/>
                <w:sz w:val="22"/>
                <w:lang w:val="pl-PL"/>
              </w:rPr>
              <w:t>ogleda se</w:t>
            </w:r>
            <w:r w:rsidR="008B7EA0">
              <w:rPr>
                <w:rFonts w:ascii="Times New Roman" w:hAnsi="Times New Roman"/>
                <w:color w:val="000000" w:themeColor="text1"/>
                <w:sz w:val="22"/>
                <w:lang w:val="pl-PL"/>
              </w:rPr>
              <w:t xml:space="preserve"> u mogućem povećanju cijena nekretnina na tržištu Crne Gore, ukoliko investitori odluče da za visinu poreza </w:t>
            </w:r>
            <w:r w:rsidR="00EE111E">
              <w:rPr>
                <w:rFonts w:ascii="Times New Roman" w:hAnsi="Times New Roman"/>
                <w:color w:val="000000" w:themeColor="text1"/>
                <w:sz w:val="22"/>
                <w:lang w:val="pl-PL"/>
              </w:rPr>
              <w:t xml:space="preserve">na zemljište </w:t>
            </w:r>
            <w:r w:rsidR="008B7EA0">
              <w:rPr>
                <w:rFonts w:ascii="Times New Roman" w:hAnsi="Times New Roman"/>
                <w:color w:val="000000" w:themeColor="text1"/>
                <w:sz w:val="22"/>
                <w:lang w:val="pl-PL"/>
              </w:rPr>
              <w:t>izvrše uvećanje cijene novoizgrađenih objekata. Međutim, teško je procijeniti da li će se ovo u praksi stvarno i desiti imajući u vidu već visoke cijene na tržištu nekretnina.</w:t>
            </w:r>
          </w:p>
        </w:tc>
      </w:tr>
      <w:tr w:rsidR="00DA785B" w:rsidRPr="009F5886" w14:paraId="27997D1B" w14:textId="77777777" w:rsidTr="00F57DEB">
        <w:tc>
          <w:tcPr>
            <w:tcW w:w="10250" w:type="dxa"/>
            <w:gridSpan w:val="2"/>
            <w:tcBorders>
              <w:top w:val="single" w:sz="8" w:space="0" w:color="C0C0C0"/>
              <w:left w:val="single" w:sz="8" w:space="0" w:color="C0C0C0"/>
              <w:bottom w:val="single" w:sz="8" w:space="0" w:color="C0C0C0"/>
              <w:right w:val="single" w:sz="8" w:space="0" w:color="C0C0C0"/>
            </w:tcBorders>
            <w:shd w:val="clear" w:color="auto" w:fill="D2EAF1"/>
          </w:tcPr>
          <w:p w14:paraId="74BCA5A4" w14:textId="256C548E" w:rsidR="00DA785B" w:rsidRPr="009F5886" w:rsidRDefault="00012D55" w:rsidP="009F5886">
            <w:pPr>
              <w:spacing w:line="276" w:lineRule="auto"/>
              <w:rPr>
                <w:rFonts w:ascii="Times New Roman" w:hAnsi="Times New Roman"/>
                <w:b/>
                <w:color w:val="365F91"/>
                <w:sz w:val="22"/>
              </w:rPr>
            </w:pPr>
            <w:r w:rsidRPr="009F5886">
              <w:rPr>
                <w:rFonts w:ascii="Times New Roman" w:hAnsi="Times New Roman"/>
                <w:b/>
                <w:color w:val="365F91"/>
                <w:sz w:val="22"/>
              </w:rPr>
              <w:t xml:space="preserve">5. </w:t>
            </w:r>
            <w:proofErr w:type="spellStart"/>
            <w:r w:rsidR="00DA785B" w:rsidRPr="009F5886">
              <w:rPr>
                <w:rFonts w:ascii="Times New Roman" w:hAnsi="Times New Roman"/>
                <w:b/>
                <w:color w:val="365F91"/>
                <w:sz w:val="22"/>
              </w:rPr>
              <w:t>Procjena</w:t>
            </w:r>
            <w:proofErr w:type="spellEnd"/>
            <w:r w:rsidR="00DA785B" w:rsidRPr="009F5886">
              <w:rPr>
                <w:rFonts w:ascii="Times New Roman" w:hAnsi="Times New Roman"/>
                <w:b/>
                <w:color w:val="365F91"/>
                <w:sz w:val="22"/>
              </w:rPr>
              <w:t xml:space="preserve"> </w:t>
            </w:r>
            <w:proofErr w:type="spellStart"/>
            <w:r w:rsidR="00DA785B" w:rsidRPr="009F5886">
              <w:rPr>
                <w:rFonts w:ascii="Times New Roman" w:hAnsi="Times New Roman"/>
                <w:b/>
                <w:color w:val="365F91"/>
                <w:sz w:val="22"/>
              </w:rPr>
              <w:t>fiskalnog</w:t>
            </w:r>
            <w:proofErr w:type="spellEnd"/>
            <w:r w:rsidR="00DA785B" w:rsidRPr="009F5886">
              <w:rPr>
                <w:rFonts w:ascii="Times New Roman" w:hAnsi="Times New Roman"/>
                <w:b/>
                <w:color w:val="365F91"/>
                <w:sz w:val="22"/>
              </w:rPr>
              <w:t xml:space="preserve"> </w:t>
            </w:r>
            <w:proofErr w:type="spellStart"/>
            <w:r w:rsidR="00DA785B" w:rsidRPr="009F5886">
              <w:rPr>
                <w:rFonts w:ascii="Times New Roman" w:hAnsi="Times New Roman"/>
                <w:b/>
                <w:color w:val="365F91"/>
                <w:sz w:val="22"/>
              </w:rPr>
              <w:t>uticaja</w:t>
            </w:r>
            <w:proofErr w:type="spellEnd"/>
          </w:p>
          <w:p w14:paraId="042B8994" w14:textId="77777777" w:rsidR="00DA785B" w:rsidRPr="009F5886" w:rsidRDefault="00DA785B" w:rsidP="009F5886">
            <w:pPr>
              <w:pStyle w:val="ListParagraph"/>
              <w:numPr>
                <w:ilvl w:val="0"/>
                <w:numId w:val="4"/>
              </w:numPr>
              <w:spacing w:line="276" w:lineRule="auto"/>
              <w:jc w:val="left"/>
              <w:rPr>
                <w:rFonts w:ascii="Times New Roman" w:hAnsi="Times New Roman"/>
                <w:b/>
                <w:color w:val="365F91"/>
                <w:sz w:val="22"/>
                <w:lang w:val="pl-PL"/>
              </w:rPr>
            </w:pPr>
            <w:r w:rsidRPr="009F5886">
              <w:rPr>
                <w:rFonts w:ascii="Times New Roman" w:hAnsi="Times New Roman"/>
                <w:b/>
                <w:color w:val="365F91"/>
                <w:sz w:val="22"/>
                <w:lang w:val="pl-PL"/>
              </w:rPr>
              <w:lastRenderedPageBreak/>
              <w:t>Da li je potrebno izdvajanje finansijskih sredstava za implementaciju propisa i u kom iznosu?</w:t>
            </w:r>
          </w:p>
          <w:p w14:paraId="1549B621" w14:textId="77777777" w:rsidR="00DA785B" w:rsidRPr="009F5886" w:rsidRDefault="00DA785B" w:rsidP="009F5886">
            <w:pPr>
              <w:pStyle w:val="ListParagraph"/>
              <w:numPr>
                <w:ilvl w:val="0"/>
                <w:numId w:val="4"/>
              </w:numPr>
              <w:spacing w:line="276" w:lineRule="auto"/>
              <w:jc w:val="left"/>
              <w:rPr>
                <w:rFonts w:ascii="Times New Roman" w:hAnsi="Times New Roman"/>
                <w:b/>
                <w:color w:val="365F91"/>
                <w:sz w:val="22"/>
              </w:rPr>
            </w:pPr>
            <w:r w:rsidRPr="009F5886">
              <w:rPr>
                <w:rFonts w:ascii="Times New Roman" w:hAnsi="Times New Roman"/>
                <w:b/>
                <w:color w:val="365F91"/>
                <w:sz w:val="22"/>
                <w:lang w:val="pl-PL"/>
              </w:rPr>
              <w:t xml:space="preserve">Da li je izdvajanje finansijskih sredstava jednokratno, ili tokom određenog vremenskog perioda?  </w:t>
            </w:r>
            <w:proofErr w:type="spellStart"/>
            <w:r w:rsidRPr="009F5886">
              <w:rPr>
                <w:rFonts w:ascii="Times New Roman" w:hAnsi="Times New Roman"/>
                <w:b/>
                <w:color w:val="365F91"/>
                <w:sz w:val="22"/>
              </w:rPr>
              <w:t>Obrazložiti</w:t>
            </w:r>
            <w:proofErr w:type="spellEnd"/>
            <w:r w:rsidRPr="009F5886">
              <w:rPr>
                <w:rFonts w:ascii="Times New Roman" w:hAnsi="Times New Roman"/>
                <w:b/>
                <w:color w:val="365F91"/>
                <w:sz w:val="22"/>
              </w:rPr>
              <w:t>.</w:t>
            </w:r>
          </w:p>
          <w:p w14:paraId="47DCCEC7" w14:textId="77777777" w:rsidR="00DA785B" w:rsidRPr="009F5886" w:rsidRDefault="00DA785B" w:rsidP="009F5886">
            <w:pPr>
              <w:pStyle w:val="ListParagraph"/>
              <w:numPr>
                <w:ilvl w:val="0"/>
                <w:numId w:val="4"/>
              </w:numPr>
              <w:spacing w:line="276" w:lineRule="auto"/>
              <w:jc w:val="left"/>
              <w:rPr>
                <w:rFonts w:ascii="Times New Roman" w:hAnsi="Times New Roman"/>
                <w:b/>
                <w:color w:val="365F91"/>
                <w:sz w:val="22"/>
              </w:rPr>
            </w:pPr>
            <w:r w:rsidRPr="009F5886">
              <w:rPr>
                <w:rFonts w:ascii="Times New Roman" w:hAnsi="Times New Roman"/>
                <w:b/>
                <w:color w:val="365F91"/>
                <w:sz w:val="22"/>
                <w:lang w:val="pl-PL"/>
              </w:rPr>
              <w:t xml:space="preserve">Da li implementacijom propisa proizilaze međunarodne finansijske obaveze? </w:t>
            </w:r>
            <w:proofErr w:type="spellStart"/>
            <w:r w:rsidRPr="009F5886">
              <w:rPr>
                <w:rFonts w:ascii="Times New Roman" w:hAnsi="Times New Roman"/>
                <w:b/>
                <w:color w:val="365F91"/>
                <w:sz w:val="22"/>
              </w:rPr>
              <w:t>Obrazložiti</w:t>
            </w:r>
            <w:proofErr w:type="spellEnd"/>
            <w:r w:rsidRPr="009F5886">
              <w:rPr>
                <w:rFonts w:ascii="Times New Roman" w:hAnsi="Times New Roman"/>
                <w:b/>
                <w:color w:val="365F91"/>
                <w:sz w:val="22"/>
              </w:rPr>
              <w:t>.</w:t>
            </w:r>
          </w:p>
          <w:p w14:paraId="7CF58A5F" w14:textId="181935D1" w:rsidR="00DA785B" w:rsidRPr="009F5886" w:rsidRDefault="00DA785B" w:rsidP="009F5886">
            <w:pPr>
              <w:pStyle w:val="ListParagraph"/>
              <w:numPr>
                <w:ilvl w:val="0"/>
                <w:numId w:val="4"/>
              </w:numPr>
              <w:spacing w:line="276" w:lineRule="auto"/>
              <w:jc w:val="left"/>
              <w:rPr>
                <w:rFonts w:ascii="Times New Roman" w:hAnsi="Times New Roman"/>
                <w:b/>
                <w:color w:val="365F91"/>
                <w:sz w:val="22"/>
                <w:lang w:val="pl-PL"/>
              </w:rPr>
            </w:pPr>
            <w:r w:rsidRPr="009F5886">
              <w:rPr>
                <w:rFonts w:ascii="Times New Roman" w:hAnsi="Times New Roman"/>
                <w:b/>
                <w:color w:val="365F91"/>
                <w:sz w:val="22"/>
                <w:lang w:val="pl-PL"/>
              </w:rPr>
              <w:t>Da li su neophodna finansijska sredstva obezbijeđena u budžetu za tekuću fiskalnu godinu, odnosno da li su planirana u budžetu za narednu fiska</w:t>
            </w:r>
            <w:r w:rsidR="006B352B" w:rsidRPr="009F5886">
              <w:rPr>
                <w:rFonts w:ascii="Times New Roman" w:hAnsi="Times New Roman"/>
                <w:b/>
                <w:color w:val="365F91"/>
                <w:sz w:val="22"/>
                <w:lang w:val="pl-PL"/>
              </w:rPr>
              <w:t>l</w:t>
            </w:r>
            <w:r w:rsidRPr="009F5886">
              <w:rPr>
                <w:rFonts w:ascii="Times New Roman" w:hAnsi="Times New Roman"/>
                <w:b/>
                <w:color w:val="365F91"/>
                <w:sz w:val="22"/>
                <w:lang w:val="pl-PL"/>
              </w:rPr>
              <w:t>nu godinu?</w:t>
            </w:r>
          </w:p>
          <w:p w14:paraId="72CA55CB" w14:textId="77777777" w:rsidR="00DA785B" w:rsidRPr="009F5886" w:rsidRDefault="00DA785B" w:rsidP="009F5886">
            <w:pPr>
              <w:pStyle w:val="ListParagraph"/>
              <w:numPr>
                <w:ilvl w:val="0"/>
                <w:numId w:val="4"/>
              </w:numPr>
              <w:spacing w:line="276" w:lineRule="auto"/>
              <w:jc w:val="left"/>
              <w:rPr>
                <w:rFonts w:ascii="Times New Roman" w:hAnsi="Times New Roman"/>
                <w:b/>
                <w:color w:val="365F91"/>
                <w:sz w:val="22"/>
                <w:lang w:val="pl-PL"/>
              </w:rPr>
            </w:pPr>
            <w:r w:rsidRPr="009F5886">
              <w:rPr>
                <w:rFonts w:ascii="Times New Roman" w:hAnsi="Times New Roman"/>
                <w:b/>
                <w:color w:val="365F91"/>
                <w:sz w:val="22"/>
                <w:lang w:val="pl-PL"/>
              </w:rPr>
              <w:t>Da li je usvajanjem propisa predviđeno donošenje podzakonskih akata iz kojih će proisteći finansijske obaveze?</w:t>
            </w:r>
          </w:p>
          <w:p w14:paraId="574A538A" w14:textId="77777777" w:rsidR="00DA785B" w:rsidRPr="009F5886" w:rsidRDefault="00DA785B" w:rsidP="009F5886">
            <w:pPr>
              <w:pStyle w:val="ListParagraph"/>
              <w:numPr>
                <w:ilvl w:val="0"/>
                <w:numId w:val="4"/>
              </w:numPr>
              <w:spacing w:line="276" w:lineRule="auto"/>
              <w:jc w:val="left"/>
              <w:rPr>
                <w:rFonts w:ascii="Times New Roman" w:hAnsi="Times New Roman"/>
                <w:b/>
                <w:color w:val="365F91"/>
                <w:sz w:val="22"/>
                <w:lang w:val="nb-NO"/>
              </w:rPr>
            </w:pPr>
            <w:r w:rsidRPr="009F5886">
              <w:rPr>
                <w:rFonts w:ascii="Times New Roman" w:hAnsi="Times New Roman"/>
                <w:b/>
                <w:color w:val="365F91"/>
                <w:sz w:val="22"/>
                <w:lang w:val="nb-NO"/>
              </w:rPr>
              <w:t>Da li će se implementacijom propisa ostvariti prihoda za budžet Crne Gore?</w:t>
            </w:r>
          </w:p>
          <w:p w14:paraId="5973CCA4" w14:textId="77777777" w:rsidR="00DA785B" w:rsidRPr="009F5886" w:rsidRDefault="00DA785B" w:rsidP="009F5886">
            <w:pPr>
              <w:pStyle w:val="ListParagraph"/>
              <w:numPr>
                <w:ilvl w:val="0"/>
                <w:numId w:val="4"/>
              </w:numPr>
              <w:spacing w:line="276" w:lineRule="auto"/>
              <w:jc w:val="left"/>
              <w:rPr>
                <w:rFonts w:ascii="Times New Roman" w:hAnsi="Times New Roman"/>
                <w:b/>
                <w:color w:val="365F91"/>
                <w:sz w:val="22"/>
                <w:lang w:val="pl-PL"/>
              </w:rPr>
            </w:pPr>
            <w:r w:rsidRPr="009F5886">
              <w:rPr>
                <w:rFonts w:ascii="Times New Roman" w:hAnsi="Times New Roman"/>
                <w:b/>
                <w:color w:val="365F91"/>
                <w:sz w:val="22"/>
                <w:lang w:val="pl-PL"/>
              </w:rPr>
              <w:t>Obraložiti metodologiju kojom je korišćenja prilikom obračuna finansijskih izdataka/prihoda.</w:t>
            </w:r>
          </w:p>
          <w:p w14:paraId="4A7EA4EA" w14:textId="77777777" w:rsidR="00DA785B" w:rsidRPr="009F5886" w:rsidRDefault="00DA785B" w:rsidP="009F5886">
            <w:pPr>
              <w:pStyle w:val="ListParagraph"/>
              <w:numPr>
                <w:ilvl w:val="0"/>
                <w:numId w:val="4"/>
              </w:numPr>
              <w:spacing w:line="276" w:lineRule="auto"/>
              <w:jc w:val="left"/>
              <w:rPr>
                <w:rFonts w:ascii="Times New Roman" w:hAnsi="Times New Roman"/>
                <w:b/>
                <w:color w:val="365F91"/>
                <w:sz w:val="22"/>
              </w:rPr>
            </w:pPr>
            <w:r w:rsidRPr="009F5886">
              <w:rPr>
                <w:rFonts w:ascii="Times New Roman" w:hAnsi="Times New Roman"/>
                <w:b/>
                <w:color w:val="365F91"/>
                <w:sz w:val="22"/>
                <w:lang w:val="pl-PL"/>
              </w:rPr>
              <w:t xml:space="preserve">Da li su postojali problemi u preciznom obračunu finansijskih izdataka/prihoda? </w:t>
            </w:r>
            <w:proofErr w:type="spellStart"/>
            <w:r w:rsidRPr="009F5886">
              <w:rPr>
                <w:rFonts w:ascii="Times New Roman" w:hAnsi="Times New Roman"/>
                <w:b/>
                <w:color w:val="365F91"/>
                <w:sz w:val="22"/>
              </w:rPr>
              <w:t>Obrazložiti</w:t>
            </w:r>
            <w:proofErr w:type="spellEnd"/>
            <w:r w:rsidRPr="009F5886">
              <w:rPr>
                <w:rFonts w:ascii="Times New Roman" w:hAnsi="Times New Roman"/>
                <w:b/>
                <w:color w:val="365F91"/>
                <w:sz w:val="22"/>
              </w:rPr>
              <w:t>.</w:t>
            </w:r>
          </w:p>
          <w:p w14:paraId="77899014" w14:textId="2218EA2A" w:rsidR="00DA785B" w:rsidRPr="009F5886" w:rsidRDefault="00DA785B" w:rsidP="009F5886">
            <w:pPr>
              <w:pStyle w:val="ListParagraph"/>
              <w:numPr>
                <w:ilvl w:val="0"/>
                <w:numId w:val="4"/>
              </w:numPr>
              <w:spacing w:line="276" w:lineRule="auto"/>
              <w:jc w:val="left"/>
              <w:rPr>
                <w:rFonts w:ascii="Times New Roman" w:hAnsi="Times New Roman"/>
                <w:b/>
                <w:color w:val="365F91"/>
                <w:sz w:val="22"/>
                <w:lang w:val="pl-PL"/>
              </w:rPr>
            </w:pPr>
            <w:r w:rsidRPr="009F5886">
              <w:rPr>
                <w:rFonts w:ascii="Times New Roman" w:hAnsi="Times New Roman"/>
                <w:b/>
                <w:color w:val="365F91"/>
                <w:sz w:val="22"/>
                <w:lang w:val="pl-PL"/>
              </w:rPr>
              <w:t xml:space="preserve">Da li su postojale sugestije Ministarstva finansija </w:t>
            </w:r>
            <w:r w:rsidR="002A160D" w:rsidRPr="009F5886">
              <w:rPr>
                <w:rFonts w:ascii="Times New Roman" w:hAnsi="Times New Roman"/>
                <w:b/>
                <w:color w:val="365F91"/>
                <w:sz w:val="22"/>
                <w:lang w:val="pl-PL"/>
              </w:rPr>
              <w:t>na in</w:t>
            </w:r>
            <w:r w:rsidRPr="009F5886">
              <w:rPr>
                <w:rFonts w:ascii="Times New Roman" w:hAnsi="Times New Roman"/>
                <w:b/>
                <w:color w:val="365F91"/>
                <w:sz w:val="22"/>
                <w:lang w:val="pl-PL"/>
              </w:rPr>
              <w:t>i</w:t>
            </w:r>
            <w:r w:rsidR="002A160D" w:rsidRPr="009F5886">
              <w:rPr>
                <w:rFonts w:ascii="Times New Roman" w:hAnsi="Times New Roman"/>
                <w:b/>
                <w:color w:val="365F91"/>
                <w:sz w:val="22"/>
                <w:lang w:val="pl-PL"/>
              </w:rPr>
              <w:t>c</w:t>
            </w:r>
            <w:r w:rsidR="000A41F1" w:rsidRPr="009F5886">
              <w:rPr>
                <w:rFonts w:ascii="Times New Roman" w:hAnsi="Times New Roman"/>
                <w:b/>
                <w:color w:val="365F91"/>
                <w:sz w:val="22"/>
                <w:lang w:val="pl-PL"/>
              </w:rPr>
              <w:t>i</w:t>
            </w:r>
            <w:r w:rsidRPr="009F5886">
              <w:rPr>
                <w:rFonts w:ascii="Times New Roman" w:hAnsi="Times New Roman"/>
                <w:b/>
                <w:color w:val="365F91"/>
                <w:sz w:val="22"/>
                <w:lang w:val="pl-PL"/>
              </w:rPr>
              <w:t>jativu za donošenje predloga propisa?</w:t>
            </w:r>
          </w:p>
          <w:p w14:paraId="73693EC2" w14:textId="77777777" w:rsidR="00DA785B" w:rsidRPr="009F5886" w:rsidRDefault="00DA785B" w:rsidP="009F5886">
            <w:pPr>
              <w:pStyle w:val="ListParagraph"/>
              <w:numPr>
                <w:ilvl w:val="0"/>
                <w:numId w:val="4"/>
              </w:numPr>
              <w:spacing w:line="276" w:lineRule="auto"/>
              <w:jc w:val="left"/>
              <w:rPr>
                <w:rFonts w:ascii="Times New Roman" w:hAnsi="Times New Roman"/>
                <w:b/>
                <w:color w:val="365F91"/>
                <w:sz w:val="22"/>
              </w:rPr>
            </w:pPr>
            <w:r w:rsidRPr="009F5886">
              <w:rPr>
                <w:rFonts w:ascii="Times New Roman" w:hAnsi="Times New Roman"/>
                <w:b/>
                <w:color w:val="365F91"/>
                <w:sz w:val="22"/>
                <w:lang w:val="pl-PL"/>
              </w:rPr>
              <w:t xml:space="preserve">Da li su dobijene primjedbe implementirane u tekst propisa? </w:t>
            </w:r>
            <w:proofErr w:type="spellStart"/>
            <w:r w:rsidRPr="009F5886">
              <w:rPr>
                <w:rFonts w:ascii="Times New Roman" w:hAnsi="Times New Roman"/>
                <w:b/>
                <w:color w:val="365F91"/>
                <w:sz w:val="22"/>
              </w:rPr>
              <w:t>Obrazložiti</w:t>
            </w:r>
            <w:proofErr w:type="spellEnd"/>
            <w:r w:rsidRPr="009F5886">
              <w:rPr>
                <w:rFonts w:ascii="Times New Roman" w:hAnsi="Times New Roman"/>
                <w:b/>
                <w:color w:val="365F91"/>
                <w:sz w:val="22"/>
              </w:rPr>
              <w:t>.</w:t>
            </w:r>
          </w:p>
        </w:tc>
      </w:tr>
      <w:tr w:rsidR="00DA785B" w:rsidRPr="009F5886" w14:paraId="79FEAF29" w14:textId="77777777" w:rsidTr="00F57DEB">
        <w:tc>
          <w:tcPr>
            <w:tcW w:w="10250" w:type="dxa"/>
            <w:gridSpan w:val="2"/>
            <w:tcBorders>
              <w:top w:val="single" w:sz="8" w:space="0" w:color="C0C0C0"/>
              <w:left w:val="single" w:sz="8" w:space="0" w:color="C0C0C0"/>
              <w:bottom w:val="single" w:sz="8" w:space="0" w:color="C0C0C0"/>
              <w:right w:val="single" w:sz="8" w:space="0" w:color="C0C0C0"/>
            </w:tcBorders>
            <w:shd w:val="clear" w:color="auto" w:fill="auto"/>
          </w:tcPr>
          <w:p w14:paraId="7919014E" w14:textId="77777777" w:rsidR="00210BBF" w:rsidRPr="009F5886" w:rsidRDefault="00210BBF" w:rsidP="009F5886">
            <w:pPr>
              <w:spacing w:line="276" w:lineRule="auto"/>
              <w:rPr>
                <w:rFonts w:ascii="Times New Roman" w:hAnsi="Times New Roman"/>
                <w:color w:val="000000" w:themeColor="text1"/>
                <w:sz w:val="22"/>
                <w:lang w:val="pl-PL"/>
              </w:rPr>
            </w:pPr>
          </w:p>
          <w:p w14:paraId="00DF23EA" w14:textId="5964584C" w:rsidR="006B352B" w:rsidRPr="009F5886" w:rsidRDefault="00F94075" w:rsidP="009F5886">
            <w:pPr>
              <w:spacing w:line="276" w:lineRule="auto"/>
              <w:rPr>
                <w:rFonts w:ascii="Times New Roman" w:hAnsi="Times New Roman"/>
                <w:color w:val="000000" w:themeColor="text1"/>
                <w:sz w:val="22"/>
                <w:lang w:val="pl-PL"/>
              </w:rPr>
            </w:pPr>
            <w:r w:rsidRPr="009F5886">
              <w:rPr>
                <w:rFonts w:ascii="Times New Roman" w:hAnsi="Times New Roman"/>
                <w:color w:val="000000" w:themeColor="text1"/>
                <w:sz w:val="22"/>
                <w:lang w:val="pl-PL"/>
              </w:rPr>
              <w:t>Za impl</w:t>
            </w:r>
            <w:r w:rsidR="004F5678" w:rsidRPr="009F5886">
              <w:rPr>
                <w:rFonts w:ascii="Times New Roman" w:hAnsi="Times New Roman"/>
                <w:color w:val="000000" w:themeColor="text1"/>
                <w:sz w:val="22"/>
                <w:lang w:val="pl-PL"/>
              </w:rPr>
              <w:t xml:space="preserve">ementaciju propisa </w:t>
            </w:r>
            <w:r w:rsidR="000F0E14" w:rsidRPr="009F5886">
              <w:rPr>
                <w:rFonts w:ascii="Times New Roman" w:hAnsi="Times New Roman"/>
                <w:color w:val="000000" w:themeColor="text1"/>
                <w:sz w:val="22"/>
                <w:lang w:val="pl-PL"/>
              </w:rPr>
              <w:t>nijesu</w:t>
            </w:r>
            <w:r w:rsidR="004F5678" w:rsidRPr="009F5886">
              <w:rPr>
                <w:rFonts w:ascii="Times New Roman" w:hAnsi="Times New Roman"/>
                <w:color w:val="000000" w:themeColor="text1"/>
                <w:sz w:val="22"/>
                <w:lang w:val="pl-PL"/>
              </w:rPr>
              <w:t xml:space="preserve"> potrebna</w:t>
            </w:r>
            <w:r w:rsidRPr="009F5886">
              <w:rPr>
                <w:rFonts w:ascii="Times New Roman" w:hAnsi="Times New Roman"/>
                <w:color w:val="000000" w:themeColor="text1"/>
                <w:sz w:val="22"/>
                <w:lang w:val="pl-PL"/>
              </w:rPr>
              <w:t xml:space="preserve"> izdvajanja</w:t>
            </w:r>
            <w:r w:rsidR="007A1D31" w:rsidRPr="009F5886">
              <w:rPr>
                <w:rFonts w:ascii="Times New Roman" w:hAnsi="Times New Roman"/>
                <w:color w:val="000000" w:themeColor="text1"/>
                <w:sz w:val="22"/>
                <w:lang w:val="pl-PL"/>
              </w:rPr>
              <w:t xml:space="preserve"> iz budžeta</w:t>
            </w:r>
            <w:r w:rsidR="003A521E" w:rsidRPr="009F5886">
              <w:rPr>
                <w:rFonts w:ascii="Times New Roman" w:hAnsi="Times New Roman"/>
                <w:color w:val="000000" w:themeColor="text1"/>
                <w:sz w:val="22"/>
                <w:lang w:val="pl-PL"/>
              </w:rPr>
              <w:t>.</w:t>
            </w:r>
            <w:r w:rsidR="007A1D31" w:rsidRPr="009F5886">
              <w:rPr>
                <w:rFonts w:ascii="Times New Roman" w:hAnsi="Times New Roman"/>
                <w:color w:val="000000" w:themeColor="text1"/>
                <w:sz w:val="22"/>
                <w:lang w:val="pl-PL"/>
              </w:rPr>
              <w:t xml:space="preserve"> </w:t>
            </w:r>
          </w:p>
          <w:p w14:paraId="4466F378" w14:textId="7C9ACAD5" w:rsidR="00DA073E" w:rsidRPr="0012610A" w:rsidRDefault="006B352B" w:rsidP="0012610A">
            <w:pPr>
              <w:spacing w:line="276" w:lineRule="auto"/>
              <w:rPr>
                <w:rFonts w:ascii="Times New Roman" w:hAnsi="Times New Roman"/>
                <w:color w:val="000000" w:themeColor="text1"/>
                <w:sz w:val="22"/>
                <w:lang w:val="pl-PL"/>
              </w:rPr>
            </w:pPr>
            <w:r w:rsidRPr="009F5886">
              <w:rPr>
                <w:rFonts w:ascii="Times New Roman" w:hAnsi="Times New Roman"/>
                <w:color w:val="000000" w:themeColor="text1"/>
                <w:sz w:val="22"/>
                <w:lang w:val="pl-PL"/>
              </w:rPr>
              <w:t>Implementacijom navedenog propisa ne proizilaze međunarodne finansijske obaveze.</w:t>
            </w:r>
            <w:r w:rsidR="002A160D" w:rsidRPr="009F5886">
              <w:rPr>
                <w:rFonts w:ascii="Times New Roman" w:hAnsi="Times New Roman"/>
                <w:b/>
                <w:color w:val="365F91"/>
                <w:sz w:val="22"/>
                <w:lang w:val="pl-PL"/>
              </w:rPr>
              <w:tab/>
            </w:r>
          </w:p>
          <w:p w14:paraId="49CBBBD2" w14:textId="77777777" w:rsidR="00715879" w:rsidRPr="00715879" w:rsidRDefault="00715879" w:rsidP="00715879">
            <w:pPr>
              <w:spacing w:line="276" w:lineRule="auto"/>
              <w:rPr>
                <w:rFonts w:ascii="Times New Roman" w:hAnsi="Times New Roman"/>
                <w:color w:val="000000" w:themeColor="text1"/>
                <w:sz w:val="22"/>
                <w:lang w:val="pl-PL"/>
              </w:rPr>
            </w:pPr>
            <w:r w:rsidRPr="00715879">
              <w:rPr>
                <w:rFonts w:ascii="Times New Roman" w:hAnsi="Times New Roman"/>
                <w:color w:val="000000" w:themeColor="text1"/>
                <w:sz w:val="22"/>
                <w:lang w:val="pl-PL"/>
              </w:rPr>
              <w:t>Pozitivni uticaji donošenja propisa su:</w:t>
            </w:r>
          </w:p>
          <w:p w14:paraId="27F13EBB" w14:textId="1B1A1670" w:rsidR="00715879" w:rsidRPr="00F57DEB" w:rsidRDefault="00715879" w:rsidP="00F57DEB">
            <w:pPr>
              <w:pStyle w:val="ListParagraph"/>
              <w:numPr>
                <w:ilvl w:val="0"/>
                <w:numId w:val="25"/>
              </w:numPr>
              <w:spacing w:line="276" w:lineRule="auto"/>
              <w:rPr>
                <w:rFonts w:ascii="Times New Roman" w:hAnsi="Times New Roman"/>
                <w:color w:val="000000" w:themeColor="text1"/>
                <w:sz w:val="22"/>
                <w:lang w:val="pl-PL"/>
              </w:rPr>
            </w:pPr>
            <w:r w:rsidRPr="00F57DEB">
              <w:rPr>
                <w:rFonts w:ascii="Times New Roman" w:hAnsi="Times New Roman"/>
                <w:color w:val="000000" w:themeColor="text1"/>
                <w:sz w:val="22"/>
                <w:lang w:val="pl-PL"/>
              </w:rPr>
              <w:t xml:space="preserve">uvećanje prihoda Budžeta Crne Gore u visini od cca </w:t>
            </w:r>
            <w:r w:rsidR="00B0046B">
              <w:rPr>
                <w:rFonts w:ascii="Times New Roman" w:hAnsi="Times New Roman"/>
                <w:color w:val="000000" w:themeColor="text1"/>
                <w:sz w:val="22"/>
                <w:lang w:val="pl-PL"/>
              </w:rPr>
              <w:t>3-</w:t>
            </w:r>
            <w:r w:rsidR="00C96D54" w:rsidRPr="00F57DEB">
              <w:rPr>
                <w:rFonts w:ascii="Times New Roman" w:hAnsi="Times New Roman"/>
                <w:color w:val="000000" w:themeColor="text1"/>
                <w:sz w:val="22"/>
                <w:lang w:val="pl-PL"/>
              </w:rPr>
              <w:t>4</w:t>
            </w:r>
            <w:r w:rsidRPr="00F57DEB">
              <w:rPr>
                <w:rFonts w:ascii="Times New Roman" w:hAnsi="Times New Roman"/>
                <w:color w:val="000000" w:themeColor="text1"/>
                <w:sz w:val="22"/>
                <w:lang w:val="pl-PL"/>
              </w:rPr>
              <w:t xml:space="preserve"> mil. € na godišnjem nivou;</w:t>
            </w:r>
          </w:p>
          <w:p w14:paraId="6D0064CC" w14:textId="07C6A5A8" w:rsidR="00715879" w:rsidRPr="00F57DEB" w:rsidRDefault="00715879" w:rsidP="00F57DEB">
            <w:pPr>
              <w:pStyle w:val="ListParagraph"/>
              <w:numPr>
                <w:ilvl w:val="0"/>
                <w:numId w:val="25"/>
              </w:numPr>
              <w:spacing w:line="276" w:lineRule="auto"/>
              <w:rPr>
                <w:rFonts w:ascii="Times New Roman" w:hAnsi="Times New Roman"/>
                <w:color w:val="000000" w:themeColor="text1"/>
                <w:sz w:val="22"/>
                <w:lang w:val="pl-PL"/>
              </w:rPr>
            </w:pPr>
            <w:r w:rsidRPr="00F57DEB">
              <w:rPr>
                <w:rFonts w:ascii="Times New Roman" w:hAnsi="Times New Roman"/>
                <w:color w:val="000000" w:themeColor="text1"/>
                <w:sz w:val="22"/>
                <w:lang w:val="pl-PL"/>
              </w:rPr>
              <w:t>usklađivanje sa EU direktivama;</w:t>
            </w:r>
          </w:p>
          <w:p w14:paraId="4327D048" w14:textId="6ACDC01F" w:rsidR="00715879" w:rsidRPr="00F57DEB" w:rsidRDefault="00715879" w:rsidP="00F57DEB">
            <w:pPr>
              <w:pStyle w:val="ListParagraph"/>
              <w:numPr>
                <w:ilvl w:val="0"/>
                <w:numId w:val="25"/>
              </w:numPr>
              <w:spacing w:line="276" w:lineRule="auto"/>
              <w:rPr>
                <w:rFonts w:ascii="Times New Roman" w:hAnsi="Times New Roman"/>
                <w:color w:val="000000" w:themeColor="text1"/>
                <w:sz w:val="22"/>
                <w:lang w:val="pl-PL"/>
              </w:rPr>
            </w:pPr>
            <w:r w:rsidRPr="00F57DEB">
              <w:rPr>
                <w:rFonts w:ascii="Times New Roman" w:hAnsi="Times New Roman"/>
                <w:color w:val="000000" w:themeColor="text1"/>
                <w:sz w:val="22"/>
                <w:lang w:val="pl-PL"/>
              </w:rPr>
              <w:t>uvođenjem prefiksa "ME", PDV broj je usklađen sa EU standardima, čime se omogućava usklađivanje sa EU standardima izgleda PDV broja i uvode preduslovi za buduću digitalizaciju sistema i razmjena podataka.</w:t>
            </w:r>
          </w:p>
          <w:p w14:paraId="696E42D4" w14:textId="0F490F77" w:rsidR="00715879" w:rsidRPr="00715879" w:rsidRDefault="00715879" w:rsidP="00715879">
            <w:pPr>
              <w:spacing w:line="276" w:lineRule="auto"/>
              <w:rPr>
                <w:rFonts w:ascii="Times New Roman" w:hAnsi="Times New Roman"/>
                <w:color w:val="000000" w:themeColor="text1"/>
                <w:sz w:val="22"/>
                <w:lang w:val="pl-PL"/>
              </w:rPr>
            </w:pPr>
            <w:r w:rsidRPr="00715879">
              <w:rPr>
                <w:rFonts w:ascii="Times New Roman" w:hAnsi="Times New Roman"/>
                <w:color w:val="000000" w:themeColor="text1"/>
                <w:sz w:val="22"/>
                <w:lang w:val="pl-PL"/>
              </w:rPr>
              <w:t xml:space="preserve">Predloženim zakonskim izmjenama, oporezivanje građevinskog zemljišta uz novoizgrađene objekte, prihodi Budžeta Crne Gore uvećaće se u iznosu od cca </w:t>
            </w:r>
            <w:r w:rsidR="00A040A2">
              <w:rPr>
                <w:rFonts w:ascii="Times New Roman" w:hAnsi="Times New Roman"/>
                <w:color w:val="000000" w:themeColor="text1"/>
                <w:sz w:val="22"/>
                <w:lang w:val="pl-PL"/>
              </w:rPr>
              <w:t>3</w:t>
            </w:r>
            <w:r w:rsidRPr="00715879">
              <w:rPr>
                <w:rFonts w:ascii="Times New Roman" w:hAnsi="Times New Roman"/>
                <w:color w:val="000000" w:themeColor="text1"/>
                <w:sz w:val="22"/>
                <w:lang w:val="pl-PL"/>
              </w:rPr>
              <w:t>-</w:t>
            </w:r>
            <w:r w:rsidR="00A040A2">
              <w:rPr>
                <w:rFonts w:ascii="Times New Roman" w:hAnsi="Times New Roman"/>
                <w:color w:val="000000" w:themeColor="text1"/>
                <w:sz w:val="22"/>
                <w:lang w:val="pl-PL"/>
              </w:rPr>
              <w:t>4</w:t>
            </w:r>
            <w:r w:rsidRPr="00715879">
              <w:rPr>
                <w:rFonts w:ascii="Times New Roman" w:hAnsi="Times New Roman"/>
                <w:color w:val="000000" w:themeColor="text1"/>
                <w:sz w:val="22"/>
                <w:lang w:val="pl-PL"/>
              </w:rPr>
              <w:t xml:space="preserve"> mil. € na godišnjem nivou. </w:t>
            </w:r>
          </w:p>
          <w:p w14:paraId="4606B5B4" w14:textId="77777777" w:rsidR="00715879" w:rsidRPr="00715879" w:rsidRDefault="00715879" w:rsidP="00715879">
            <w:pPr>
              <w:spacing w:line="276" w:lineRule="auto"/>
              <w:rPr>
                <w:rFonts w:ascii="Times New Roman" w:hAnsi="Times New Roman"/>
                <w:color w:val="000000" w:themeColor="text1"/>
                <w:sz w:val="22"/>
                <w:lang w:val="pl-PL"/>
              </w:rPr>
            </w:pPr>
            <w:r w:rsidRPr="00715879">
              <w:rPr>
                <w:rFonts w:ascii="Times New Roman" w:hAnsi="Times New Roman"/>
                <w:color w:val="000000" w:themeColor="text1"/>
                <w:sz w:val="22"/>
                <w:lang w:val="pl-PL"/>
              </w:rPr>
              <w:t>Za procjenu efekata mjere korišteni su podaci iz 2024. godine, kada je završeno 1.676 stanova ukupne površine 98.000 m². Analiza je obuhvatila tri scenarija sa različitim prosječnim cijenama kvadrata, uz pretpostavku da zemljište čini 15% vrijednosti. Izračunati su prihodi od PDV-a prije i nakon uvođenja norme kojom se oporezuje i građevinsko zemljište zajedno sa nekretninom pri prvom prometu (stopa 21%). Fiskalni efekat mjere je direktan i ne zavisi od toga ko snosi trošak PDV-a, a dodatni prihod budžeta procijenjen je konzervativno, bez uvođenja novih administrativnih troškova.</w:t>
            </w:r>
          </w:p>
          <w:p w14:paraId="4B724645" w14:textId="0A758972" w:rsidR="0077200C" w:rsidRPr="009F5886" w:rsidRDefault="00715879" w:rsidP="00715879">
            <w:pPr>
              <w:spacing w:line="276" w:lineRule="auto"/>
              <w:rPr>
                <w:rFonts w:ascii="Times New Roman" w:hAnsi="Times New Roman"/>
                <w:color w:val="000000" w:themeColor="text1"/>
                <w:sz w:val="22"/>
                <w:lang w:val="pl-PL"/>
              </w:rPr>
            </w:pPr>
            <w:r w:rsidRPr="00715879">
              <w:rPr>
                <w:rFonts w:ascii="Times New Roman" w:hAnsi="Times New Roman"/>
                <w:color w:val="000000" w:themeColor="text1"/>
                <w:sz w:val="22"/>
                <w:lang w:val="pl-PL"/>
              </w:rPr>
              <w:t xml:space="preserve">Nadalje, predloženim zakonskim rješenjem vrši se djelimično usklađivanje Direktivom 2006/112/EU u vezi oporezivanja građevinskog zemljišta. Direktiva 2006/112/EZ u članu 135 pravi jasnu razliku kada je riječ o oporezivanju zemljišta. Neizgrađeno zemljište može biti oslobođeno od PDV-a, dok se građevinsko zemljište smatra oporezivom transakcijom. Ova razlika je od suštinskog značaja jer se građevinsko zemljište tretira kao dio ekonomske aktivnosti, pa se njegova prodaja oporezuje u skladu sa pravilima Evropske unije. </w:t>
            </w:r>
            <w:r w:rsidR="00A0451D" w:rsidRPr="009F5886">
              <w:rPr>
                <w:rFonts w:ascii="Times New Roman" w:hAnsi="Times New Roman"/>
                <w:color w:val="000000" w:themeColor="text1"/>
                <w:sz w:val="22"/>
                <w:lang w:val="pl-PL"/>
              </w:rPr>
              <w:t>Nijesu</w:t>
            </w:r>
            <w:r w:rsidR="0077200C" w:rsidRPr="009F5886">
              <w:rPr>
                <w:rFonts w:ascii="Times New Roman" w:hAnsi="Times New Roman"/>
                <w:color w:val="000000" w:themeColor="text1"/>
                <w:sz w:val="22"/>
                <w:lang w:val="pl-PL"/>
              </w:rPr>
              <w:t xml:space="preserve"> postojale sugestije Ministarstva finansija na inicijativu za donošenje predloga propisa.</w:t>
            </w:r>
          </w:p>
        </w:tc>
      </w:tr>
      <w:tr w:rsidR="00DA785B" w:rsidRPr="009F5886" w14:paraId="167278B0" w14:textId="77777777" w:rsidTr="00F57DEB">
        <w:tc>
          <w:tcPr>
            <w:tcW w:w="10250" w:type="dxa"/>
            <w:gridSpan w:val="2"/>
            <w:tcBorders>
              <w:top w:val="single" w:sz="8" w:space="0" w:color="C0C0C0"/>
              <w:left w:val="single" w:sz="8" w:space="0" w:color="C0C0C0"/>
              <w:bottom w:val="single" w:sz="8" w:space="0" w:color="C0C0C0"/>
              <w:right w:val="single" w:sz="8" w:space="0" w:color="C0C0C0"/>
            </w:tcBorders>
            <w:shd w:val="clear" w:color="auto" w:fill="D2EAF1"/>
          </w:tcPr>
          <w:p w14:paraId="3A92BFE4" w14:textId="77777777" w:rsidR="00DA785B" w:rsidRPr="009F5886" w:rsidRDefault="00DA785B" w:rsidP="009F5886">
            <w:pPr>
              <w:spacing w:line="276" w:lineRule="auto"/>
              <w:rPr>
                <w:rFonts w:ascii="Times New Roman" w:hAnsi="Times New Roman"/>
                <w:b/>
                <w:color w:val="365F91"/>
                <w:sz w:val="22"/>
                <w:lang w:val="pl-PL"/>
              </w:rPr>
            </w:pPr>
            <w:r w:rsidRPr="009F5886">
              <w:rPr>
                <w:rFonts w:ascii="Times New Roman" w:hAnsi="Times New Roman"/>
                <w:b/>
                <w:color w:val="365F91"/>
                <w:sz w:val="22"/>
                <w:lang w:val="pl-PL"/>
              </w:rPr>
              <w:t>6</w:t>
            </w:r>
            <w:r w:rsidR="00012D55" w:rsidRPr="009F5886">
              <w:rPr>
                <w:rFonts w:ascii="Times New Roman" w:hAnsi="Times New Roman"/>
                <w:b/>
                <w:color w:val="365F91"/>
                <w:sz w:val="22"/>
                <w:lang w:val="pl-PL"/>
              </w:rPr>
              <w:t>.</w:t>
            </w:r>
            <w:r w:rsidRPr="009F5886">
              <w:rPr>
                <w:rFonts w:ascii="Times New Roman" w:hAnsi="Times New Roman"/>
                <w:b/>
                <w:color w:val="365F91"/>
                <w:sz w:val="22"/>
                <w:lang w:val="pl-PL"/>
              </w:rPr>
              <w:t xml:space="preserve"> Konsultacije zainteresovanih strana</w:t>
            </w:r>
          </w:p>
          <w:p w14:paraId="2AD85B61" w14:textId="77777777" w:rsidR="00DA785B" w:rsidRPr="009F5886" w:rsidRDefault="00DA785B" w:rsidP="009F5886">
            <w:pPr>
              <w:pStyle w:val="ListParagraph"/>
              <w:numPr>
                <w:ilvl w:val="0"/>
                <w:numId w:val="4"/>
              </w:numPr>
              <w:spacing w:line="276" w:lineRule="auto"/>
              <w:rPr>
                <w:rFonts w:ascii="Times New Roman" w:hAnsi="Times New Roman"/>
                <w:b/>
                <w:color w:val="365F91"/>
                <w:sz w:val="22"/>
                <w:lang w:val="pl-PL"/>
              </w:rPr>
            </w:pPr>
            <w:r w:rsidRPr="009F5886">
              <w:rPr>
                <w:rFonts w:ascii="Times New Roman" w:hAnsi="Times New Roman"/>
                <w:b/>
                <w:color w:val="365F91"/>
                <w:sz w:val="22"/>
                <w:lang w:val="pl-PL"/>
              </w:rPr>
              <w:t>naznačiti da li je korišćena eksterna ekspertiza i ako da, kako</w:t>
            </w:r>
          </w:p>
          <w:p w14:paraId="49367201" w14:textId="77777777" w:rsidR="00DA785B" w:rsidRPr="009F5886" w:rsidRDefault="00DA785B" w:rsidP="009F5886">
            <w:pPr>
              <w:pStyle w:val="ListParagraph"/>
              <w:numPr>
                <w:ilvl w:val="0"/>
                <w:numId w:val="4"/>
              </w:numPr>
              <w:spacing w:line="276" w:lineRule="auto"/>
              <w:rPr>
                <w:rFonts w:ascii="Times New Roman" w:hAnsi="Times New Roman"/>
                <w:b/>
                <w:color w:val="365F91"/>
                <w:sz w:val="22"/>
                <w:lang w:val="pl-PL"/>
              </w:rPr>
            </w:pPr>
            <w:r w:rsidRPr="009F5886">
              <w:rPr>
                <w:rFonts w:ascii="Times New Roman" w:hAnsi="Times New Roman"/>
                <w:b/>
                <w:color w:val="365F91"/>
                <w:sz w:val="22"/>
                <w:lang w:val="pl-PL"/>
              </w:rPr>
              <w:t>naznačiti koje su grupe zainteresovanih strana konsultovane, u kojoj fazi RIA procesa i kako (javne ili ciljane konsultacije)</w:t>
            </w:r>
          </w:p>
          <w:p w14:paraId="48C05B11" w14:textId="77777777" w:rsidR="00DA785B" w:rsidRPr="009F5886" w:rsidRDefault="00DA785B" w:rsidP="009F5886">
            <w:pPr>
              <w:pStyle w:val="ListParagraph"/>
              <w:numPr>
                <w:ilvl w:val="0"/>
                <w:numId w:val="4"/>
              </w:numPr>
              <w:spacing w:line="276" w:lineRule="auto"/>
              <w:rPr>
                <w:rFonts w:ascii="Times New Roman" w:hAnsi="Times New Roman"/>
                <w:b/>
                <w:color w:val="365F91"/>
                <w:sz w:val="22"/>
                <w:lang w:val="pl-PL"/>
              </w:rPr>
            </w:pPr>
            <w:r w:rsidRPr="009F5886">
              <w:rPr>
                <w:rFonts w:ascii="Times New Roman" w:hAnsi="Times New Roman"/>
                <w:b/>
                <w:color w:val="365F91"/>
                <w:sz w:val="22"/>
                <w:lang w:val="pl-PL"/>
              </w:rPr>
              <w:t>naznačiti glavne rezultate, i kako je input zainteresovanih strana bio uzet u obzir ili zašto nije bio uzet u obzir</w:t>
            </w:r>
          </w:p>
        </w:tc>
      </w:tr>
      <w:tr w:rsidR="00DA785B" w:rsidRPr="009F5886" w14:paraId="75BBFE9C" w14:textId="77777777" w:rsidTr="00F57DEB">
        <w:tc>
          <w:tcPr>
            <w:tcW w:w="10250" w:type="dxa"/>
            <w:gridSpan w:val="2"/>
            <w:tcBorders>
              <w:top w:val="single" w:sz="8" w:space="0" w:color="C0C0C0"/>
              <w:left w:val="single" w:sz="8" w:space="0" w:color="C0C0C0"/>
              <w:bottom w:val="single" w:sz="8" w:space="0" w:color="C0C0C0"/>
              <w:right w:val="single" w:sz="8" w:space="0" w:color="C0C0C0"/>
            </w:tcBorders>
            <w:shd w:val="clear" w:color="auto" w:fill="auto"/>
          </w:tcPr>
          <w:p w14:paraId="5E932AC3" w14:textId="77777777" w:rsidR="00210BBF" w:rsidRPr="009F5886" w:rsidRDefault="00210BBF" w:rsidP="009F5886">
            <w:pPr>
              <w:spacing w:line="276" w:lineRule="auto"/>
              <w:rPr>
                <w:rFonts w:ascii="Times New Roman" w:hAnsi="Times New Roman"/>
                <w:color w:val="000000" w:themeColor="text1"/>
                <w:sz w:val="22"/>
                <w:lang w:val="pl-PL"/>
              </w:rPr>
            </w:pPr>
          </w:p>
          <w:p w14:paraId="04AC6817" w14:textId="37D0C144" w:rsidR="00121B72" w:rsidRPr="009F5886" w:rsidRDefault="008B48DA" w:rsidP="009F5886">
            <w:pPr>
              <w:spacing w:line="276" w:lineRule="auto"/>
              <w:rPr>
                <w:rFonts w:ascii="Times New Roman" w:hAnsi="Times New Roman"/>
                <w:color w:val="000000" w:themeColor="text1"/>
                <w:sz w:val="22"/>
                <w:lang w:val="pl-PL"/>
              </w:rPr>
            </w:pPr>
            <w:r w:rsidRPr="009F5886">
              <w:rPr>
                <w:rFonts w:ascii="Times New Roman" w:hAnsi="Times New Roman"/>
                <w:color w:val="000000" w:themeColor="text1"/>
                <w:sz w:val="22"/>
                <w:lang w:val="pl-PL"/>
              </w:rPr>
              <w:t xml:space="preserve">Prilikom izrade propisa </w:t>
            </w:r>
            <w:r w:rsidR="008905BE" w:rsidRPr="009F5886">
              <w:rPr>
                <w:rFonts w:ascii="Times New Roman" w:hAnsi="Times New Roman"/>
                <w:color w:val="000000" w:themeColor="text1"/>
                <w:sz w:val="22"/>
                <w:lang w:val="pl-PL"/>
              </w:rPr>
              <w:t>nije korišćena eksterna ekspertiza.</w:t>
            </w:r>
          </w:p>
          <w:p w14:paraId="5FD38B63" w14:textId="77777777" w:rsidR="00121B72" w:rsidRPr="009F5886" w:rsidRDefault="00121B72" w:rsidP="009F5886">
            <w:pPr>
              <w:spacing w:line="276" w:lineRule="auto"/>
              <w:rPr>
                <w:rFonts w:ascii="Times New Roman" w:hAnsi="Times New Roman"/>
                <w:color w:val="000000" w:themeColor="text1"/>
                <w:sz w:val="22"/>
                <w:lang w:val="pl-PL"/>
              </w:rPr>
            </w:pPr>
          </w:p>
          <w:p w14:paraId="7D755E4F" w14:textId="2155AA61" w:rsidR="0077200C" w:rsidRPr="009F5886" w:rsidRDefault="0013325A" w:rsidP="009F5886">
            <w:pPr>
              <w:spacing w:line="276" w:lineRule="auto"/>
              <w:rPr>
                <w:rFonts w:ascii="Times New Roman" w:hAnsi="Times New Roman"/>
                <w:color w:val="000000" w:themeColor="text1"/>
                <w:sz w:val="22"/>
                <w:lang w:val="pl-PL"/>
              </w:rPr>
            </w:pPr>
            <w:r w:rsidRPr="009F5886">
              <w:rPr>
                <w:rFonts w:ascii="Times New Roman" w:hAnsi="Times New Roman"/>
                <w:color w:val="000000" w:themeColor="text1"/>
                <w:sz w:val="22"/>
                <w:lang w:val="pl-PL"/>
              </w:rPr>
              <w:t xml:space="preserve">Predlog zakona o izmjenama i dopuni Zakona o porezu na dodatu vrijednost </w:t>
            </w:r>
            <w:r w:rsidR="00250460">
              <w:rPr>
                <w:rFonts w:ascii="Times New Roman" w:hAnsi="Times New Roman"/>
                <w:color w:val="000000" w:themeColor="text1"/>
                <w:sz w:val="22"/>
                <w:lang w:val="pl-PL"/>
              </w:rPr>
              <w:t>biće</w:t>
            </w:r>
            <w:r w:rsidR="0055310B" w:rsidRPr="009F5886">
              <w:rPr>
                <w:rFonts w:ascii="Times New Roman" w:hAnsi="Times New Roman"/>
                <w:color w:val="000000" w:themeColor="text1"/>
                <w:sz w:val="22"/>
                <w:lang w:val="pl-PL"/>
              </w:rPr>
              <w:t xml:space="preserve"> </w:t>
            </w:r>
            <w:r w:rsidRPr="009F5886">
              <w:rPr>
                <w:rFonts w:ascii="Times New Roman" w:hAnsi="Times New Roman"/>
                <w:color w:val="000000" w:themeColor="text1"/>
                <w:sz w:val="22"/>
                <w:lang w:val="pl-PL"/>
              </w:rPr>
              <w:t>predmet javne rasprave</w:t>
            </w:r>
            <w:r w:rsidR="0055310B" w:rsidRPr="009F5886">
              <w:rPr>
                <w:rFonts w:ascii="Times New Roman" w:hAnsi="Times New Roman"/>
                <w:color w:val="000000" w:themeColor="text1"/>
                <w:sz w:val="22"/>
                <w:lang w:val="pl-PL"/>
              </w:rPr>
              <w:t>.</w:t>
            </w:r>
          </w:p>
          <w:p w14:paraId="781A2F89" w14:textId="77777777" w:rsidR="004F05AA" w:rsidRPr="009F5886" w:rsidRDefault="004F05AA" w:rsidP="009F5886">
            <w:pPr>
              <w:spacing w:line="276" w:lineRule="auto"/>
              <w:rPr>
                <w:rFonts w:ascii="Times New Roman" w:hAnsi="Times New Roman"/>
                <w:color w:val="000000" w:themeColor="text1"/>
                <w:sz w:val="22"/>
                <w:highlight w:val="yellow"/>
                <w:lang w:val="pl-PL"/>
              </w:rPr>
            </w:pPr>
          </w:p>
          <w:p w14:paraId="738CA5A7" w14:textId="799C3AB1" w:rsidR="004F05AA" w:rsidRPr="009F5886" w:rsidRDefault="0055310B" w:rsidP="009F5886">
            <w:pPr>
              <w:spacing w:line="276" w:lineRule="auto"/>
              <w:rPr>
                <w:rFonts w:ascii="Times New Roman" w:hAnsi="Times New Roman"/>
                <w:color w:val="000000" w:themeColor="text1"/>
                <w:sz w:val="22"/>
                <w:lang w:val="pl-PL"/>
              </w:rPr>
            </w:pPr>
            <w:r w:rsidRPr="009F5886">
              <w:rPr>
                <w:rFonts w:ascii="Times New Roman" w:hAnsi="Times New Roman"/>
                <w:color w:val="000000" w:themeColor="text1"/>
                <w:sz w:val="22"/>
                <w:lang w:val="pl-PL"/>
              </w:rPr>
              <w:t>Nakon sproved</w:t>
            </w:r>
            <w:r w:rsidR="00CE3E7C" w:rsidRPr="009F5886">
              <w:rPr>
                <w:rFonts w:ascii="Times New Roman" w:hAnsi="Times New Roman"/>
                <w:color w:val="000000" w:themeColor="text1"/>
                <w:sz w:val="22"/>
                <w:lang w:val="pl-PL"/>
              </w:rPr>
              <w:t>e</w:t>
            </w:r>
            <w:r w:rsidRPr="009F5886">
              <w:rPr>
                <w:rFonts w:ascii="Times New Roman" w:hAnsi="Times New Roman"/>
                <w:color w:val="000000" w:themeColor="text1"/>
                <w:sz w:val="22"/>
                <w:lang w:val="pl-PL"/>
              </w:rPr>
              <w:t xml:space="preserve">ne javne rasprave, u Izvještaju o sprovedenoj javnoj raspravi biće navedeni svi pristigli predlozi, primjedbe i sugestije, kao i pregled usvojenih odnosno odbijenih predloga. </w:t>
            </w:r>
          </w:p>
        </w:tc>
      </w:tr>
      <w:tr w:rsidR="00DA785B" w:rsidRPr="009F5886" w14:paraId="73C11559" w14:textId="77777777" w:rsidTr="00F57DEB">
        <w:trPr>
          <w:trHeight w:val="1285"/>
        </w:trPr>
        <w:tc>
          <w:tcPr>
            <w:tcW w:w="10250" w:type="dxa"/>
            <w:gridSpan w:val="2"/>
            <w:tcBorders>
              <w:top w:val="single" w:sz="8" w:space="0" w:color="C0C0C0"/>
              <w:left w:val="single" w:sz="8" w:space="0" w:color="C0C0C0"/>
              <w:bottom w:val="single" w:sz="8" w:space="0" w:color="C0C0C0"/>
              <w:right w:val="single" w:sz="8" w:space="0" w:color="C0C0C0"/>
            </w:tcBorders>
            <w:shd w:val="clear" w:color="auto" w:fill="D2EAF1"/>
          </w:tcPr>
          <w:p w14:paraId="4823AC1E" w14:textId="77777777" w:rsidR="00DA785B" w:rsidRPr="009F5886" w:rsidRDefault="00012D55" w:rsidP="009F5886">
            <w:pPr>
              <w:spacing w:line="276" w:lineRule="auto"/>
              <w:rPr>
                <w:rFonts w:ascii="Times New Roman" w:hAnsi="Times New Roman"/>
                <w:b/>
                <w:color w:val="365F91"/>
                <w:sz w:val="22"/>
              </w:rPr>
            </w:pPr>
            <w:r w:rsidRPr="009F5886">
              <w:rPr>
                <w:rFonts w:ascii="Times New Roman" w:hAnsi="Times New Roman"/>
                <w:b/>
                <w:color w:val="365F91"/>
                <w:sz w:val="22"/>
              </w:rPr>
              <w:lastRenderedPageBreak/>
              <w:t>7.</w:t>
            </w:r>
            <w:r w:rsidR="00DA785B" w:rsidRPr="009F5886">
              <w:rPr>
                <w:rFonts w:ascii="Times New Roman" w:hAnsi="Times New Roman"/>
                <w:b/>
                <w:color w:val="365F91"/>
                <w:sz w:val="22"/>
              </w:rPr>
              <w:t xml:space="preserve"> Monitoring </w:t>
            </w:r>
            <w:proofErr w:type="spellStart"/>
            <w:r w:rsidR="00DA785B" w:rsidRPr="009F5886">
              <w:rPr>
                <w:rFonts w:ascii="Times New Roman" w:hAnsi="Times New Roman"/>
                <w:b/>
                <w:color w:val="365F91"/>
                <w:sz w:val="22"/>
              </w:rPr>
              <w:t>i</w:t>
            </w:r>
            <w:proofErr w:type="spellEnd"/>
            <w:r w:rsidR="00DA785B" w:rsidRPr="009F5886">
              <w:rPr>
                <w:rFonts w:ascii="Times New Roman" w:hAnsi="Times New Roman"/>
                <w:b/>
                <w:color w:val="365F91"/>
                <w:sz w:val="22"/>
              </w:rPr>
              <w:t xml:space="preserve"> </w:t>
            </w:r>
            <w:proofErr w:type="spellStart"/>
            <w:r w:rsidR="00DA785B" w:rsidRPr="009F5886">
              <w:rPr>
                <w:rFonts w:ascii="Times New Roman" w:hAnsi="Times New Roman"/>
                <w:b/>
                <w:color w:val="365F91"/>
                <w:sz w:val="22"/>
              </w:rPr>
              <w:t>evaluacija</w:t>
            </w:r>
            <w:proofErr w:type="spellEnd"/>
          </w:p>
          <w:p w14:paraId="1B8EE812" w14:textId="77777777" w:rsidR="00DA785B" w:rsidRPr="009F5886" w:rsidRDefault="00DA785B" w:rsidP="009F5886">
            <w:pPr>
              <w:pStyle w:val="ListParagraph"/>
              <w:numPr>
                <w:ilvl w:val="0"/>
                <w:numId w:val="4"/>
              </w:numPr>
              <w:spacing w:line="276" w:lineRule="auto"/>
              <w:jc w:val="left"/>
              <w:rPr>
                <w:rFonts w:ascii="Times New Roman" w:hAnsi="Times New Roman"/>
                <w:b/>
                <w:color w:val="365F91"/>
                <w:sz w:val="22"/>
                <w:lang w:val="pl-PL"/>
              </w:rPr>
            </w:pPr>
            <w:r w:rsidRPr="009F5886">
              <w:rPr>
                <w:rFonts w:ascii="Times New Roman" w:hAnsi="Times New Roman"/>
                <w:b/>
                <w:color w:val="365F91"/>
                <w:sz w:val="22"/>
                <w:lang w:val="pl-PL"/>
              </w:rPr>
              <w:t xml:space="preserve">Koje su potencijalne prepreke za implementaciju propisa? </w:t>
            </w:r>
          </w:p>
          <w:p w14:paraId="5469C6F7" w14:textId="77777777" w:rsidR="00DA785B" w:rsidRPr="009F5886" w:rsidRDefault="00DA785B" w:rsidP="009F5886">
            <w:pPr>
              <w:pStyle w:val="ListParagraph"/>
              <w:numPr>
                <w:ilvl w:val="0"/>
                <w:numId w:val="4"/>
              </w:numPr>
              <w:spacing w:line="276" w:lineRule="auto"/>
              <w:jc w:val="left"/>
              <w:rPr>
                <w:rFonts w:ascii="Times New Roman" w:hAnsi="Times New Roman"/>
                <w:b/>
                <w:color w:val="365F91"/>
                <w:sz w:val="22"/>
                <w:lang w:val="nb-NO"/>
              </w:rPr>
            </w:pPr>
            <w:r w:rsidRPr="009F5886">
              <w:rPr>
                <w:rFonts w:ascii="Times New Roman" w:hAnsi="Times New Roman"/>
                <w:b/>
                <w:color w:val="365F91"/>
                <w:sz w:val="22"/>
                <w:lang w:val="nb-NO"/>
              </w:rPr>
              <w:t>Koje će mjere biti preduzete tokom primjene propisa da bi se ispunili ciljevi?</w:t>
            </w:r>
          </w:p>
          <w:p w14:paraId="7902D60E" w14:textId="77777777" w:rsidR="00DA785B" w:rsidRPr="009F5886" w:rsidRDefault="00DA785B" w:rsidP="009F5886">
            <w:pPr>
              <w:pStyle w:val="ListParagraph"/>
              <w:numPr>
                <w:ilvl w:val="0"/>
                <w:numId w:val="7"/>
              </w:numPr>
              <w:spacing w:line="276" w:lineRule="auto"/>
              <w:jc w:val="left"/>
              <w:rPr>
                <w:rFonts w:ascii="Times New Roman" w:hAnsi="Times New Roman"/>
                <w:b/>
                <w:color w:val="365F91"/>
                <w:sz w:val="22"/>
                <w:lang w:val="nb-NO"/>
              </w:rPr>
            </w:pPr>
            <w:r w:rsidRPr="009F5886">
              <w:rPr>
                <w:rFonts w:ascii="Times New Roman" w:hAnsi="Times New Roman"/>
                <w:b/>
                <w:color w:val="365F91"/>
                <w:sz w:val="22"/>
                <w:lang w:val="nb-NO"/>
              </w:rPr>
              <w:t>Koji su glavni indikatori prema kojima će se mjeriti ispunjenje ciljeva?</w:t>
            </w:r>
          </w:p>
          <w:p w14:paraId="7CDADF9A" w14:textId="77777777" w:rsidR="00DA785B" w:rsidRPr="009F5886" w:rsidRDefault="00DA785B" w:rsidP="009F5886">
            <w:pPr>
              <w:pStyle w:val="ListParagraph"/>
              <w:numPr>
                <w:ilvl w:val="0"/>
                <w:numId w:val="7"/>
              </w:numPr>
              <w:spacing w:line="276" w:lineRule="auto"/>
              <w:jc w:val="left"/>
              <w:rPr>
                <w:rFonts w:ascii="Times New Roman" w:hAnsi="Times New Roman"/>
                <w:b/>
                <w:color w:val="365F91"/>
                <w:sz w:val="22"/>
                <w:lang w:val="pl-PL"/>
              </w:rPr>
            </w:pPr>
            <w:r w:rsidRPr="009F5886">
              <w:rPr>
                <w:rFonts w:ascii="Times New Roman" w:hAnsi="Times New Roman"/>
                <w:b/>
                <w:color w:val="365F91"/>
                <w:sz w:val="22"/>
                <w:lang w:val="pl-PL"/>
              </w:rPr>
              <w:t>Ko će biti zadužen za sprovođenje monitoringa i evaluacije primjene propisa?</w:t>
            </w:r>
          </w:p>
        </w:tc>
      </w:tr>
      <w:tr w:rsidR="00DA785B" w:rsidRPr="009F5886" w14:paraId="764EECD1" w14:textId="77777777" w:rsidTr="00F57DEB">
        <w:tc>
          <w:tcPr>
            <w:tcW w:w="10250" w:type="dxa"/>
            <w:gridSpan w:val="2"/>
            <w:tcBorders>
              <w:top w:val="single" w:sz="8" w:space="0" w:color="C0C0C0"/>
              <w:left w:val="single" w:sz="8" w:space="0" w:color="C0C0C0"/>
              <w:bottom w:val="single" w:sz="8" w:space="0" w:color="C0C0C0"/>
              <w:right w:val="single" w:sz="8" w:space="0" w:color="C0C0C0"/>
            </w:tcBorders>
            <w:shd w:val="clear" w:color="auto" w:fill="auto"/>
          </w:tcPr>
          <w:p w14:paraId="44F9A236" w14:textId="77777777" w:rsidR="00210BBF" w:rsidRPr="009F5886" w:rsidRDefault="00210BBF" w:rsidP="009F5886">
            <w:pPr>
              <w:spacing w:line="276" w:lineRule="auto"/>
              <w:rPr>
                <w:rFonts w:ascii="Times New Roman" w:hAnsi="Times New Roman"/>
                <w:color w:val="000000" w:themeColor="text1"/>
                <w:sz w:val="22"/>
                <w:lang w:val="pl-PL"/>
              </w:rPr>
            </w:pPr>
          </w:p>
          <w:p w14:paraId="4111453D" w14:textId="2A795526" w:rsidR="0013325A" w:rsidRPr="009F5886" w:rsidRDefault="002206BB" w:rsidP="009F5886">
            <w:pPr>
              <w:spacing w:line="276" w:lineRule="auto"/>
              <w:rPr>
                <w:rFonts w:ascii="Times New Roman" w:hAnsi="Times New Roman"/>
                <w:color w:val="000000" w:themeColor="text1"/>
                <w:sz w:val="22"/>
                <w:lang w:val="pl-PL"/>
              </w:rPr>
            </w:pPr>
            <w:r w:rsidRPr="009F5886">
              <w:rPr>
                <w:rFonts w:ascii="Times New Roman" w:hAnsi="Times New Roman"/>
                <w:color w:val="000000" w:themeColor="text1"/>
                <w:sz w:val="22"/>
                <w:lang w:val="pl-PL"/>
              </w:rPr>
              <w:t>Ne postoje prepreke za imp</w:t>
            </w:r>
            <w:r w:rsidR="00313AB2" w:rsidRPr="009F5886">
              <w:rPr>
                <w:rFonts w:ascii="Times New Roman" w:hAnsi="Times New Roman"/>
                <w:color w:val="000000" w:themeColor="text1"/>
                <w:sz w:val="22"/>
                <w:lang w:val="pl-PL"/>
              </w:rPr>
              <w:t>le</w:t>
            </w:r>
            <w:r w:rsidRPr="009F5886">
              <w:rPr>
                <w:rFonts w:ascii="Times New Roman" w:hAnsi="Times New Roman"/>
                <w:color w:val="000000" w:themeColor="text1"/>
                <w:sz w:val="22"/>
                <w:lang w:val="pl-PL"/>
              </w:rPr>
              <w:t xml:space="preserve">mentaciju propisa. </w:t>
            </w:r>
          </w:p>
          <w:p w14:paraId="0BC46CF2" w14:textId="361BC51C" w:rsidR="005803A4" w:rsidRPr="009F5886" w:rsidRDefault="005803A4" w:rsidP="009F5886">
            <w:pPr>
              <w:spacing w:line="276" w:lineRule="auto"/>
              <w:rPr>
                <w:rFonts w:ascii="Times New Roman" w:hAnsi="Times New Roman"/>
                <w:color w:val="000000" w:themeColor="text1"/>
                <w:sz w:val="22"/>
                <w:lang w:val="pl-PL"/>
              </w:rPr>
            </w:pPr>
          </w:p>
          <w:p w14:paraId="6265978A" w14:textId="1DB42DE1" w:rsidR="00DA52FA" w:rsidRDefault="00251D73" w:rsidP="009F5886">
            <w:pPr>
              <w:spacing w:line="276" w:lineRule="auto"/>
              <w:rPr>
                <w:rFonts w:ascii="Times New Roman" w:hAnsi="Times New Roman"/>
                <w:color w:val="000000" w:themeColor="text1"/>
                <w:sz w:val="22"/>
                <w:lang w:val="pl-PL"/>
              </w:rPr>
            </w:pPr>
            <w:r>
              <w:rPr>
                <w:rFonts w:ascii="Times New Roman" w:hAnsi="Times New Roman"/>
                <w:color w:val="000000" w:themeColor="text1"/>
                <w:sz w:val="22"/>
                <w:lang w:val="pl-PL"/>
              </w:rPr>
              <w:t>Fisklani i</w:t>
            </w:r>
            <w:r w:rsidR="008B7EA0">
              <w:rPr>
                <w:rFonts w:ascii="Times New Roman" w:hAnsi="Times New Roman"/>
                <w:color w:val="000000" w:themeColor="text1"/>
                <w:sz w:val="22"/>
                <w:lang w:val="pl-PL"/>
              </w:rPr>
              <w:t xml:space="preserve">ndikatori prema </w:t>
            </w:r>
            <w:r>
              <w:rPr>
                <w:rFonts w:ascii="Times New Roman" w:hAnsi="Times New Roman"/>
                <w:color w:val="000000" w:themeColor="text1"/>
                <w:sz w:val="22"/>
                <w:lang w:val="pl-PL"/>
              </w:rPr>
              <w:t xml:space="preserve">kojima će se mjeriti </w:t>
            </w:r>
            <w:r w:rsidR="00DA52FA" w:rsidRPr="009F5886">
              <w:rPr>
                <w:rFonts w:ascii="Times New Roman" w:hAnsi="Times New Roman"/>
                <w:color w:val="000000" w:themeColor="text1"/>
                <w:sz w:val="22"/>
                <w:lang w:val="pl-PL"/>
              </w:rPr>
              <w:t xml:space="preserve"> </w:t>
            </w:r>
            <w:r>
              <w:rPr>
                <w:rFonts w:ascii="Times New Roman" w:hAnsi="Times New Roman"/>
                <w:color w:val="000000" w:themeColor="text1"/>
                <w:sz w:val="22"/>
                <w:lang w:val="pl-PL"/>
              </w:rPr>
              <w:t>ispunjenosti ciljeva su:</w:t>
            </w:r>
          </w:p>
          <w:p w14:paraId="6F98152C" w14:textId="5ECC50D2" w:rsidR="00251D73" w:rsidRPr="00891903" w:rsidRDefault="00CC278B" w:rsidP="00891903">
            <w:pPr>
              <w:pStyle w:val="ListParagraph"/>
              <w:numPr>
                <w:ilvl w:val="0"/>
                <w:numId w:val="26"/>
              </w:numPr>
              <w:spacing w:line="276" w:lineRule="auto"/>
              <w:rPr>
                <w:rFonts w:ascii="Times New Roman" w:hAnsi="Times New Roman"/>
                <w:color w:val="000000" w:themeColor="text1"/>
                <w:sz w:val="22"/>
                <w:lang w:val="pl-PL"/>
              </w:rPr>
            </w:pPr>
            <w:r w:rsidRPr="00891903">
              <w:rPr>
                <w:rFonts w:ascii="Times New Roman" w:hAnsi="Times New Roman"/>
                <w:color w:val="000000" w:themeColor="text1"/>
                <w:sz w:val="22"/>
                <w:lang w:val="pl-PL"/>
              </w:rPr>
              <w:t xml:space="preserve">dinamiku </w:t>
            </w:r>
            <w:r w:rsidR="00CD2C59" w:rsidRPr="00891903">
              <w:rPr>
                <w:rFonts w:ascii="Times New Roman" w:hAnsi="Times New Roman"/>
                <w:color w:val="000000" w:themeColor="text1"/>
                <w:sz w:val="22"/>
                <w:lang w:val="sr-Latn-ME"/>
              </w:rPr>
              <w:t>naplate PDV-a (</w:t>
            </w:r>
            <w:r w:rsidR="00251D73" w:rsidRPr="00891903">
              <w:rPr>
                <w:rFonts w:ascii="Times New Roman" w:hAnsi="Times New Roman"/>
                <w:color w:val="000000" w:themeColor="text1"/>
                <w:sz w:val="22"/>
                <w:lang w:val="pl-PL"/>
              </w:rPr>
              <w:t>rast ili pad</w:t>
            </w:r>
            <w:r w:rsidR="00CD2C59" w:rsidRPr="00891903">
              <w:rPr>
                <w:rFonts w:ascii="Times New Roman" w:hAnsi="Times New Roman"/>
                <w:color w:val="000000" w:themeColor="text1"/>
                <w:sz w:val="22"/>
                <w:lang w:val="pl-PL"/>
              </w:rPr>
              <w:t>)</w:t>
            </w:r>
            <w:r w:rsidR="00251D73" w:rsidRPr="00891903">
              <w:rPr>
                <w:rFonts w:ascii="Times New Roman" w:hAnsi="Times New Roman"/>
                <w:color w:val="000000" w:themeColor="text1"/>
                <w:sz w:val="22"/>
                <w:lang w:val="pl-PL"/>
              </w:rPr>
              <w:t xml:space="preserve"> u odnosu na period prije usvajanja predloga izmjena zakona;</w:t>
            </w:r>
          </w:p>
          <w:p w14:paraId="7B274DFC" w14:textId="5F4575C2" w:rsidR="00251D73" w:rsidRPr="00891903" w:rsidRDefault="00251D73" w:rsidP="00891903">
            <w:pPr>
              <w:pStyle w:val="ListParagraph"/>
              <w:numPr>
                <w:ilvl w:val="0"/>
                <w:numId w:val="26"/>
              </w:numPr>
              <w:spacing w:line="276" w:lineRule="auto"/>
              <w:rPr>
                <w:rFonts w:ascii="Times New Roman" w:hAnsi="Times New Roman"/>
                <w:color w:val="000000" w:themeColor="text1"/>
                <w:sz w:val="22"/>
                <w:lang w:val="pl-PL"/>
              </w:rPr>
            </w:pPr>
            <w:r w:rsidRPr="00891903">
              <w:rPr>
                <w:rFonts w:ascii="Times New Roman" w:hAnsi="Times New Roman"/>
                <w:color w:val="000000" w:themeColor="text1"/>
                <w:sz w:val="22"/>
                <w:lang w:val="pl-PL"/>
              </w:rPr>
              <w:t>povećanje broja prijavljenih transakcija građevinskog zemljišta;</w:t>
            </w:r>
          </w:p>
          <w:p w14:paraId="1085E20D" w14:textId="06C37BC8" w:rsidR="00251D73" w:rsidRPr="00891903" w:rsidRDefault="00CD2C59" w:rsidP="00891903">
            <w:pPr>
              <w:pStyle w:val="ListParagraph"/>
              <w:numPr>
                <w:ilvl w:val="0"/>
                <w:numId w:val="26"/>
              </w:numPr>
              <w:spacing w:line="276" w:lineRule="auto"/>
              <w:rPr>
                <w:rFonts w:ascii="Times New Roman" w:hAnsi="Times New Roman"/>
                <w:color w:val="000000" w:themeColor="text1"/>
                <w:sz w:val="22"/>
                <w:lang w:val="pl-PL"/>
              </w:rPr>
            </w:pPr>
            <w:r w:rsidRPr="00891903">
              <w:rPr>
                <w:rFonts w:ascii="Times New Roman" w:hAnsi="Times New Roman"/>
                <w:color w:val="000000" w:themeColor="text1"/>
                <w:sz w:val="22"/>
                <w:lang w:val="pl-PL"/>
              </w:rPr>
              <w:t xml:space="preserve">viši stepen </w:t>
            </w:r>
            <w:r w:rsidR="00765770" w:rsidRPr="00891903">
              <w:rPr>
                <w:rFonts w:ascii="Times New Roman" w:hAnsi="Times New Roman"/>
                <w:color w:val="000000" w:themeColor="text1"/>
                <w:sz w:val="22"/>
                <w:lang w:val="pl-PL"/>
              </w:rPr>
              <w:t>usklađenosti poslovanja investitora novoizgrađenih objekata</w:t>
            </w:r>
            <w:r w:rsidRPr="00891903">
              <w:rPr>
                <w:rFonts w:ascii="Times New Roman" w:hAnsi="Times New Roman"/>
                <w:color w:val="000000" w:themeColor="text1"/>
                <w:sz w:val="22"/>
                <w:lang w:val="pl-PL"/>
              </w:rPr>
              <w:t xml:space="preserve"> sa zakonskim propisima</w:t>
            </w:r>
            <w:r w:rsidR="00765770" w:rsidRPr="00891903">
              <w:rPr>
                <w:rFonts w:ascii="Times New Roman" w:hAnsi="Times New Roman"/>
                <w:color w:val="000000" w:themeColor="text1"/>
                <w:sz w:val="22"/>
                <w:lang w:val="pl-PL"/>
              </w:rPr>
              <w:t>;</w:t>
            </w:r>
          </w:p>
          <w:p w14:paraId="539DE80D" w14:textId="14705524" w:rsidR="00765770" w:rsidRPr="00891903" w:rsidRDefault="00765770" w:rsidP="00891903">
            <w:pPr>
              <w:pStyle w:val="ListParagraph"/>
              <w:numPr>
                <w:ilvl w:val="0"/>
                <w:numId w:val="26"/>
              </w:numPr>
              <w:spacing w:line="276" w:lineRule="auto"/>
              <w:rPr>
                <w:rFonts w:ascii="Times New Roman" w:hAnsi="Times New Roman"/>
                <w:color w:val="000000" w:themeColor="text1"/>
                <w:sz w:val="22"/>
                <w:lang w:val="pl-PL"/>
              </w:rPr>
            </w:pPr>
            <w:r w:rsidRPr="00891903">
              <w:rPr>
                <w:rFonts w:ascii="Times New Roman" w:hAnsi="Times New Roman"/>
                <w:color w:val="000000" w:themeColor="text1"/>
                <w:sz w:val="22"/>
                <w:lang w:val="pl-PL"/>
              </w:rPr>
              <w:t xml:space="preserve">smanjenje </w:t>
            </w:r>
            <w:r w:rsidR="00CD2C59" w:rsidRPr="00891903">
              <w:rPr>
                <w:rFonts w:ascii="Times New Roman" w:hAnsi="Times New Roman"/>
                <w:color w:val="000000" w:themeColor="text1"/>
                <w:sz w:val="22"/>
                <w:lang w:val="pl-PL"/>
              </w:rPr>
              <w:t xml:space="preserve">obima </w:t>
            </w:r>
            <w:r w:rsidRPr="00891903">
              <w:rPr>
                <w:rFonts w:ascii="Times New Roman" w:hAnsi="Times New Roman"/>
                <w:color w:val="000000" w:themeColor="text1"/>
                <w:sz w:val="22"/>
                <w:lang w:val="pl-PL"/>
              </w:rPr>
              <w:t xml:space="preserve">sive ekonomije </w:t>
            </w:r>
            <w:r w:rsidR="00CD2C59" w:rsidRPr="00891903">
              <w:rPr>
                <w:rFonts w:ascii="Times New Roman" w:hAnsi="Times New Roman"/>
                <w:color w:val="000000" w:themeColor="text1"/>
                <w:sz w:val="22"/>
                <w:lang w:val="pl-PL"/>
              </w:rPr>
              <w:t xml:space="preserve">u građevinskom sektoru, </w:t>
            </w:r>
            <w:r w:rsidRPr="00891903">
              <w:rPr>
                <w:rFonts w:ascii="Times New Roman" w:hAnsi="Times New Roman"/>
                <w:color w:val="000000" w:themeColor="text1"/>
                <w:sz w:val="22"/>
                <w:lang w:val="pl-PL"/>
              </w:rPr>
              <w:t>kao i smanjenje prikrivanja stvarnih cijena nekretnina.</w:t>
            </w:r>
          </w:p>
          <w:p w14:paraId="5EEC9BA4" w14:textId="53361727" w:rsidR="00DA52FA" w:rsidRPr="009F5886" w:rsidRDefault="00DA52FA" w:rsidP="009F5886">
            <w:pPr>
              <w:spacing w:line="276" w:lineRule="auto"/>
              <w:rPr>
                <w:rFonts w:ascii="Times New Roman" w:hAnsi="Times New Roman"/>
                <w:color w:val="000000" w:themeColor="text1"/>
                <w:sz w:val="22"/>
                <w:lang w:val="pl-PL"/>
              </w:rPr>
            </w:pPr>
          </w:p>
          <w:p w14:paraId="2B87081C" w14:textId="232A8EE5" w:rsidR="001F01DD" w:rsidRPr="009F5886" w:rsidRDefault="001F01DD" w:rsidP="009F5886">
            <w:pPr>
              <w:spacing w:line="276" w:lineRule="auto"/>
              <w:rPr>
                <w:rFonts w:ascii="Times New Roman" w:hAnsi="Times New Roman"/>
                <w:color w:val="000000" w:themeColor="text1"/>
                <w:sz w:val="22"/>
                <w:lang w:val="pl-PL"/>
              </w:rPr>
            </w:pPr>
            <w:r w:rsidRPr="009F5886">
              <w:rPr>
                <w:rFonts w:ascii="Times New Roman" w:hAnsi="Times New Roman"/>
                <w:color w:val="000000" w:themeColor="text1"/>
                <w:sz w:val="22"/>
                <w:lang w:val="pl-PL"/>
              </w:rPr>
              <w:t xml:space="preserve">Nadzor nad sprovođenjem propisa vrši Ministarstvo finansija. </w:t>
            </w:r>
          </w:p>
        </w:tc>
      </w:tr>
    </w:tbl>
    <w:p w14:paraId="4CDFF52D" w14:textId="77777777" w:rsidR="00DA785B" w:rsidRPr="009F5886" w:rsidRDefault="00DA785B" w:rsidP="009F5886">
      <w:pPr>
        <w:spacing w:line="276" w:lineRule="auto"/>
        <w:rPr>
          <w:rFonts w:ascii="Times New Roman" w:hAnsi="Times New Roman"/>
          <w:b/>
          <w:color w:val="365F91"/>
          <w:sz w:val="22"/>
          <w:lang w:val="pl-PL"/>
        </w:rPr>
      </w:pPr>
    </w:p>
    <w:p w14:paraId="46CDA4E0" w14:textId="77777777" w:rsidR="00DA785B" w:rsidRPr="009F5886" w:rsidRDefault="00DA785B" w:rsidP="009F5886">
      <w:pPr>
        <w:spacing w:line="276" w:lineRule="auto"/>
        <w:rPr>
          <w:rFonts w:ascii="Times New Roman" w:hAnsi="Times New Roman"/>
          <w:b/>
          <w:color w:val="000000" w:themeColor="text1"/>
          <w:sz w:val="22"/>
          <w:lang w:val="pl-PL"/>
        </w:rPr>
      </w:pPr>
    </w:p>
    <w:p w14:paraId="5A3B03EF" w14:textId="4764242E" w:rsidR="00B30552" w:rsidRPr="009F5886" w:rsidRDefault="00B30552" w:rsidP="009F5886">
      <w:pPr>
        <w:spacing w:line="276" w:lineRule="auto"/>
        <w:rPr>
          <w:rFonts w:ascii="Times New Roman" w:hAnsi="Times New Roman"/>
          <w:b/>
          <w:color w:val="000000" w:themeColor="text1"/>
          <w:sz w:val="22"/>
          <w:lang w:val="pl-PL"/>
        </w:rPr>
      </w:pPr>
      <w:r w:rsidRPr="009F5886">
        <w:rPr>
          <w:rFonts w:ascii="Times New Roman" w:hAnsi="Times New Roman"/>
          <w:b/>
          <w:color w:val="000000" w:themeColor="text1"/>
          <w:sz w:val="22"/>
          <w:lang w:val="pl-PL"/>
        </w:rPr>
        <w:t>Datum i mjesto</w:t>
      </w:r>
      <w:r w:rsidRPr="009F5886">
        <w:rPr>
          <w:rFonts w:ascii="Times New Roman" w:hAnsi="Times New Roman"/>
          <w:b/>
          <w:color w:val="000000" w:themeColor="text1"/>
          <w:sz w:val="22"/>
          <w:lang w:val="pl-PL"/>
        </w:rPr>
        <w:tab/>
      </w:r>
      <w:r w:rsidRPr="009F5886">
        <w:rPr>
          <w:rFonts w:ascii="Times New Roman" w:hAnsi="Times New Roman"/>
          <w:b/>
          <w:color w:val="000000" w:themeColor="text1"/>
          <w:sz w:val="22"/>
          <w:lang w:val="pl-PL"/>
        </w:rPr>
        <w:tab/>
      </w:r>
      <w:r w:rsidRPr="009F5886">
        <w:rPr>
          <w:rFonts w:ascii="Times New Roman" w:hAnsi="Times New Roman"/>
          <w:b/>
          <w:color w:val="000000" w:themeColor="text1"/>
          <w:sz w:val="22"/>
          <w:lang w:val="pl-PL"/>
        </w:rPr>
        <w:tab/>
      </w:r>
      <w:r w:rsidRPr="009F5886">
        <w:rPr>
          <w:rFonts w:ascii="Times New Roman" w:hAnsi="Times New Roman"/>
          <w:b/>
          <w:color w:val="000000" w:themeColor="text1"/>
          <w:sz w:val="22"/>
          <w:lang w:val="pl-PL"/>
        </w:rPr>
        <w:tab/>
      </w:r>
      <w:r w:rsidRPr="009F5886">
        <w:rPr>
          <w:rFonts w:ascii="Times New Roman" w:hAnsi="Times New Roman"/>
          <w:b/>
          <w:color w:val="000000" w:themeColor="text1"/>
          <w:sz w:val="22"/>
          <w:lang w:val="pl-PL"/>
        </w:rPr>
        <w:tab/>
      </w:r>
      <w:r w:rsidRPr="009F5886">
        <w:rPr>
          <w:rFonts w:ascii="Times New Roman" w:hAnsi="Times New Roman"/>
          <w:b/>
          <w:color w:val="000000" w:themeColor="text1"/>
          <w:sz w:val="22"/>
          <w:lang w:val="pl-PL"/>
        </w:rPr>
        <w:tab/>
      </w:r>
      <w:r w:rsidR="00B13536" w:rsidRPr="009F5886">
        <w:rPr>
          <w:rFonts w:ascii="Times New Roman" w:hAnsi="Times New Roman"/>
          <w:b/>
          <w:color w:val="000000" w:themeColor="text1"/>
          <w:sz w:val="22"/>
          <w:lang w:val="pl-PL"/>
        </w:rPr>
        <w:tab/>
      </w:r>
      <w:r w:rsidR="00C51D4E" w:rsidRPr="009F5886">
        <w:rPr>
          <w:rFonts w:ascii="Times New Roman" w:hAnsi="Times New Roman"/>
          <w:b/>
          <w:color w:val="000000" w:themeColor="text1"/>
          <w:sz w:val="22"/>
          <w:lang w:val="pl-PL"/>
        </w:rPr>
        <w:t xml:space="preserve">    </w:t>
      </w:r>
      <w:r w:rsidRPr="009F5886">
        <w:rPr>
          <w:rFonts w:ascii="Times New Roman" w:hAnsi="Times New Roman"/>
          <w:b/>
          <w:color w:val="000000" w:themeColor="text1"/>
          <w:sz w:val="22"/>
          <w:lang w:val="pl-PL"/>
        </w:rPr>
        <w:t xml:space="preserve">Starješina </w:t>
      </w:r>
    </w:p>
    <w:p w14:paraId="2512CA82" w14:textId="77777777" w:rsidR="00B30552" w:rsidRPr="009F5886" w:rsidRDefault="00B30552" w:rsidP="009F5886">
      <w:pPr>
        <w:spacing w:line="276" w:lineRule="auto"/>
        <w:rPr>
          <w:rFonts w:ascii="Times New Roman" w:hAnsi="Times New Roman"/>
          <w:color w:val="000000" w:themeColor="text1"/>
          <w:sz w:val="22"/>
          <w:lang w:val="pl-PL"/>
        </w:rPr>
      </w:pPr>
    </w:p>
    <w:p w14:paraId="5CEF992B" w14:textId="2D66629C" w:rsidR="00DA785B" w:rsidRPr="009F5886" w:rsidRDefault="00B30552" w:rsidP="009F5886">
      <w:pPr>
        <w:spacing w:line="276" w:lineRule="auto"/>
        <w:rPr>
          <w:rFonts w:ascii="Times New Roman" w:hAnsi="Times New Roman"/>
          <w:b/>
          <w:color w:val="000000" w:themeColor="text1"/>
          <w:sz w:val="22"/>
          <w:lang w:val="pl-PL"/>
        </w:rPr>
      </w:pPr>
      <w:r w:rsidRPr="009F5886">
        <w:rPr>
          <w:rFonts w:ascii="Times New Roman" w:hAnsi="Times New Roman"/>
          <w:color w:val="000000" w:themeColor="text1"/>
          <w:sz w:val="22"/>
          <w:lang w:val="pl-PL"/>
        </w:rPr>
        <w:t xml:space="preserve">Podgorica, </w:t>
      </w:r>
      <w:r w:rsidR="00C84DD8">
        <w:rPr>
          <w:rFonts w:ascii="Times New Roman" w:hAnsi="Times New Roman"/>
          <w:color w:val="000000" w:themeColor="text1"/>
          <w:sz w:val="22"/>
          <w:lang w:val="pl-PL"/>
        </w:rPr>
        <w:t>2</w:t>
      </w:r>
      <w:r w:rsidR="00B77692">
        <w:rPr>
          <w:rFonts w:ascii="Times New Roman" w:hAnsi="Times New Roman"/>
          <w:color w:val="000000" w:themeColor="text1"/>
          <w:sz w:val="22"/>
          <w:lang w:val="pl-PL"/>
        </w:rPr>
        <w:t>6</w:t>
      </w:r>
      <w:r w:rsidR="0013325A" w:rsidRPr="009F5886">
        <w:rPr>
          <w:rFonts w:ascii="Times New Roman" w:hAnsi="Times New Roman"/>
          <w:color w:val="000000" w:themeColor="text1"/>
          <w:sz w:val="22"/>
          <w:lang w:val="pl-PL"/>
        </w:rPr>
        <w:t>.</w:t>
      </w:r>
      <w:r w:rsidR="00C51D4E" w:rsidRPr="009F5886">
        <w:rPr>
          <w:rFonts w:ascii="Times New Roman" w:hAnsi="Times New Roman"/>
          <w:color w:val="000000" w:themeColor="text1"/>
          <w:sz w:val="22"/>
          <w:lang w:val="pl-PL"/>
        </w:rPr>
        <w:t xml:space="preserve"> </w:t>
      </w:r>
      <w:r w:rsidR="00C84DD8">
        <w:rPr>
          <w:rFonts w:ascii="Times New Roman" w:hAnsi="Times New Roman"/>
          <w:color w:val="000000" w:themeColor="text1"/>
          <w:sz w:val="22"/>
          <w:lang w:val="pl-PL"/>
        </w:rPr>
        <w:t>n</w:t>
      </w:r>
      <w:r w:rsidR="0012610A">
        <w:rPr>
          <w:rFonts w:ascii="Times New Roman" w:hAnsi="Times New Roman"/>
          <w:color w:val="000000" w:themeColor="text1"/>
          <w:sz w:val="22"/>
          <w:lang w:val="pl-PL"/>
        </w:rPr>
        <w:t xml:space="preserve">ovembar </w:t>
      </w:r>
      <w:r w:rsidR="007E3F73" w:rsidRPr="009F5886">
        <w:rPr>
          <w:rFonts w:ascii="Times New Roman" w:hAnsi="Times New Roman"/>
          <w:color w:val="000000" w:themeColor="text1"/>
          <w:sz w:val="22"/>
          <w:lang w:val="pl-PL"/>
        </w:rPr>
        <w:t>202</w:t>
      </w:r>
      <w:r w:rsidR="0012610A">
        <w:rPr>
          <w:rFonts w:ascii="Times New Roman" w:hAnsi="Times New Roman"/>
          <w:color w:val="000000" w:themeColor="text1"/>
          <w:sz w:val="22"/>
          <w:lang w:val="pl-PL"/>
        </w:rPr>
        <w:t>5</w:t>
      </w:r>
      <w:r w:rsidR="00C51D4E" w:rsidRPr="009F5886">
        <w:rPr>
          <w:rFonts w:ascii="Times New Roman" w:hAnsi="Times New Roman"/>
          <w:color w:val="000000" w:themeColor="text1"/>
          <w:sz w:val="22"/>
          <w:lang w:val="pl-PL"/>
        </w:rPr>
        <w:t>. godine</w:t>
      </w:r>
      <w:r w:rsidR="00C51D4E" w:rsidRPr="009F5886">
        <w:rPr>
          <w:rFonts w:ascii="Times New Roman" w:hAnsi="Times New Roman"/>
          <w:color w:val="000000" w:themeColor="text1"/>
          <w:sz w:val="22"/>
          <w:lang w:val="pl-PL"/>
        </w:rPr>
        <w:tab/>
        <w:t xml:space="preserve"> </w:t>
      </w:r>
      <w:r w:rsidRPr="009F5886">
        <w:rPr>
          <w:rFonts w:ascii="Times New Roman" w:hAnsi="Times New Roman"/>
          <w:color w:val="000000" w:themeColor="text1"/>
          <w:sz w:val="22"/>
          <w:lang w:val="pl-PL"/>
        </w:rPr>
        <w:tab/>
      </w:r>
      <w:r w:rsidR="00B13536" w:rsidRPr="009F5886">
        <w:rPr>
          <w:rFonts w:ascii="Times New Roman" w:hAnsi="Times New Roman"/>
          <w:color w:val="000000" w:themeColor="text1"/>
          <w:sz w:val="22"/>
          <w:lang w:val="pl-PL"/>
        </w:rPr>
        <w:tab/>
      </w:r>
      <w:r w:rsidR="00B13536" w:rsidRPr="009F5886">
        <w:rPr>
          <w:rFonts w:ascii="Times New Roman" w:hAnsi="Times New Roman"/>
          <w:color w:val="000000" w:themeColor="text1"/>
          <w:sz w:val="22"/>
          <w:lang w:val="pl-PL"/>
        </w:rPr>
        <w:tab/>
      </w:r>
      <w:r w:rsidRPr="009F5886">
        <w:rPr>
          <w:rFonts w:ascii="Times New Roman" w:hAnsi="Times New Roman"/>
          <w:color w:val="000000" w:themeColor="text1"/>
          <w:sz w:val="22"/>
          <w:lang w:val="pl-PL"/>
        </w:rPr>
        <w:t>__________________________</w:t>
      </w:r>
    </w:p>
    <w:p w14:paraId="5EF8B1E6" w14:textId="4BC80FE9" w:rsidR="0055310B" w:rsidRPr="009F5886" w:rsidRDefault="00B13536" w:rsidP="009F5886">
      <w:pPr>
        <w:spacing w:line="276" w:lineRule="auto"/>
        <w:rPr>
          <w:rFonts w:ascii="Times New Roman" w:hAnsi="Times New Roman"/>
          <w:color w:val="365F91"/>
          <w:sz w:val="22"/>
          <w:lang w:val="pl-PL"/>
        </w:rPr>
      </w:pPr>
      <w:r w:rsidRPr="009F5886">
        <w:rPr>
          <w:rFonts w:ascii="Times New Roman" w:hAnsi="Times New Roman"/>
          <w:color w:val="365F91"/>
          <w:sz w:val="22"/>
          <w:lang w:val="pl-PL"/>
        </w:rPr>
        <w:tab/>
      </w:r>
    </w:p>
    <w:p w14:paraId="15D33EEA" w14:textId="7EBA9000" w:rsidR="00174C8B" w:rsidRDefault="00E009BB" w:rsidP="009F5886">
      <w:pPr>
        <w:tabs>
          <w:tab w:val="left" w:pos="5515"/>
        </w:tabs>
        <w:spacing w:line="276" w:lineRule="auto"/>
        <w:rPr>
          <w:rFonts w:ascii="Times New Roman" w:eastAsia="Calibri" w:hAnsi="Times New Roman"/>
          <w:bCs w:val="0"/>
          <w:kern w:val="0"/>
          <w:sz w:val="22"/>
          <w:lang w:val="sr-Latn-ME" w:eastAsia="en-US"/>
        </w:rPr>
      </w:pPr>
      <w:r w:rsidRPr="009F5886">
        <w:rPr>
          <w:rFonts w:ascii="Times New Roman" w:eastAsia="Calibri" w:hAnsi="Times New Roman"/>
          <w:bCs w:val="0"/>
          <w:kern w:val="0"/>
          <w:sz w:val="22"/>
          <w:lang w:val="sr-Latn-CS" w:eastAsia="en-US"/>
        </w:rPr>
        <w:t xml:space="preserve"> </w:t>
      </w:r>
    </w:p>
    <w:p w14:paraId="563340FE" w14:textId="075126D2" w:rsidR="00174C8B" w:rsidRDefault="00174C8B" w:rsidP="00174C8B">
      <w:pPr>
        <w:spacing w:line="276" w:lineRule="auto"/>
        <w:rPr>
          <w:rFonts w:ascii="Times New Roman" w:eastAsia="Calibri" w:hAnsi="Times New Roman"/>
          <w:sz w:val="22"/>
          <w:lang w:val="sr-Latn-ME" w:eastAsia="en-US"/>
        </w:rPr>
      </w:pPr>
    </w:p>
    <w:p w14:paraId="0FADA234" w14:textId="13346DE0" w:rsidR="00174C8B" w:rsidRDefault="00174C8B" w:rsidP="00174C8B">
      <w:pPr>
        <w:rPr>
          <w:rFonts w:ascii="Times New Roman" w:eastAsia="Calibri" w:hAnsi="Times New Roman"/>
          <w:sz w:val="22"/>
          <w:lang w:val="sr-Latn-ME" w:eastAsia="en-US"/>
        </w:rPr>
      </w:pPr>
    </w:p>
    <w:p w14:paraId="5D67DAB4" w14:textId="77777777" w:rsidR="00174C8B" w:rsidRPr="00174C8B" w:rsidRDefault="00174C8B" w:rsidP="00174C8B">
      <w:pPr>
        <w:rPr>
          <w:rFonts w:ascii="Times New Roman" w:eastAsia="Calibri" w:hAnsi="Times New Roman"/>
          <w:sz w:val="22"/>
          <w:lang w:val="sr-Latn-ME" w:eastAsia="en-US"/>
        </w:rPr>
      </w:pPr>
      <w:bookmarkStart w:id="3" w:name="_GoBack"/>
      <w:bookmarkEnd w:id="3"/>
    </w:p>
    <w:sectPr w:rsidR="00174C8B" w:rsidRPr="00174C8B" w:rsidSect="00336F99">
      <w:pgSz w:w="12240" w:h="15840"/>
      <w:pgMar w:top="1440" w:right="1440" w:bottom="1440" w:left="1440"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0CA4B" w14:textId="77777777" w:rsidR="009C14E3" w:rsidRDefault="009C14E3" w:rsidP="006122E1">
      <w:pPr>
        <w:spacing w:line="240" w:lineRule="auto"/>
      </w:pPr>
      <w:r>
        <w:separator/>
      </w:r>
    </w:p>
  </w:endnote>
  <w:endnote w:type="continuationSeparator" w:id="0">
    <w:p w14:paraId="68F2730D" w14:textId="77777777" w:rsidR="009C14E3" w:rsidRDefault="009C14E3" w:rsidP="00612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F0C15" w14:textId="77777777" w:rsidR="009C14E3" w:rsidRDefault="009C14E3" w:rsidP="006122E1">
      <w:pPr>
        <w:spacing w:line="240" w:lineRule="auto"/>
      </w:pPr>
      <w:r>
        <w:separator/>
      </w:r>
    </w:p>
  </w:footnote>
  <w:footnote w:type="continuationSeparator" w:id="0">
    <w:p w14:paraId="0381A9C8" w14:textId="77777777" w:rsidR="009C14E3" w:rsidRDefault="009C14E3" w:rsidP="006122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720" w:hanging="360"/>
      </w:pPr>
      <w:rPr>
        <w:rFonts w:ascii="Wingdings" w:hAnsi="Wingdings"/>
        <w:color w:val="365F9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5"/>
    <w:lvl w:ilvl="0">
      <w:start w:val="1"/>
      <w:numFmt w:val="bullet"/>
      <w:lvlText w:val=""/>
      <w:lvlJc w:val="left"/>
      <w:pPr>
        <w:tabs>
          <w:tab w:val="num" w:pos="0"/>
        </w:tabs>
        <w:ind w:left="720" w:hanging="360"/>
      </w:pPr>
      <w:rPr>
        <w:rFonts w:ascii="Wingdings" w:hAnsi="Wingdings"/>
        <w:color w:val="365F9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12"/>
    <w:lvl w:ilvl="0">
      <w:start w:val="1"/>
      <w:numFmt w:val="bullet"/>
      <w:lvlText w:val=""/>
      <w:lvlJc w:val="left"/>
      <w:pPr>
        <w:tabs>
          <w:tab w:val="num" w:pos="0"/>
        </w:tabs>
        <w:ind w:left="720" w:hanging="360"/>
      </w:pPr>
      <w:rPr>
        <w:rFonts w:ascii="Wingdings" w:hAnsi="Wingdings"/>
        <w:color w:val="365F9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13"/>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14"/>
    <w:lvl w:ilvl="0">
      <w:start w:val="1"/>
      <w:numFmt w:val="bullet"/>
      <w:lvlText w:val=""/>
      <w:lvlJc w:val="left"/>
      <w:pPr>
        <w:tabs>
          <w:tab w:val="num" w:pos="0"/>
        </w:tabs>
        <w:ind w:left="720" w:hanging="360"/>
      </w:pPr>
      <w:rPr>
        <w:rFonts w:ascii="Wingdings" w:hAnsi="Wingdings"/>
        <w:color w:val="365F9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215151B"/>
    <w:multiLevelType w:val="hybridMultilevel"/>
    <w:tmpl w:val="86504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41E70"/>
    <w:multiLevelType w:val="hybridMultilevel"/>
    <w:tmpl w:val="A9769562"/>
    <w:lvl w:ilvl="0" w:tplc="0809000F">
      <w:start w:val="1"/>
      <w:numFmt w:val="decimal"/>
      <w:lvlText w:val="%1."/>
      <w:lvlJc w:val="left"/>
      <w:pPr>
        <w:ind w:left="8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7777A"/>
    <w:multiLevelType w:val="hybridMultilevel"/>
    <w:tmpl w:val="BB9A71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A3BA5"/>
    <w:multiLevelType w:val="hybridMultilevel"/>
    <w:tmpl w:val="F378E1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216F0"/>
    <w:multiLevelType w:val="hybridMultilevel"/>
    <w:tmpl w:val="94DE82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626B8"/>
    <w:multiLevelType w:val="hybridMultilevel"/>
    <w:tmpl w:val="2F2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27F3C"/>
    <w:multiLevelType w:val="hybridMultilevel"/>
    <w:tmpl w:val="DCE4B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90747"/>
    <w:multiLevelType w:val="hybridMultilevel"/>
    <w:tmpl w:val="191C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A110E"/>
    <w:multiLevelType w:val="hybridMultilevel"/>
    <w:tmpl w:val="4B84645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6656C"/>
    <w:multiLevelType w:val="hybridMultilevel"/>
    <w:tmpl w:val="49D623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3430CC"/>
    <w:multiLevelType w:val="hybridMultilevel"/>
    <w:tmpl w:val="60DE9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AD6038"/>
    <w:multiLevelType w:val="multilevel"/>
    <w:tmpl w:val="FCDC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16278"/>
    <w:multiLevelType w:val="hybridMultilevel"/>
    <w:tmpl w:val="2AD0E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F69A0"/>
    <w:multiLevelType w:val="hybridMultilevel"/>
    <w:tmpl w:val="CD469A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717F7"/>
    <w:multiLevelType w:val="hybridMultilevel"/>
    <w:tmpl w:val="434AB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782738"/>
    <w:multiLevelType w:val="hybridMultilevel"/>
    <w:tmpl w:val="A06AB1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2095F"/>
    <w:multiLevelType w:val="hybridMultilevel"/>
    <w:tmpl w:val="41C0C85C"/>
    <w:lvl w:ilvl="0" w:tplc="76C496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576D3"/>
    <w:multiLevelType w:val="hybridMultilevel"/>
    <w:tmpl w:val="7B6E9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F1B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8"/>
  </w:num>
  <w:num w:numId="10">
    <w:abstractNumId w:val="21"/>
  </w:num>
  <w:num w:numId="11">
    <w:abstractNumId w:val="25"/>
  </w:num>
  <w:num w:numId="12">
    <w:abstractNumId w:val="11"/>
  </w:num>
  <w:num w:numId="13">
    <w:abstractNumId w:val="12"/>
  </w:num>
  <w:num w:numId="14">
    <w:abstractNumId w:val="14"/>
  </w:num>
  <w:num w:numId="15">
    <w:abstractNumId w:val="19"/>
  </w:num>
  <w:num w:numId="16">
    <w:abstractNumId w:val="10"/>
  </w:num>
  <w:num w:numId="17">
    <w:abstractNumId w:val="15"/>
  </w:num>
  <w:num w:numId="18">
    <w:abstractNumId w:val="23"/>
  </w:num>
  <w:num w:numId="19">
    <w:abstractNumId w:val="20"/>
  </w:num>
  <w:num w:numId="20">
    <w:abstractNumId w:val="16"/>
  </w:num>
  <w:num w:numId="21">
    <w:abstractNumId w:val="22"/>
  </w:num>
  <w:num w:numId="22">
    <w:abstractNumId w:val="24"/>
  </w:num>
  <w:num w:numId="23">
    <w:abstractNumId w:val="7"/>
  </w:num>
  <w:num w:numId="24">
    <w:abstractNumId w:val="18"/>
  </w:num>
  <w:num w:numId="25">
    <w:abstractNumId w:val="1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CE4"/>
    <w:rsid w:val="00010235"/>
    <w:rsid w:val="00012D55"/>
    <w:rsid w:val="000131A9"/>
    <w:rsid w:val="00016948"/>
    <w:rsid w:val="00016F6B"/>
    <w:rsid w:val="00026EB5"/>
    <w:rsid w:val="00037E68"/>
    <w:rsid w:val="00042B40"/>
    <w:rsid w:val="0004476D"/>
    <w:rsid w:val="00046957"/>
    <w:rsid w:val="00050961"/>
    <w:rsid w:val="00051EE6"/>
    <w:rsid w:val="000555F0"/>
    <w:rsid w:val="00056145"/>
    <w:rsid w:val="00057C17"/>
    <w:rsid w:val="00063664"/>
    <w:rsid w:val="000652FE"/>
    <w:rsid w:val="00075438"/>
    <w:rsid w:val="00077290"/>
    <w:rsid w:val="00080204"/>
    <w:rsid w:val="000826CD"/>
    <w:rsid w:val="00084F7C"/>
    <w:rsid w:val="000866D1"/>
    <w:rsid w:val="00086C10"/>
    <w:rsid w:val="000A0AF9"/>
    <w:rsid w:val="000A41F1"/>
    <w:rsid w:val="000B1B77"/>
    <w:rsid w:val="000C0015"/>
    <w:rsid w:val="000C387B"/>
    <w:rsid w:val="000D1ED1"/>
    <w:rsid w:val="000D425C"/>
    <w:rsid w:val="000E2CDA"/>
    <w:rsid w:val="000E5CE4"/>
    <w:rsid w:val="000E5DD5"/>
    <w:rsid w:val="000F0E14"/>
    <w:rsid w:val="000F65C1"/>
    <w:rsid w:val="000F69CC"/>
    <w:rsid w:val="000F72B2"/>
    <w:rsid w:val="00107BEF"/>
    <w:rsid w:val="0011003E"/>
    <w:rsid w:val="001114B7"/>
    <w:rsid w:val="00113B06"/>
    <w:rsid w:val="00121B72"/>
    <w:rsid w:val="00122C22"/>
    <w:rsid w:val="00125A3B"/>
    <w:rsid w:val="0012610A"/>
    <w:rsid w:val="00126E41"/>
    <w:rsid w:val="0013325A"/>
    <w:rsid w:val="0013479D"/>
    <w:rsid w:val="00134A82"/>
    <w:rsid w:val="0013746C"/>
    <w:rsid w:val="00137493"/>
    <w:rsid w:val="001460AB"/>
    <w:rsid w:val="001541CC"/>
    <w:rsid w:val="0015676E"/>
    <w:rsid w:val="00156F5A"/>
    <w:rsid w:val="00161BA8"/>
    <w:rsid w:val="00161CFE"/>
    <w:rsid w:val="00165048"/>
    <w:rsid w:val="00165624"/>
    <w:rsid w:val="0016575A"/>
    <w:rsid w:val="00170892"/>
    <w:rsid w:val="00174C8B"/>
    <w:rsid w:val="001771A3"/>
    <w:rsid w:val="0018052C"/>
    <w:rsid w:val="00187868"/>
    <w:rsid w:val="00195B34"/>
    <w:rsid w:val="001A4883"/>
    <w:rsid w:val="001A6A75"/>
    <w:rsid w:val="001B1AF9"/>
    <w:rsid w:val="001B2B46"/>
    <w:rsid w:val="001B2D9F"/>
    <w:rsid w:val="001C2431"/>
    <w:rsid w:val="001C5A94"/>
    <w:rsid w:val="001C7919"/>
    <w:rsid w:val="001E4A80"/>
    <w:rsid w:val="001F01DD"/>
    <w:rsid w:val="001F1C20"/>
    <w:rsid w:val="001F21FA"/>
    <w:rsid w:val="001F5335"/>
    <w:rsid w:val="00200F9B"/>
    <w:rsid w:val="00201544"/>
    <w:rsid w:val="00210BBF"/>
    <w:rsid w:val="00216135"/>
    <w:rsid w:val="00216642"/>
    <w:rsid w:val="00216C52"/>
    <w:rsid w:val="002206BB"/>
    <w:rsid w:val="002256FB"/>
    <w:rsid w:val="00226B1D"/>
    <w:rsid w:val="00233C7A"/>
    <w:rsid w:val="00235F1B"/>
    <w:rsid w:val="00240886"/>
    <w:rsid w:val="00243F23"/>
    <w:rsid w:val="00246646"/>
    <w:rsid w:val="00247FC6"/>
    <w:rsid w:val="00250460"/>
    <w:rsid w:val="00251D73"/>
    <w:rsid w:val="00255CED"/>
    <w:rsid w:val="00255EBE"/>
    <w:rsid w:val="002620DE"/>
    <w:rsid w:val="0026277C"/>
    <w:rsid w:val="00264D44"/>
    <w:rsid w:val="00273118"/>
    <w:rsid w:val="00281899"/>
    <w:rsid w:val="00284E01"/>
    <w:rsid w:val="002852BE"/>
    <w:rsid w:val="00292A8F"/>
    <w:rsid w:val="002978DB"/>
    <w:rsid w:val="002A160D"/>
    <w:rsid w:val="002A2B78"/>
    <w:rsid w:val="002A4763"/>
    <w:rsid w:val="002C08BC"/>
    <w:rsid w:val="002C0F4C"/>
    <w:rsid w:val="002C3CF0"/>
    <w:rsid w:val="002E16FE"/>
    <w:rsid w:val="002F24B9"/>
    <w:rsid w:val="0030166C"/>
    <w:rsid w:val="00302409"/>
    <w:rsid w:val="00304EAA"/>
    <w:rsid w:val="00305D60"/>
    <w:rsid w:val="00310554"/>
    <w:rsid w:val="00313AB2"/>
    <w:rsid w:val="0033178F"/>
    <w:rsid w:val="003320EC"/>
    <w:rsid w:val="003340BB"/>
    <w:rsid w:val="00336D92"/>
    <w:rsid w:val="00336F99"/>
    <w:rsid w:val="00340ED3"/>
    <w:rsid w:val="00342F88"/>
    <w:rsid w:val="003462FE"/>
    <w:rsid w:val="0035230C"/>
    <w:rsid w:val="00355072"/>
    <w:rsid w:val="00360147"/>
    <w:rsid w:val="003645D1"/>
    <w:rsid w:val="003649B5"/>
    <w:rsid w:val="00370FC2"/>
    <w:rsid w:val="00373060"/>
    <w:rsid w:val="00374499"/>
    <w:rsid w:val="003747D5"/>
    <w:rsid w:val="00381959"/>
    <w:rsid w:val="00381BDE"/>
    <w:rsid w:val="00384DD6"/>
    <w:rsid w:val="00394162"/>
    <w:rsid w:val="003A3534"/>
    <w:rsid w:val="003A4CC2"/>
    <w:rsid w:val="003A521E"/>
    <w:rsid w:val="003B0C3D"/>
    <w:rsid w:val="003C010E"/>
    <w:rsid w:val="003C4FC7"/>
    <w:rsid w:val="003C6219"/>
    <w:rsid w:val="003D263B"/>
    <w:rsid w:val="003D50FA"/>
    <w:rsid w:val="003D6B5A"/>
    <w:rsid w:val="003E5C2A"/>
    <w:rsid w:val="003E6195"/>
    <w:rsid w:val="003E67A2"/>
    <w:rsid w:val="003E6EAE"/>
    <w:rsid w:val="00402289"/>
    <w:rsid w:val="00417269"/>
    <w:rsid w:val="00417EC2"/>
    <w:rsid w:val="00417F5B"/>
    <w:rsid w:val="00420C0D"/>
    <w:rsid w:val="00430F59"/>
    <w:rsid w:val="00436D87"/>
    <w:rsid w:val="00441067"/>
    <w:rsid w:val="0045260A"/>
    <w:rsid w:val="004550B7"/>
    <w:rsid w:val="00474B9E"/>
    <w:rsid w:val="004761B4"/>
    <w:rsid w:val="00476F6E"/>
    <w:rsid w:val="00481CFE"/>
    <w:rsid w:val="00483B16"/>
    <w:rsid w:val="004865AA"/>
    <w:rsid w:val="00495DF0"/>
    <w:rsid w:val="00496A0F"/>
    <w:rsid w:val="00496B66"/>
    <w:rsid w:val="004A2732"/>
    <w:rsid w:val="004A2EB9"/>
    <w:rsid w:val="004A7276"/>
    <w:rsid w:val="004B1708"/>
    <w:rsid w:val="004B2981"/>
    <w:rsid w:val="004C2035"/>
    <w:rsid w:val="004C2134"/>
    <w:rsid w:val="004C2454"/>
    <w:rsid w:val="004C2C49"/>
    <w:rsid w:val="004C5EB0"/>
    <w:rsid w:val="004C60C0"/>
    <w:rsid w:val="004D1BC2"/>
    <w:rsid w:val="004D744F"/>
    <w:rsid w:val="004D7DB7"/>
    <w:rsid w:val="004E00A0"/>
    <w:rsid w:val="004E24BE"/>
    <w:rsid w:val="004E2D0B"/>
    <w:rsid w:val="004E43CA"/>
    <w:rsid w:val="004F05AA"/>
    <w:rsid w:val="004F13B6"/>
    <w:rsid w:val="004F14F5"/>
    <w:rsid w:val="004F5678"/>
    <w:rsid w:val="0050278D"/>
    <w:rsid w:val="005062BB"/>
    <w:rsid w:val="00507926"/>
    <w:rsid w:val="00514722"/>
    <w:rsid w:val="0051577D"/>
    <w:rsid w:val="005207A1"/>
    <w:rsid w:val="0052684C"/>
    <w:rsid w:val="0053511C"/>
    <w:rsid w:val="00537944"/>
    <w:rsid w:val="005416FE"/>
    <w:rsid w:val="00547C64"/>
    <w:rsid w:val="005511BF"/>
    <w:rsid w:val="00551E0C"/>
    <w:rsid w:val="0055310B"/>
    <w:rsid w:val="005537BE"/>
    <w:rsid w:val="00553DEB"/>
    <w:rsid w:val="0056116A"/>
    <w:rsid w:val="005647CB"/>
    <w:rsid w:val="00567BA6"/>
    <w:rsid w:val="00567E80"/>
    <w:rsid w:val="00577258"/>
    <w:rsid w:val="005803A4"/>
    <w:rsid w:val="00582EDF"/>
    <w:rsid w:val="00583BEB"/>
    <w:rsid w:val="00584E59"/>
    <w:rsid w:val="0059070A"/>
    <w:rsid w:val="005A06A7"/>
    <w:rsid w:val="005A31A7"/>
    <w:rsid w:val="005A32F2"/>
    <w:rsid w:val="005A5FAA"/>
    <w:rsid w:val="005B0935"/>
    <w:rsid w:val="005C1779"/>
    <w:rsid w:val="005C5CC4"/>
    <w:rsid w:val="005C7E42"/>
    <w:rsid w:val="005D1EA3"/>
    <w:rsid w:val="005D729E"/>
    <w:rsid w:val="005E164A"/>
    <w:rsid w:val="005E6849"/>
    <w:rsid w:val="005F19B6"/>
    <w:rsid w:val="006047E5"/>
    <w:rsid w:val="0060671C"/>
    <w:rsid w:val="00611C15"/>
    <w:rsid w:val="00611C27"/>
    <w:rsid w:val="006122E1"/>
    <w:rsid w:val="0061533D"/>
    <w:rsid w:val="00616C80"/>
    <w:rsid w:val="00623139"/>
    <w:rsid w:val="00624AA9"/>
    <w:rsid w:val="00625EF1"/>
    <w:rsid w:val="00632D6B"/>
    <w:rsid w:val="00633B25"/>
    <w:rsid w:val="0063618D"/>
    <w:rsid w:val="006369DE"/>
    <w:rsid w:val="00640DC2"/>
    <w:rsid w:val="00643ADC"/>
    <w:rsid w:val="00644640"/>
    <w:rsid w:val="006607AF"/>
    <w:rsid w:val="006661B2"/>
    <w:rsid w:val="00671CD8"/>
    <w:rsid w:val="00684550"/>
    <w:rsid w:val="00693416"/>
    <w:rsid w:val="006A1105"/>
    <w:rsid w:val="006A2BE9"/>
    <w:rsid w:val="006A7AA7"/>
    <w:rsid w:val="006B352B"/>
    <w:rsid w:val="006B3C51"/>
    <w:rsid w:val="006B4172"/>
    <w:rsid w:val="006C1133"/>
    <w:rsid w:val="006C2F4F"/>
    <w:rsid w:val="006D1328"/>
    <w:rsid w:val="006D561A"/>
    <w:rsid w:val="006E2ED9"/>
    <w:rsid w:val="006E44EC"/>
    <w:rsid w:val="006E4854"/>
    <w:rsid w:val="006E565C"/>
    <w:rsid w:val="006F0F6C"/>
    <w:rsid w:val="006F1B10"/>
    <w:rsid w:val="006F2106"/>
    <w:rsid w:val="006F2E02"/>
    <w:rsid w:val="006F7A56"/>
    <w:rsid w:val="007001C4"/>
    <w:rsid w:val="0070539A"/>
    <w:rsid w:val="0070590B"/>
    <w:rsid w:val="00705CE3"/>
    <w:rsid w:val="00713497"/>
    <w:rsid w:val="00715879"/>
    <w:rsid w:val="0072252C"/>
    <w:rsid w:val="00726934"/>
    <w:rsid w:val="0073246A"/>
    <w:rsid w:val="00732D50"/>
    <w:rsid w:val="007376D0"/>
    <w:rsid w:val="00744CC8"/>
    <w:rsid w:val="00746198"/>
    <w:rsid w:val="007543FE"/>
    <w:rsid w:val="00757BE4"/>
    <w:rsid w:val="007624EA"/>
    <w:rsid w:val="0076254A"/>
    <w:rsid w:val="007626F0"/>
    <w:rsid w:val="00765770"/>
    <w:rsid w:val="0076736A"/>
    <w:rsid w:val="0077200C"/>
    <w:rsid w:val="00793178"/>
    <w:rsid w:val="007A1D31"/>
    <w:rsid w:val="007A537C"/>
    <w:rsid w:val="007A6CCC"/>
    <w:rsid w:val="007B1CDB"/>
    <w:rsid w:val="007B2191"/>
    <w:rsid w:val="007C0192"/>
    <w:rsid w:val="007C2A6B"/>
    <w:rsid w:val="007C6DCB"/>
    <w:rsid w:val="007D3068"/>
    <w:rsid w:val="007D31A4"/>
    <w:rsid w:val="007D756B"/>
    <w:rsid w:val="007E3F73"/>
    <w:rsid w:val="007E6E34"/>
    <w:rsid w:val="007F7A3D"/>
    <w:rsid w:val="008033D0"/>
    <w:rsid w:val="0080379C"/>
    <w:rsid w:val="008079CA"/>
    <w:rsid w:val="0083326A"/>
    <w:rsid w:val="00840995"/>
    <w:rsid w:val="0084371E"/>
    <w:rsid w:val="00846CE7"/>
    <w:rsid w:val="00852E35"/>
    <w:rsid w:val="008604E3"/>
    <w:rsid w:val="0086197F"/>
    <w:rsid w:val="00864B6A"/>
    <w:rsid w:val="00867196"/>
    <w:rsid w:val="008723D5"/>
    <w:rsid w:val="00873F53"/>
    <w:rsid w:val="00874B47"/>
    <w:rsid w:val="00876ACA"/>
    <w:rsid w:val="0088240A"/>
    <w:rsid w:val="00882FDB"/>
    <w:rsid w:val="00883E4D"/>
    <w:rsid w:val="00887618"/>
    <w:rsid w:val="00887C06"/>
    <w:rsid w:val="008905BE"/>
    <w:rsid w:val="00891903"/>
    <w:rsid w:val="008A03CC"/>
    <w:rsid w:val="008A44C0"/>
    <w:rsid w:val="008A6D82"/>
    <w:rsid w:val="008B335D"/>
    <w:rsid w:val="008B48DA"/>
    <w:rsid w:val="008B4F3B"/>
    <w:rsid w:val="008B7EA0"/>
    <w:rsid w:val="008C24EA"/>
    <w:rsid w:val="008C45F3"/>
    <w:rsid w:val="008C68B9"/>
    <w:rsid w:val="008C7658"/>
    <w:rsid w:val="008D2F51"/>
    <w:rsid w:val="008E0E49"/>
    <w:rsid w:val="008F20D6"/>
    <w:rsid w:val="008F3DBB"/>
    <w:rsid w:val="008F4D08"/>
    <w:rsid w:val="009028EE"/>
    <w:rsid w:val="009077E3"/>
    <w:rsid w:val="0091263C"/>
    <w:rsid w:val="0091490E"/>
    <w:rsid w:val="00920F8E"/>
    <w:rsid w:val="00921E17"/>
    <w:rsid w:val="00926F55"/>
    <w:rsid w:val="00941DC8"/>
    <w:rsid w:val="009434AD"/>
    <w:rsid w:val="00956B30"/>
    <w:rsid w:val="009667A1"/>
    <w:rsid w:val="00971A2E"/>
    <w:rsid w:val="009919D9"/>
    <w:rsid w:val="00995244"/>
    <w:rsid w:val="00996772"/>
    <w:rsid w:val="009A11E1"/>
    <w:rsid w:val="009A6A24"/>
    <w:rsid w:val="009B1872"/>
    <w:rsid w:val="009B2B13"/>
    <w:rsid w:val="009B308F"/>
    <w:rsid w:val="009B5807"/>
    <w:rsid w:val="009C10B5"/>
    <w:rsid w:val="009C14E3"/>
    <w:rsid w:val="009C25F7"/>
    <w:rsid w:val="009C305D"/>
    <w:rsid w:val="009D1E4A"/>
    <w:rsid w:val="009E36BB"/>
    <w:rsid w:val="009E6E7D"/>
    <w:rsid w:val="009F3818"/>
    <w:rsid w:val="009F522A"/>
    <w:rsid w:val="009F5886"/>
    <w:rsid w:val="009F6A8E"/>
    <w:rsid w:val="00A02D24"/>
    <w:rsid w:val="00A03FBC"/>
    <w:rsid w:val="00A04084"/>
    <w:rsid w:val="00A040A2"/>
    <w:rsid w:val="00A04322"/>
    <w:rsid w:val="00A0451D"/>
    <w:rsid w:val="00A12AD0"/>
    <w:rsid w:val="00A1780A"/>
    <w:rsid w:val="00A2257A"/>
    <w:rsid w:val="00A24399"/>
    <w:rsid w:val="00A27181"/>
    <w:rsid w:val="00A356F8"/>
    <w:rsid w:val="00A37B25"/>
    <w:rsid w:val="00A400E3"/>
    <w:rsid w:val="00A4186F"/>
    <w:rsid w:val="00A43ABC"/>
    <w:rsid w:val="00A444A7"/>
    <w:rsid w:val="00A55CAE"/>
    <w:rsid w:val="00A5799F"/>
    <w:rsid w:val="00A67A17"/>
    <w:rsid w:val="00A72722"/>
    <w:rsid w:val="00A7774B"/>
    <w:rsid w:val="00A878C0"/>
    <w:rsid w:val="00A91320"/>
    <w:rsid w:val="00A932DD"/>
    <w:rsid w:val="00A95C0E"/>
    <w:rsid w:val="00AA0799"/>
    <w:rsid w:val="00AA280B"/>
    <w:rsid w:val="00AA2D1E"/>
    <w:rsid w:val="00AA6D24"/>
    <w:rsid w:val="00AB19CA"/>
    <w:rsid w:val="00AB2954"/>
    <w:rsid w:val="00AB3649"/>
    <w:rsid w:val="00AC151E"/>
    <w:rsid w:val="00AD0DF8"/>
    <w:rsid w:val="00AD2C6F"/>
    <w:rsid w:val="00AD5C12"/>
    <w:rsid w:val="00AD7AE4"/>
    <w:rsid w:val="00AE0CC6"/>
    <w:rsid w:val="00AE20AF"/>
    <w:rsid w:val="00AE3F7E"/>
    <w:rsid w:val="00AE3FEB"/>
    <w:rsid w:val="00AE5151"/>
    <w:rsid w:val="00B0046B"/>
    <w:rsid w:val="00B01B91"/>
    <w:rsid w:val="00B06B62"/>
    <w:rsid w:val="00B13536"/>
    <w:rsid w:val="00B15252"/>
    <w:rsid w:val="00B1794B"/>
    <w:rsid w:val="00B23ED5"/>
    <w:rsid w:val="00B30552"/>
    <w:rsid w:val="00B3194C"/>
    <w:rsid w:val="00B412C7"/>
    <w:rsid w:val="00B419DC"/>
    <w:rsid w:val="00B46C21"/>
    <w:rsid w:val="00B47FD4"/>
    <w:rsid w:val="00B53A99"/>
    <w:rsid w:val="00B53E6D"/>
    <w:rsid w:val="00B55329"/>
    <w:rsid w:val="00B5585C"/>
    <w:rsid w:val="00B64243"/>
    <w:rsid w:val="00B7049D"/>
    <w:rsid w:val="00B74DE1"/>
    <w:rsid w:val="00B7560D"/>
    <w:rsid w:val="00B7644A"/>
    <w:rsid w:val="00B77401"/>
    <w:rsid w:val="00B77692"/>
    <w:rsid w:val="00B8224A"/>
    <w:rsid w:val="00B8388E"/>
    <w:rsid w:val="00B90BAB"/>
    <w:rsid w:val="00B950AC"/>
    <w:rsid w:val="00B956DE"/>
    <w:rsid w:val="00BB3E93"/>
    <w:rsid w:val="00BB7116"/>
    <w:rsid w:val="00BB7158"/>
    <w:rsid w:val="00BC2B09"/>
    <w:rsid w:val="00BC43CF"/>
    <w:rsid w:val="00BC4841"/>
    <w:rsid w:val="00BC5441"/>
    <w:rsid w:val="00BD056D"/>
    <w:rsid w:val="00BD4303"/>
    <w:rsid w:val="00BD4807"/>
    <w:rsid w:val="00BE69B5"/>
    <w:rsid w:val="00BF5366"/>
    <w:rsid w:val="00BF6C8C"/>
    <w:rsid w:val="00C03452"/>
    <w:rsid w:val="00C101AF"/>
    <w:rsid w:val="00C1173E"/>
    <w:rsid w:val="00C1591C"/>
    <w:rsid w:val="00C254E9"/>
    <w:rsid w:val="00C3384C"/>
    <w:rsid w:val="00C34D6A"/>
    <w:rsid w:val="00C46661"/>
    <w:rsid w:val="00C51D4E"/>
    <w:rsid w:val="00C61907"/>
    <w:rsid w:val="00C70C94"/>
    <w:rsid w:val="00C70CBE"/>
    <w:rsid w:val="00C756AE"/>
    <w:rsid w:val="00C75D89"/>
    <w:rsid w:val="00C764BE"/>
    <w:rsid w:val="00C77189"/>
    <w:rsid w:val="00C84DD8"/>
    <w:rsid w:val="00C90A1A"/>
    <w:rsid w:val="00C90EB7"/>
    <w:rsid w:val="00C91871"/>
    <w:rsid w:val="00C92972"/>
    <w:rsid w:val="00C94201"/>
    <w:rsid w:val="00C96D54"/>
    <w:rsid w:val="00CA0DEE"/>
    <w:rsid w:val="00CA1AFE"/>
    <w:rsid w:val="00CA1C1E"/>
    <w:rsid w:val="00CA2CE2"/>
    <w:rsid w:val="00CA6F53"/>
    <w:rsid w:val="00CA7FFB"/>
    <w:rsid w:val="00CB0DF6"/>
    <w:rsid w:val="00CB19FE"/>
    <w:rsid w:val="00CB299D"/>
    <w:rsid w:val="00CB4747"/>
    <w:rsid w:val="00CB6B04"/>
    <w:rsid w:val="00CB7F97"/>
    <w:rsid w:val="00CC1E96"/>
    <w:rsid w:val="00CC278B"/>
    <w:rsid w:val="00CC2C27"/>
    <w:rsid w:val="00CD2C59"/>
    <w:rsid w:val="00CD735B"/>
    <w:rsid w:val="00CE3E7C"/>
    <w:rsid w:val="00CE5ED7"/>
    <w:rsid w:val="00CE659D"/>
    <w:rsid w:val="00CE69B6"/>
    <w:rsid w:val="00CE7B76"/>
    <w:rsid w:val="00CF77EE"/>
    <w:rsid w:val="00D00D8B"/>
    <w:rsid w:val="00D01243"/>
    <w:rsid w:val="00D03D51"/>
    <w:rsid w:val="00D04B16"/>
    <w:rsid w:val="00D05A7D"/>
    <w:rsid w:val="00D07005"/>
    <w:rsid w:val="00D07747"/>
    <w:rsid w:val="00D16797"/>
    <w:rsid w:val="00D17C72"/>
    <w:rsid w:val="00D238E0"/>
    <w:rsid w:val="00D26165"/>
    <w:rsid w:val="00D27F45"/>
    <w:rsid w:val="00D30E1D"/>
    <w:rsid w:val="00D379B3"/>
    <w:rsid w:val="00D4446B"/>
    <w:rsid w:val="00D451F0"/>
    <w:rsid w:val="00D51863"/>
    <w:rsid w:val="00D51D7D"/>
    <w:rsid w:val="00D55C94"/>
    <w:rsid w:val="00D56AF5"/>
    <w:rsid w:val="00D60A82"/>
    <w:rsid w:val="00D6478B"/>
    <w:rsid w:val="00D669D3"/>
    <w:rsid w:val="00D66D8F"/>
    <w:rsid w:val="00D73F82"/>
    <w:rsid w:val="00D76795"/>
    <w:rsid w:val="00D84970"/>
    <w:rsid w:val="00D97D8F"/>
    <w:rsid w:val="00DA073E"/>
    <w:rsid w:val="00DA1783"/>
    <w:rsid w:val="00DA52FA"/>
    <w:rsid w:val="00DA785B"/>
    <w:rsid w:val="00DB5038"/>
    <w:rsid w:val="00DB62CE"/>
    <w:rsid w:val="00DC022E"/>
    <w:rsid w:val="00DC0A26"/>
    <w:rsid w:val="00DC6635"/>
    <w:rsid w:val="00DC7552"/>
    <w:rsid w:val="00DC7C2B"/>
    <w:rsid w:val="00DD3C2E"/>
    <w:rsid w:val="00DD4790"/>
    <w:rsid w:val="00DE128A"/>
    <w:rsid w:val="00DE4B4C"/>
    <w:rsid w:val="00DF1DFA"/>
    <w:rsid w:val="00E00018"/>
    <w:rsid w:val="00E009BB"/>
    <w:rsid w:val="00E05C56"/>
    <w:rsid w:val="00E11C61"/>
    <w:rsid w:val="00E1348A"/>
    <w:rsid w:val="00E20D0A"/>
    <w:rsid w:val="00E3498C"/>
    <w:rsid w:val="00E3555F"/>
    <w:rsid w:val="00E4403B"/>
    <w:rsid w:val="00E44CAF"/>
    <w:rsid w:val="00E45C02"/>
    <w:rsid w:val="00E46AF7"/>
    <w:rsid w:val="00E479B3"/>
    <w:rsid w:val="00E5317D"/>
    <w:rsid w:val="00E70541"/>
    <w:rsid w:val="00E71E39"/>
    <w:rsid w:val="00E74A16"/>
    <w:rsid w:val="00E7752F"/>
    <w:rsid w:val="00E77C97"/>
    <w:rsid w:val="00E80198"/>
    <w:rsid w:val="00E82F52"/>
    <w:rsid w:val="00E870D4"/>
    <w:rsid w:val="00E92D73"/>
    <w:rsid w:val="00E931EC"/>
    <w:rsid w:val="00EA32B1"/>
    <w:rsid w:val="00EA3D9A"/>
    <w:rsid w:val="00EA475C"/>
    <w:rsid w:val="00EB0421"/>
    <w:rsid w:val="00EB4324"/>
    <w:rsid w:val="00EB6982"/>
    <w:rsid w:val="00EC0479"/>
    <w:rsid w:val="00EC13D6"/>
    <w:rsid w:val="00ED3EFA"/>
    <w:rsid w:val="00ED3F5A"/>
    <w:rsid w:val="00ED40D8"/>
    <w:rsid w:val="00ED5322"/>
    <w:rsid w:val="00ED5881"/>
    <w:rsid w:val="00EE111E"/>
    <w:rsid w:val="00EF0BF0"/>
    <w:rsid w:val="00F02C2E"/>
    <w:rsid w:val="00F067B9"/>
    <w:rsid w:val="00F068F1"/>
    <w:rsid w:val="00F108DD"/>
    <w:rsid w:val="00F14350"/>
    <w:rsid w:val="00F148A5"/>
    <w:rsid w:val="00F24D0C"/>
    <w:rsid w:val="00F31C5F"/>
    <w:rsid w:val="00F32445"/>
    <w:rsid w:val="00F3336D"/>
    <w:rsid w:val="00F35967"/>
    <w:rsid w:val="00F42D98"/>
    <w:rsid w:val="00F47C0E"/>
    <w:rsid w:val="00F53D66"/>
    <w:rsid w:val="00F552B9"/>
    <w:rsid w:val="00F57DEB"/>
    <w:rsid w:val="00F723BB"/>
    <w:rsid w:val="00F77D5A"/>
    <w:rsid w:val="00F80477"/>
    <w:rsid w:val="00F84216"/>
    <w:rsid w:val="00F85684"/>
    <w:rsid w:val="00F85750"/>
    <w:rsid w:val="00F8721E"/>
    <w:rsid w:val="00F934D1"/>
    <w:rsid w:val="00F93686"/>
    <w:rsid w:val="00F94075"/>
    <w:rsid w:val="00F944A8"/>
    <w:rsid w:val="00F97AA5"/>
    <w:rsid w:val="00F97E06"/>
    <w:rsid w:val="00FA1110"/>
    <w:rsid w:val="00FA25F3"/>
    <w:rsid w:val="00FA26F3"/>
    <w:rsid w:val="00FA29DB"/>
    <w:rsid w:val="00FA49DA"/>
    <w:rsid w:val="00FA61DF"/>
    <w:rsid w:val="00FA6437"/>
    <w:rsid w:val="00FB10D6"/>
    <w:rsid w:val="00FB1A22"/>
    <w:rsid w:val="00FC4930"/>
    <w:rsid w:val="00FC516D"/>
    <w:rsid w:val="00FC7DF4"/>
    <w:rsid w:val="00FD58A2"/>
    <w:rsid w:val="00FD63D3"/>
    <w:rsid w:val="00FD688C"/>
    <w:rsid w:val="00FE3EE2"/>
    <w:rsid w:val="00FE5203"/>
    <w:rsid w:val="00FE56EB"/>
    <w:rsid w:val="00FE7DBF"/>
    <w:rsid w:val="00FF031A"/>
    <w:rsid w:val="00FF4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4C54F93"/>
  <w15:docId w15:val="{D168F1B4-FD5D-49A0-8D3A-6602BE48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F99"/>
    <w:pPr>
      <w:suppressAutoHyphens/>
      <w:spacing w:line="100" w:lineRule="atLeast"/>
      <w:jc w:val="both"/>
    </w:pPr>
    <w:rPr>
      <w:rFonts w:ascii="Garamond" w:hAnsi="Garamond"/>
      <w:bCs/>
      <w:kern w:val="1"/>
      <w:sz w:val="24"/>
      <w:szCs w:val="22"/>
      <w:lang w:eastAsia="ar-SA"/>
    </w:rPr>
  </w:style>
  <w:style w:type="paragraph" w:styleId="Heading1">
    <w:name w:val="heading 1"/>
    <w:basedOn w:val="Normal"/>
    <w:next w:val="Normal"/>
    <w:link w:val="Heading1Char"/>
    <w:uiPriority w:val="9"/>
    <w:qFormat/>
    <w:rsid w:val="006D1328"/>
    <w:pPr>
      <w:keepNext/>
      <w:keepLines/>
      <w:suppressAutoHyphens w:val="0"/>
      <w:spacing w:before="240" w:line="240" w:lineRule="auto"/>
      <w:jc w:val="left"/>
      <w:outlineLvl w:val="0"/>
    </w:pPr>
    <w:rPr>
      <w:rFonts w:asciiTheme="majorHAnsi" w:eastAsiaTheme="majorEastAsia" w:hAnsiTheme="majorHAnsi" w:cstheme="majorBidi"/>
      <w:bCs w:val="0"/>
      <w:color w:val="2F5496" w:themeColor="accent1" w:themeShade="BF"/>
      <w:kern w:val="0"/>
      <w:sz w:val="32"/>
      <w:szCs w:val="32"/>
      <w:lang w:eastAsia="en-GB"/>
    </w:rPr>
  </w:style>
  <w:style w:type="paragraph" w:styleId="Heading2">
    <w:name w:val="heading 2"/>
    <w:basedOn w:val="Normal"/>
    <w:next w:val="BodyText"/>
    <w:qFormat/>
    <w:rsid w:val="00336F99"/>
    <w:pPr>
      <w:keepNext/>
      <w:numPr>
        <w:ilvl w:val="1"/>
        <w:numId w:val="1"/>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336F99"/>
    <w:rPr>
      <w:color w:val="365F91"/>
    </w:rPr>
  </w:style>
  <w:style w:type="character" w:customStyle="1" w:styleId="ListLabel2">
    <w:name w:val="ListLabel 2"/>
    <w:rsid w:val="00336F99"/>
    <w:rPr>
      <w:rFonts w:cs="Courier New"/>
    </w:rPr>
  </w:style>
  <w:style w:type="character" w:customStyle="1" w:styleId="ListLabel3">
    <w:name w:val="ListLabel 3"/>
    <w:rsid w:val="00336F99"/>
    <w:rPr>
      <w:rFonts w:eastAsia="Times New Roman" w:cs="Arial"/>
    </w:rPr>
  </w:style>
  <w:style w:type="character" w:customStyle="1" w:styleId="Heading2Char">
    <w:name w:val="Heading 2 Char"/>
    <w:basedOn w:val="DefaultParagraphFont"/>
    <w:rsid w:val="00336F99"/>
  </w:style>
  <w:style w:type="character" w:customStyle="1" w:styleId="FootnoteTextChar">
    <w:name w:val="Footnote Text Char"/>
    <w:basedOn w:val="DefaultParagraphFont"/>
    <w:link w:val="FootnoteText"/>
    <w:uiPriority w:val="99"/>
    <w:rsid w:val="00336F99"/>
  </w:style>
  <w:style w:type="character" w:customStyle="1" w:styleId="FootnoteReference1">
    <w:name w:val="Footnote Reference1"/>
    <w:basedOn w:val="DefaultParagraphFont"/>
    <w:rsid w:val="00336F99"/>
  </w:style>
  <w:style w:type="character" w:customStyle="1" w:styleId="expand1">
    <w:name w:val="expand1"/>
    <w:basedOn w:val="DefaultParagraphFont"/>
    <w:rsid w:val="00336F99"/>
  </w:style>
  <w:style w:type="paragraph" w:customStyle="1" w:styleId="Heading">
    <w:name w:val="Heading"/>
    <w:basedOn w:val="Normal"/>
    <w:next w:val="BodyText"/>
    <w:rsid w:val="00336F99"/>
    <w:pPr>
      <w:keepNext/>
      <w:spacing w:before="240" w:after="120"/>
    </w:pPr>
    <w:rPr>
      <w:rFonts w:ascii="Arial" w:eastAsia="Lucida Sans Unicode" w:hAnsi="Arial" w:cs="Tahoma"/>
      <w:sz w:val="28"/>
      <w:szCs w:val="28"/>
    </w:rPr>
  </w:style>
  <w:style w:type="paragraph" w:styleId="BodyText">
    <w:name w:val="Body Text"/>
    <w:basedOn w:val="Normal"/>
    <w:rsid w:val="00336F99"/>
    <w:pPr>
      <w:spacing w:after="120"/>
    </w:pPr>
  </w:style>
  <w:style w:type="paragraph" w:styleId="List">
    <w:name w:val="List"/>
    <w:basedOn w:val="BodyText"/>
    <w:rsid w:val="00336F99"/>
    <w:rPr>
      <w:rFonts w:cs="Tahoma"/>
    </w:rPr>
  </w:style>
  <w:style w:type="paragraph" w:styleId="Caption">
    <w:name w:val="caption"/>
    <w:basedOn w:val="Normal"/>
    <w:qFormat/>
    <w:rsid w:val="00336F99"/>
    <w:pPr>
      <w:suppressLineNumbers/>
      <w:spacing w:before="120" w:after="120"/>
    </w:pPr>
    <w:rPr>
      <w:rFonts w:cs="Tahoma"/>
      <w:i/>
      <w:iCs/>
      <w:szCs w:val="24"/>
    </w:rPr>
  </w:style>
  <w:style w:type="paragraph" w:customStyle="1" w:styleId="Index">
    <w:name w:val="Index"/>
    <w:basedOn w:val="Normal"/>
    <w:rsid w:val="00336F99"/>
    <w:pPr>
      <w:suppressLineNumbers/>
    </w:pPr>
    <w:rPr>
      <w:rFonts w:cs="Tahoma"/>
    </w:rPr>
  </w:style>
  <w:style w:type="paragraph" w:customStyle="1" w:styleId="FootnoteText1">
    <w:name w:val="Footnote Text1"/>
    <w:basedOn w:val="Normal"/>
    <w:rsid w:val="00336F99"/>
  </w:style>
  <w:style w:type="paragraph" w:styleId="ListParagraph">
    <w:name w:val="List Paragraph"/>
    <w:basedOn w:val="Normal"/>
    <w:uiPriority w:val="34"/>
    <w:qFormat/>
    <w:rsid w:val="00336F99"/>
  </w:style>
  <w:style w:type="paragraph" w:customStyle="1" w:styleId="TableContents">
    <w:name w:val="Table Contents"/>
    <w:basedOn w:val="Normal"/>
    <w:rsid w:val="00336F99"/>
    <w:pPr>
      <w:suppressLineNumbers/>
    </w:pPr>
  </w:style>
  <w:style w:type="paragraph" w:styleId="PlainText">
    <w:name w:val="Plain Text"/>
    <w:basedOn w:val="Normal"/>
    <w:link w:val="PlainTextChar"/>
    <w:uiPriority w:val="99"/>
    <w:unhideWhenUsed/>
    <w:rsid w:val="000E5CE4"/>
    <w:pPr>
      <w:suppressAutoHyphens w:val="0"/>
      <w:spacing w:line="240" w:lineRule="auto"/>
      <w:jc w:val="left"/>
    </w:pPr>
    <w:rPr>
      <w:rFonts w:ascii="Consolas" w:eastAsia="Calibri" w:hAnsi="Consolas"/>
      <w:bCs w:val="0"/>
      <w:kern w:val="0"/>
      <w:sz w:val="21"/>
      <w:szCs w:val="21"/>
      <w:lang w:val="en-US" w:eastAsia="en-US"/>
    </w:rPr>
  </w:style>
  <w:style w:type="character" w:customStyle="1" w:styleId="PlainTextChar">
    <w:name w:val="Plain Text Char"/>
    <w:basedOn w:val="DefaultParagraphFont"/>
    <w:link w:val="PlainText"/>
    <w:uiPriority w:val="99"/>
    <w:rsid w:val="000E5CE4"/>
    <w:rPr>
      <w:rFonts w:ascii="Consolas" w:eastAsia="Calibri" w:hAnsi="Consolas" w:cs="Times New Roman"/>
      <w:sz w:val="21"/>
      <w:szCs w:val="21"/>
    </w:rPr>
  </w:style>
  <w:style w:type="character" w:styleId="Hyperlink">
    <w:name w:val="Hyperlink"/>
    <w:basedOn w:val="DefaultParagraphFont"/>
    <w:uiPriority w:val="99"/>
    <w:unhideWhenUsed/>
    <w:rsid w:val="00633B25"/>
    <w:rPr>
      <w:color w:val="0563C1" w:themeColor="hyperlink"/>
      <w:u w:val="single"/>
    </w:rPr>
  </w:style>
  <w:style w:type="character" w:customStyle="1" w:styleId="UnresolvedMention1">
    <w:name w:val="Unresolved Mention1"/>
    <w:basedOn w:val="DefaultParagraphFont"/>
    <w:uiPriority w:val="99"/>
    <w:semiHidden/>
    <w:unhideWhenUsed/>
    <w:rsid w:val="00633B25"/>
    <w:rPr>
      <w:color w:val="605E5C"/>
      <w:shd w:val="clear" w:color="auto" w:fill="E1DFDD"/>
    </w:rPr>
  </w:style>
  <w:style w:type="paragraph" w:styleId="FootnoteText">
    <w:name w:val="footnote text"/>
    <w:basedOn w:val="Normal"/>
    <w:link w:val="FootnoteTextChar"/>
    <w:uiPriority w:val="99"/>
    <w:unhideWhenUsed/>
    <w:rsid w:val="006122E1"/>
    <w:pPr>
      <w:suppressAutoHyphens w:val="0"/>
      <w:spacing w:line="240" w:lineRule="auto"/>
      <w:jc w:val="left"/>
    </w:pPr>
    <w:rPr>
      <w:rFonts w:ascii="Times New Roman" w:hAnsi="Times New Roman"/>
      <w:bCs w:val="0"/>
      <w:kern w:val="0"/>
      <w:sz w:val="20"/>
      <w:szCs w:val="20"/>
      <w:lang w:eastAsia="en-GB"/>
    </w:rPr>
  </w:style>
  <w:style w:type="character" w:customStyle="1" w:styleId="FootnoteTextChar1">
    <w:name w:val="Footnote Text Char1"/>
    <w:basedOn w:val="DefaultParagraphFont"/>
    <w:uiPriority w:val="99"/>
    <w:semiHidden/>
    <w:rsid w:val="006122E1"/>
    <w:rPr>
      <w:rFonts w:ascii="Garamond" w:hAnsi="Garamond"/>
      <w:bCs/>
      <w:kern w:val="1"/>
      <w:lang w:eastAsia="ar-SA"/>
    </w:rPr>
  </w:style>
  <w:style w:type="character" w:styleId="FootnoteReference">
    <w:name w:val="footnote reference"/>
    <w:basedOn w:val="DefaultParagraphFont"/>
    <w:uiPriority w:val="99"/>
    <w:semiHidden/>
    <w:unhideWhenUsed/>
    <w:rsid w:val="006122E1"/>
    <w:rPr>
      <w:vertAlign w:val="superscript"/>
    </w:rPr>
  </w:style>
  <w:style w:type="character" w:customStyle="1" w:styleId="highlight">
    <w:name w:val="highlight"/>
    <w:basedOn w:val="DefaultParagraphFont"/>
    <w:rsid w:val="004E43CA"/>
  </w:style>
  <w:style w:type="character" w:customStyle="1" w:styleId="A3">
    <w:name w:val="A3"/>
    <w:uiPriority w:val="99"/>
    <w:rsid w:val="005C1779"/>
    <w:rPr>
      <w:rFonts w:cs="Minion Pro"/>
      <w:color w:val="000000"/>
      <w:sz w:val="22"/>
      <w:szCs w:val="22"/>
    </w:rPr>
  </w:style>
  <w:style w:type="character" w:customStyle="1" w:styleId="Heading1Char">
    <w:name w:val="Heading 1 Char"/>
    <w:basedOn w:val="DefaultParagraphFont"/>
    <w:link w:val="Heading1"/>
    <w:uiPriority w:val="9"/>
    <w:rsid w:val="006D1328"/>
    <w:rPr>
      <w:rFonts w:asciiTheme="majorHAnsi" w:eastAsiaTheme="majorEastAsia" w:hAnsiTheme="majorHAnsi" w:cstheme="majorBidi"/>
      <w:color w:val="2F5496" w:themeColor="accent1" w:themeShade="BF"/>
      <w:sz w:val="32"/>
      <w:szCs w:val="32"/>
    </w:rPr>
  </w:style>
  <w:style w:type="table" w:customStyle="1" w:styleId="GridTable6Colorful-Accent21">
    <w:name w:val="Grid Table 6 Colorful - Accent 21"/>
    <w:basedOn w:val="TableNormal"/>
    <w:uiPriority w:val="51"/>
    <w:rsid w:val="009F3818"/>
    <w:rPr>
      <w:rFonts w:asciiTheme="minorHAnsi" w:eastAsiaTheme="minorHAnsi" w:hAnsiTheme="minorHAnsi" w:cstheme="minorBidi"/>
      <w:color w:val="C45911" w:themeColor="accent2" w:themeShade="BF"/>
      <w:sz w:val="22"/>
      <w:szCs w:val="22"/>
      <w:lang w:val="en-US"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11">
    <w:name w:val="Grid Table 1 Light - Accent 11"/>
    <w:basedOn w:val="TableNormal"/>
    <w:uiPriority w:val="46"/>
    <w:rsid w:val="00125A3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97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AA5"/>
    <w:rPr>
      <w:rFonts w:ascii="Segoe UI" w:hAnsi="Segoe UI" w:cs="Segoe UI"/>
      <w:bCs/>
      <w:kern w:val="1"/>
      <w:sz w:val="18"/>
      <w:szCs w:val="18"/>
      <w:lang w:eastAsia="ar-SA"/>
    </w:rPr>
  </w:style>
  <w:style w:type="character" w:styleId="CommentReference">
    <w:name w:val="annotation reference"/>
    <w:basedOn w:val="DefaultParagraphFont"/>
    <w:uiPriority w:val="99"/>
    <w:semiHidden/>
    <w:unhideWhenUsed/>
    <w:rsid w:val="00640DC2"/>
    <w:rPr>
      <w:sz w:val="16"/>
      <w:szCs w:val="16"/>
    </w:rPr>
  </w:style>
  <w:style w:type="paragraph" w:styleId="CommentText">
    <w:name w:val="annotation text"/>
    <w:basedOn w:val="Normal"/>
    <w:link w:val="CommentTextChar"/>
    <w:uiPriority w:val="99"/>
    <w:semiHidden/>
    <w:unhideWhenUsed/>
    <w:rsid w:val="00640DC2"/>
    <w:pPr>
      <w:spacing w:line="240" w:lineRule="auto"/>
    </w:pPr>
    <w:rPr>
      <w:sz w:val="20"/>
      <w:szCs w:val="20"/>
    </w:rPr>
  </w:style>
  <w:style w:type="character" w:customStyle="1" w:styleId="CommentTextChar">
    <w:name w:val="Comment Text Char"/>
    <w:basedOn w:val="DefaultParagraphFont"/>
    <w:link w:val="CommentText"/>
    <w:uiPriority w:val="99"/>
    <w:semiHidden/>
    <w:rsid w:val="00640DC2"/>
    <w:rPr>
      <w:rFonts w:ascii="Garamond" w:hAnsi="Garamond"/>
      <w:bCs/>
      <w:kern w:val="1"/>
      <w:lang w:eastAsia="ar-SA"/>
    </w:rPr>
  </w:style>
  <w:style w:type="paragraph" w:styleId="CommentSubject">
    <w:name w:val="annotation subject"/>
    <w:basedOn w:val="CommentText"/>
    <w:next w:val="CommentText"/>
    <w:link w:val="CommentSubjectChar"/>
    <w:uiPriority w:val="99"/>
    <w:semiHidden/>
    <w:unhideWhenUsed/>
    <w:rsid w:val="00640DC2"/>
    <w:rPr>
      <w:b/>
    </w:rPr>
  </w:style>
  <w:style w:type="character" w:customStyle="1" w:styleId="CommentSubjectChar">
    <w:name w:val="Comment Subject Char"/>
    <w:basedOn w:val="CommentTextChar"/>
    <w:link w:val="CommentSubject"/>
    <w:uiPriority w:val="99"/>
    <w:semiHidden/>
    <w:rsid w:val="00640DC2"/>
    <w:rPr>
      <w:rFonts w:ascii="Garamond" w:hAnsi="Garamond"/>
      <w:b/>
      <w:bCs/>
      <w:kern w:val="1"/>
      <w:lang w:eastAsia="ar-SA"/>
    </w:rPr>
  </w:style>
  <w:style w:type="paragraph" w:styleId="Header">
    <w:name w:val="header"/>
    <w:basedOn w:val="Normal"/>
    <w:link w:val="HeaderChar"/>
    <w:uiPriority w:val="99"/>
    <w:unhideWhenUsed/>
    <w:rsid w:val="007E3F73"/>
    <w:pPr>
      <w:tabs>
        <w:tab w:val="center" w:pos="4680"/>
        <w:tab w:val="right" w:pos="9360"/>
      </w:tabs>
      <w:spacing w:line="240" w:lineRule="auto"/>
    </w:pPr>
  </w:style>
  <w:style w:type="character" w:customStyle="1" w:styleId="HeaderChar">
    <w:name w:val="Header Char"/>
    <w:basedOn w:val="DefaultParagraphFont"/>
    <w:link w:val="Header"/>
    <w:uiPriority w:val="99"/>
    <w:rsid w:val="007E3F73"/>
    <w:rPr>
      <w:rFonts w:ascii="Garamond" w:hAnsi="Garamond"/>
      <w:bCs/>
      <w:kern w:val="1"/>
      <w:sz w:val="24"/>
      <w:szCs w:val="22"/>
      <w:lang w:eastAsia="ar-SA"/>
    </w:rPr>
  </w:style>
  <w:style w:type="paragraph" w:styleId="Footer">
    <w:name w:val="footer"/>
    <w:basedOn w:val="Normal"/>
    <w:link w:val="FooterChar"/>
    <w:uiPriority w:val="99"/>
    <w:unhideWhenUsed/>
    <w:rsid w:val="007E3F73"/>
    <w:pPr>
      <w:tabs>
        <w:tab w:val="center" w:pos="4680"/>
        <w:tab w:val="right" w:pos="9360"/>
      </w:tabs>
      <w:spacing w:line="240" w:lineRule="auto"/>
    </w:pPr>
  </w:style>
  <w:style w:type="character" w:customStyle="1" w:styleId="FooterChar">
    <w:name w:val="Footer Char"/>
    <w:basedOn w:val="DefaultParagraphFont"/>
    <w:link w:val="Footer"/>
    <w:uiPriority w:val="99"/>
    <w:rsid w:val="007E3F73"/>
    <w:rPr>
      <w:rFonts w:ascii="Garamond" w:hAnsi="Garamond"/>
      <w:bCs/>
      <w:kern w:val="1"/>
      <w:sz w:val="24"/>
      <w:szCs w:val="22"/>
      <w:lang w:eastAsia="ar-SA"/>
    </w:rPr>
  </w:style>
  <w:style w:type="paragraph" w:styleId="NormalWeb">
    <w:name w:val="Normal (Web)"/>
    <w:basedOn w:val="Normal"/>
    <w:uiPriority w:val="99"/>
    <w:semiHidden/>
    <w:unhideWhenUsed/>
    <w:rsid w:val="00CE659D"/>
    <w:pPr>
      <w:suppressAutoHyphens w:val="0"/>
      <w:spacing w:before="100" w:beforeAutospacing="1" w:after="100" w:afterAutospacing="1" w:line="240" w:lineRule="auto"/>
      <w:jc w:val="left"/>
    </w:pPr>
    <w:rPr>
      <w:rFonts w:ascii="Times New Roman" w:hAnsi="Times New Roman"/>
      <w:bCs w:val="0"/>
      <w:kern w:val="0"/>
      <w:szCs w:val="24"/>
      <w:lang w:val="en-US" w:eastAsia="en-US"/>
    </w:rPr>
  </w:style>
  <w:style w:type="character" w:styleId="Strong">
    <w:name w:val="Strong"/>
    <w:basedOn w:val="DefaultParagraphFont"/>
    <w:uiPriority w:val="22"/>
    <w:qFormat/>
    <w:rsid w:val="00CE6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14106">
      <w:bodyDiv w:val="1"/>
      <w:marLeft w:val="0"/>
      <w:marRight w:val="0"/>
      <w:marTop w:val="0"/>
      <w:marBottom w:val="0"/>
      <w:divBdr>
        <w:top w:val="none" w:sz="0" w:space="0" w:color="auto"/>
        <w:left w:val="none" w:sz="0" w:space="0" w:color="auto"/>
        <w:bottom w:val="none" w:sz="0" w:space="0" w:color="auto"/>
        <w:right w:val="none" w:sz="0" w:space="0" w:color="auto"/>
      </w:divBdr>
    </w:div>
    <w:div w:id="770247462">
      <w:bodyDiv w:val="1"/>
      <w:marLeft w:val="0"/>
      <w:marRight w:val="0"/>
      <w:marTop w:val="0"/>
      <w:marBottom w:val="0"/>
      <w:divBdr>
        <w:top w:val="none" w:sz="0" w:space="0" w:color="auto"/>
        <w:left w:val="none" w:sz="0" w:space="0" w:color="auto"/>
        <w:bottom w:val="none" w:sz="0" w:space="0" w:color="auto"/>
        <w:right w:val="none" w:sz="0" w:space="0" w:color="auto"/>
      </w:divBdr>
    </w:div>
    <w:div w:id="804156653">
      <w:bodyDiv w:val="1"/>
      <w:marLeft w:val="0"/>
      <w:marRight w:val="0"/>
      <w:marTop w:val="0"/>
      <w:marBottom w:val="0"/>
      <w:divBdr>
        <w:top w:val="none" w:sz="0" w:space="0" w:color="auto"/>
        <w:left w:val="none" w:sz="0" w:space="0" w:color="auto"/>
        <w:bottom w:val="none" w:sz="0" w:space="0" w:color="auto"/>
        <w:right w:val="none" w:sz="0" w:space="0" w:color="auto"/>
      </w:divBdr>
    </w:div>
    <w:div w:id="1183011920">
      <w:bodyDiv w:val="1"/>
      <w:marLeft w:val="0"/>
      <w:marRight w:val="0"/>
      <w:marTop w:val="0"/>
      <w:marBottom w:val="0"/>
      <w:divBdr>
        <w:top w:val="none" w:sz="0" w:space="0" w:color="auto"/>
        <w:left w:val="none" w:sz="0" w:space="0" w:color="auto"/>
        <w:bottom w:val="none" w:sz="0" w:space="0" w:color="auto"/>
        <w:right w:val="none" w:sz="0" w:space="0" w:color="auto"/>
      </w:divBdr>
    </w:div>
    <w:div w:id="18183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41C583-EDFD-4A9C-B916-3DBEB1D1FD85}">
  <we:reference id="wa104379177" version="1.0.0.1" store="en-US" storeType="OMEX"/>
  <we:alternateReferences>
    <we:reference id="wa104379177" version="1.0.0.1" store="wa1043791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D0CEA-888B-47D3-8D68-EC2F12C4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7</Pages>
  <Words>3120</Words>
  <Characters>17788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Radulovic</dc:creator>
  <cp:keywords/>
  <cp:lastModifiedBy>Danijela Pejovic</cp:lastModifiedBy>
  <cp:revision>54</cp:revision>
  <cp:lastPrinted>2025-11-26T13:54:00Z</cp:lastPrinted>
  <dcterms:created xsi:type="dcterms:W3CDTF">2024-08-12T12:29:00Z</dcterms:created>
  <dcterms:modified xsi:type="dcterms:W3CDTF">2025-11-26T13:55:00Z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bc4ad45f6576e9e3bb2f01dc444657cfc89c78bc0980cb1316fb2380f0ae6ac4</vt:lpwstr>
  </property>
</Properties>
</file>