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19D" w:rsidRDefault="0041219D" w:rsidP="0041219D">
      <w:pPr>
        <w:spacing w:before="0" w:after="0" w:line="240" w:lineRule="auto"/>
        <w:jc w:val="left"/>
        <w:outlineLvl w:val="0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PJ Carinarnicama</w:t>
      </w:r>
    </w:p>
    <w:p w:rsidR="0041219D" w:rsidRDefault="0041219D" w:rsidP="0041219D">
      <w:pPr>
        <w:spacing w:before="0" w:after="0" w:line="240" w:lineRule="auto"/>
        <w:jc w:val="left"/>
        <w:outlineLvl w:val="0"/>
        <w:rPr>
          <w:rFonts w:ascii="Arial" w:hAnsi="Arial" w:cs="Arial"/>
          <w:bCs/>
          <w:sz w:val="22"/>
          <w:lang w:val="hr-HR"/>
        </w:rPr>
      </w:pPr>
    </w:p>
    <w:p w:rsidR="0041219D" w:rsidRDefault="0041219D" w:rsidP="0041219D">
      <w:pPr>
        <w:rPr>
          <w:rFonts w:ascii="Arial" w:hAnsi="Arial" w:cs="Arial"/>
          <w:sz w:val="22"/>
        </w:rPr>
      </w:pPr>
      <w:r>
        <w:rPr>
          <w:rFonts w:ascii="Arial" w:eastAsia="Calibri" w:hAnsi="Arial" w:cs="Arial"/>
          <w:b/>
          <w:sz w:val="22"/>
          <w:lang w:val="hr-HR"/>
        </w:rPr>
        <w:t>Predmet: Obavještenje</w:t>
      </w:r>
      <w:r>
        <w:rPr>
          <w:rFonts w:ascii="Arial" w:eastAsia="Calibri" w:hAnsi="Arial" w:cs="Arial"/>
          <w:sz w:val="22"/>
          <w:lang w:val="hr-HR"/>
        </w:rPr>
        <w:t xml:space="preserve"> –</w:t>
      </w:r>
      <w:r>
        <w:rPr>
          <w:rFonts w:ascii="Arial" w:eastAsia="Calibri" w:hAnsi="Arial" w:cs="Arial"/>
          <w:b/>
          <w:sz w:val="22"/>
          <w:lang w:val="hr-HR"/>
        </w:rPr>
        <w:t xml:space="preserve"> </w:t>
      </w:r>
      <w:r>
        <w:rPr>
          <w:rFonts w:ascii="Arial" w:hAnsi="Arial" w:cs="Arial"/>
          <w:sz w:val="22"/>
        </w:rPr>
        <w:t>Primjena revidiranih pravila porijekla Regionalne konvencije o Pan-Euro-Mediteranskim preferencijalnim pravilima porijekla</w:t>
      </w:r>
    </w:p>
    <w:p w:rsidR="0041219D" w:rsidRDefault="0041219D" w:rsidP="0041219D">
      <w:pPr>
        <w:rPr>
          <w:rFonts w:ascii="Arial" w:hAnsi="Arial" w:cs="Arial"/>
          <w:sz w:val="22"/>
        </w:rPr>
      </w:pPr>
    </w:p>
    <w:p w:rsidR="0041219D" w:rsidRDefault="0041219D" w:rsidP="0041219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Regionalna konvencija o Pan-Euro-Mediteranskim preferencijalnim pravilima porijekla („Sl.list CG- Međunarodni ugovori“, br.7/12) izmijenjena je i dopunjena Odlukom br.1/2023 PEM Zajedničkog komiteta na sjednici održanoj 07.12.2023.g.</w:t>
      </w:r>
    </w:p>
    <w:p w:rsidR="0041219D" w:rsidRDefault="0041219D" w:rsidP="0041219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Odluka će, za Crnu Goru i većinu ugovornih strana Konvencije, početi da se primjenjuje od 01.01.2025.g. čime će otpočeti primjena revidiranih pravila porijekla Regionalne konvencije o Pan-Euro-Mediteranskim preferencijalnim pravilima porijekla (u daljem tekstu „Revidirana PEM Konvencija“) i to: u Sporazumu o stabilizaciji i pridruživanju između Evropskih zajednica i njihovih država članica, s jedne strane i Republike Crne Gore, s druge strane, Centralnoevropskom sporazumu o slobodnoj trgovini- CEFTA 2006 i Sporazumu o slobodnoj trgovini između EFTA zemalja i Crne Gore.  U odnosu na Sporazum o slobodnoj trgovini između Crne Gore i Republike Turske, s obzirom da još nisu okončani pregovori za izmjenu bilateralnog protokola o pravilima porijekla, Revidirana PEM Konvencija između Crne Gore i R.Turske će početi da se primjenjuje nakon okončanja pregovora i nacionalnih procedura za usvajanje.</w:t>
      </w:r>
    </w:p>
    <w:p w:rsidR="0041219D" w:rsidRDefault="0041219D" w:rsidP="0041219D">
      <w:pPr>
        <w:ind w:firstLine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 cilju pravilne i jednoobrazne primjene novih revidiranih pravila, Uprava carina daje sledeće objašnjenje.</w:t>
      </w:r>
    </w:p>
    <w:p w:rsidR="0041219D" w:rsidRDefault="0041219D" w:rsidP="0041219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41219D" w:rsidRDefault="0041219D" w:rsidP="0041219D">
      <w:pPr>
        <w:ind w:left="709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REVIDIRANA PEM KONVENCIJA (Prilog I)</w:t>
      </w:r>
    </w:p>
    <w:p w:rsidR="0041219D" w:rsidRDefault="0041219D" w:rsidP="0041219D">
      <w:pPr>
        <w:pStyle w:val="PointDouble0"/>
        <w:numPr>
          <w:ilvl w:val="0"/>
          <w:numId w:val="1"/>
        </w:numPr>
        <w:spacing w:before="0" w:after="0" w:line="240" w:lineRule="auto"/>
        <w:jc w:val="both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Sticanje crnogorskog porijekla</w:t>
      </w:r>
    </w:p>
    <w:p w:rsidR="0041219D" w:rsidRDefault="0041219D" w:rsidP="0041219D">
      <w:pPr>
        <w:pStyle w:val="PointDouble0"/>
        <w:spacing w:before="0" w:after="0" w:line="240" w:lineRule="auto"/>
        <w:jc w:val="both"/>
        <w:rPr>
          <w:rFonts w:ascii="Arial" w:hAnsi="Arial" w:cs="Arial"/>
          <w:b/>
          <w:sz w:val="22"/>
          <w:u w:val="single"/>
        </w:rPr>
      </w:pP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Prema Revidiranoj PEM Konvenciji proizvod stiče porijeklo ukoliko je u potpunosti dobijen (čl.2 st.1 (a)) ili je dovoljno obrađen ili prerađen (čl.2 st.1 (b)).</w:t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U potpunosti dobijeni proizvodi, iz čl.2 st.1 (a), taksativno su nabrojani u čl.3 Priloga I Revidirane PEM Konvencije.</w:t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Dovoljno obrađenim ili prerađenim proizvodima, iz čl.2 st.1 (b), smatraju se proizvodi koji ispunjavaju uslove iz čl.4 Priloga I. Riječ je o proizvodima koji nisu u potpunosti dobijeni, ali ispunjavaju uslove iz Liste obrade ili prerade (Aneks II Priloga I), u daljem tekstu “Lista”.</w:t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Za neke od proizvoda, pravilo iz Liste dodjeljuje status porijekla na osnovu vrjedonosnog ograničenja upotrebe materijala bez porijekla. U tom slučaju ukupna vrijednost svih materijala bez porijekla ne smije da premaši procenat u okviru cijene finalnog proizvoda franko fabrika.</w:t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proofErr w:type="gramStart"/>
      <w:r>
        <w:rPr>
          <w:rFonts w:ascii="Arial" w:hAnsi="Arial" w:cs="Arial"/>
          <w:sz w:val="22"/>
        </w:rPr>
        <w:t>Međutim,  čl</w:t>
      </w:r>
      <w:proofErr w:type="gramEnd"/>
      <w:r>
        <w:rPr>
          <w:rFonts w:ascii="Arial" w:hAnsi="Arial" w:cs="Arial"/>
          <w:sz w:val="22"/>
        </w:rPr>
        <w:t>.4 Priloga I nudi izvozniku/dobavljaču mogućnost da zatraži od carinskog organa dozvolu da izračunava cijenu finalnog proizvoda i vrijednost materijala bez porijekla na prosječnoj osnovi, u cilju uzimanja u obzir fluktuacije cijena i kursa valuta. Ova mogućnost ne dovodi u pitanje standardne metode vrednovanja zaliha prihvaće u Strani i korišćene od strane privrednog subjekta.</w:t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41219D" w:rsidRDefault="0041219D" w:rsidP="0041219D">
      <w:pPr>
        <w:pStyle w:val="PointDouble0"/>
        <w:numPr>
          <w:ilvl w:val="0"/>
          <w:numId w:val="1"/>
        </w:numPr>
        <w:spacing w:before="0" w:after="0" w:line="240" w:lineRule="auto"/>
        <w:jc w:val="both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Pravilo o dozvoljenom odstupanju- pravilo tolerancije</w:t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b/>
          <w:sz w:val="22"/>
          <w:u w:val="single"/>
        </w:rPr>
      </w:pP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Revidirana PEM Konvencija predviđa 15% tolerancije za poljoprivredne, kao i sve ostale proizvode, </w:t>
      </w:r>
      <w:r>
        <w:rPr>
          <w:rFonts w:ascii="Arial" w:hAnsi="Arial" w:cs="Arial"/>
          <w:sz w:val="22"/>
          <w:u w:val="single"/>
        </w:rPr>
        <w:t>osim</w:t>
      </w:r>
      <w:r>
        <w:rPr>
          <w:rFonts w:ascii="Arial" w:hAnsi="Arial" w:cs="Arial"/>
          <w:sz w:val="22"/>
        </w:rPr>
        <w:t xml:space="preserve"> za proizvode od tekstila (Glave 50-63 Harmonizovanog Sistema).</w:t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ab/>
        <w:t>Međutim, potrebno je obratiti pažnju da postoji razlika o odnosu na to na šta se ovaj procenat odnosi. Za poljoprivredne proizvode 15% se odnosi na neto masu proizvoda, dok se za ostale proizvode ovaj procenat odnosi na cijenu proizvoda franko fabrika.</w:t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Primjenjujući toleranciju u proizvodnji finalnog proizvoda, nije dozvoljeno premašiti maksimalni procenat materijala bez porijekla u pravilu iz Liste. Ovo znači da procenti ne mogu da se kumuliraju u cilju ispunjenja uslova iz Liste.</w:t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Za proizvode od tekstila (Glave 50-63 HS) predviđeno je dozvoljeno odstupanje od 15-30% (uvodne napomene 6 i 7 uz Listu).</w:t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</w:p>
    <w:p w:rsidR="0041219D" w:rsidRDefault="0041219D" w:rsidP="0041219D">
      <w:pPr>
        <w:pStyle w:val="PointDouble0"/>
        <w:numPr>
          <w:ilvl w:val="0"/>
          <w:numId w:val="1"/>
        </w:numPr>
        <w:spacing w:before="0" w:after="0" w:line="240" w:lineRule="auto"/>
        <w:jc w:val="both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Kumulacija porijekla</w:t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b/>
          <w:sz w:val="22"/>
          <w:u w:val="single"/>
        </w:rPr>
      </w:pP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Revidirana PEM Konvencija (čl.7) zadržava dijagonalnu kumulaciju za sve proizvode pod uslovom da se koriste identična pravila o porijeklu između Strana uključenih u kumulaciju. Pored toga, nova pravila predviđaju opštu punu </w:t>
      </w:r>
      <w:proofErr w:type="gramStart"/>
      <w:r>
        <w:rPr>
          <w:rFonts w:ascii="Arial" w:hAnsi="Arial" w:cs="Arial"/>
          <w:sz w:val="22"/>
        </w:rPr>
        <w:t>kumulaciju  za</w:t>
      </w:r>
      <w:proofErr w:type="gramEnd"/>
      <w:r>
        <w:rPr>
          <w:rFonts w:ascii="Arial" w:hAnsi="Arial" w:cs="Arial"/>
          <w:sz w:val="22"/>
        </w:rPr>
        <w:t xml:space="preserve"> sve proizvode izuzev za proizvode od tekstila iz Glava 50-63 Harmonizovanog sistema.</w:t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Osim toga, za proizvode iz Glava 50-63 HS, revidirana pravila omogućavaju bilateralnu punu kumulaciju. U tom kontekstu, Stranama je data mogućnost dogovora o proširenju opše pune kumulacije takođe i na proizvode iz Glava 50-63 HS. Strana koja odabere ovu mogućnost će obavijestiti drugu Stranu i informisati Evropsku Komisiju (čl.7 (4)).</w:t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Član 8 (1) navodi uslove za primjenu kumulacije po revidiranim pravilima, i to da:</w:t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-postoji preferencijalni ugovor između Strana ugovornica uključenih u sticanje statusa porijekla i Strane ugovornice odredišta,</w:t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-roba stiče status porijekla primjenom identičnih pravila porijekla.</w:t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Član 8 (3) propisuje da dokaz o porijeklu izdat na osnovu primjene kumulacije u skladu sa čl.7 mora da sadrži sledeću izjavu na engleskom “CUMULATION APPLIED WITH” i ime “države” ili “država” Strana ugovornica na engleskom, dok stav 4 istog člana omogućava Stranama da se odreknu obaveze da u dokaz o porijeklu unesu gore navedenu izjavu za proizvode koji su stekli status porijekla u Strani izvoznici primjenom kumulacije. Zainteresovane Strane će obavijestiti Evropsku Komisiju o ovom odricanju.</w:t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U službenom listu EU se objavljuje i redovno ažurirana matrica koja sadrži informacije o:</w:t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-mogućnosti kumulacije između Strana po Revidiranoj PEM Konvenciji,</w:t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-proširenju pune dijagonalne kumulacije na proizvode iz Glava 50 do 63,</w:t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-odricanju od obaveze da se u dokaz o porijeklu unesu informacije o kumulaciji.</w:t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ab/>
      </w:r>
    </w:p>
    <w:p w:rsidR="0041219D" w:rsidRDefault="0041219D" w:rsidP="0041219D">
      <w:pPr>
        <w:pStyle w:val="PointDouble0"/>
        <w:numPr>
          <w:ilvl w:val="0"/>
          <w:numId w:val="1"/>
        </w:numPr>
        <w:spacing w:before="0" w:after="0" w:line="240" w:lineRule="auto"/>
        <w:jc w:val="both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Odvojeno knjigovodstveno iskazivanje</w:t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b/>
          <w:sz w:val="22"/>
          <w:u w:val="single"/>
        </w:rPr>
      </w:pP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Cilj odvojenog knjigovodstvenog iskazivanja je da privrednim subjektima olakša zajedničko skladištenje materijala sa i bez porijekla. Po metodi odvojenog knjigovodstvenog iskazivanja, ekvivalentni materijali sa i bez porijekla mogu da se skladište zajedno, pri čemu materijali sa porijeklom ne gube svoj status porijekla.</w:t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U trenutku utvrđivanja porijekla proizvoda, proizvođač mora da ima na stanju dovoljne količine materijala sa porijeklom, što je prikazano u evidenciji zaliha (na osnovu opštih računovodstvenih načela u Strani izvoznici) kako bi se proizveo proizvod sa porijeklom.</w:t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Strana koja primjenjuje ovo pravilo odlučuje da li je potrebno prethodno odobrenje carinskog organa ili ne. Nije neophodno obrazloženje da držanje odvojenih zaliha donosi znatne troškove ili izaziva materijalne poteškoće.</w:t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</w:p>
    <w:p w:rsidR="0041219D" w:rsidRDefault="0041219D" w:rsidP="0041219D">
      <w:pPr>
        <w:pStyle w:val="PointDouble0"/>
        <w:numPr>
          <w:ilvl w:val="0"/>
          <w:numId w:val="1"/>
        </w:numPr>
        <w:spacing w:before="0" w:after="0" w:line="240" w:lineRule="auto"/>
        <w:jc w:val="both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lastRenderedPageBreak/>
        <w:t>Princip teritorijalnosti</w:t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b/>
          <w:sz w:val="22"/>
          <w:u w:val="single"/>
        </w:rPr>
      </w:pP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Teritorijalni zahtjev ne sadrži više isključenje za tekstil (čl.13)</w:t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Obrada ili prerada može da bude obavljena izvan PEM zone kumulacije, a da finalni proizvod ne izgubi svoj status porijekla ako su ispunjena sledeća četiri uslova:</w:t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1.roba koja se izvozi na obradu ili preradu van zone kumulacije ima status porijekla u zoni;</w:t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2.dokaže se da je ponovo uvezena roba rezultat obrade ili prerade izvršene nad prethodno izvezenim materijalima u treću državu;</w:t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3.da ukupno ostvarena dodata vrijednost van zone kumulacije ne prelazi 10% od cijene proizvoda franko fabrika proizvoda za koji se traži porijeklo;</w:t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4.da obrada ili prerada izvršena van zone kumulacije bude obavljana kroz postupak pasivnog oplemenjivanja ili sličan postupak.</w:t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Ukoliko bilo koji od navedenih uslova ne može biti ispunjen, ponovo uvezena roba će se smatrati robom bez porijekla. Uslovi pan-euro-mediteranske kumulacije porijekla (čl. 13), ne odnose se samo na proizvode koji se izvoze u treće zemlje, već i u one u kojima kumulacija nije primjenjiva.</w:t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b/>
          <w:sz w:val="22"/>
          <w:u w:val="single"/>
        </w:rPr>
      </w:pPr>
    </w:p>
    <w:p w:rsidR="0041219D" w:rsidRDefault="0041219D" w:rsidP="0041219D">
      <w:pPr>
        <w:pStyle w:val="PointDouble0"/>
        <w:numPr>
          <w:ilvl w:val="0"/>
          <w:numId w:val="1"/>
        </w:numPr>
        <w:spacing w:before="0" w:after="0" w:line="240" w:lineRule="auto"/>
        <w:jc w:val="both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Neizmijenjenost</w:t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b/>
          <w:sz w:val="22"/>
          <w:u w:val="single"/>
        </w:rPr>
      </w:pP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Pravilo </w:t>
      </w:r>
      <w:proofErr w:type="gramStart"/>
      <w:r>
        <w:rPr>
          <w:rFonts w:ascii="Arial" w:hAnsi="Arial" w:cs="Arial"/>
          <w:sz w:val="22"/>
        </w:rPr>
        <w:t>neizmijenjenosti  (</w:t>
      </w:r>
      <w:proofErr w:type="gramEnd"/>
      <w:r>
        <w:rPr>
          <w:rFonts w:ascii="Arial" w:hAnsi="Arial" w:cs="Arial"/>
          <w:sz w:val="22"/>
        </w:rPr>
        <w:t>čl.14) predviđa olakšanje kretanja proizvoda sa porijeklom između Strana ugovornica.</w:t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Prema ovom pravilu, ukoliko je roba uskladištena u trećoj državi tranzita moguće je vršiti jednostavnije radnje nad robom kao što su: obelježavanje, dodavanje etiketa, žigova i dijeljenje pošiljke.</w:t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Dijeljenje pošiljki može se vršiti u trećoj državi tranzita kada je obavlja izvoznik na svoju odgovornost, pod uslovom da se roba nalazi pod carinskim nadzorom.</w:t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Ukoliko nema sumnje u porijeklo robe, prilikom uvoznog carinjenja se odobrava preferencijalni tarifni tretman bez obaveze prilaganja dokumenata izdatih u trećoj državi tranzita.</w:t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Međutim, ukoliko carinski organ ima razlog da vjeruje da nisu ispunjeni potrebni uslovi od izvoznika se može zahtijati da dostavi sledeću dokumentaciju:</w:t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1.ugovorna transportna dokumenta, npr. tovarna isprava;</w:t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2.činjenične i konkretne dokaze vezano za označavanje ili numerisanje koleta;</w:t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3.uvjerenje o nemanipulaciji od strane carinskih organa države/država tranzita ili dijeljenja pošiljke ili bilo koja druga dokumenta koja pokazuju da je roba ostala pod carinskim nadzorom u državi/državama tranzita ili dijeljenja pošiljke;</w:t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4.bilo koja druga dokumenta vezano za samu robu.</w:t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</w:p>
    <w:p w:rsidR="0041219D" w:rsidRDefault="0041219D" w:rsidP="0041219D">
      <w:pPr>
        <w:pStyle w:val="PointDouble0"/>
        <w:numPr>
          <w:ilvl w:val="0"/>
          <w:numId w:val="1"/>
        </w:numPr>
        <w:spacing w:before="0" w:after="0" w:line="240" w:lineRule="auto"/>
        <w:jc w:val="both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Zabrana povraćaja ili oslobođenja od carinskih dažbina (draw back)</w:t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b/>
          <w:sz w:val="22"/>
          <w:u w:val="single"/>
        </w:rPr>
      </w:pP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Revidiranom PEM Konvencijom (čl.16) ukinuta je zabrana povraćaja ili oslobođenja od carinskih dažbina na materijale upotrijebljene u proizvodnji finalnog proizvoda, sa izuzetkom materijala koji se upotrebljavaju za izradu finalnih proizvoda koji se svrstavaju u Glave 50 do 63 HS.</w:t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Smisao ovog člana je da spriječi “povraćaj” za tekstilne materijale bez porijekla upotrijebljene u izradi finalnog proizvoda sa porijeklom. Sve dažbine kojima podliježu materijali bez porijekla moraju da budu naplaćene i dokaz za to mora biti na raspolaganju carinskom organu na njegov zahtjev. Osim tekstila, sva ostala roba može da ima koristi od povraćaja, npr. u postupku aktivnog oplemenjivanja.</w:t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Međutim, zabrana povraćaja ili oslobođenja od carinskih dažbina za proizvode koji se svrstavaju u Glave 50 do 63 HS ne primjenjuje se u trgovini između Strana, pod uslovom da su u </w:t>
      </w:r>
      <w:r>
        <w:rPr>
          <w:rFonts w:ascii="Arial" w:hAnsi="Arial" w:cs="Arial"/>
          <w:sz w:val="22"/>
        </w:rPr>
        <w:lastRenderedPageBreak/>
        <w:t>pitanju proizvodi koji su stekli preferencijalni status primjenom kumulacije porijekla predviđenje čl.7 st.4. ili 5.</w:t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</w:p>
    <w:p w:rsidR="0041219D" w:rsidRDefault="0041219D" w:rsidP="0041219D">
      <w:pPr>
        <w:pStyle w:val="PointDouble0"/>
        <w:numPr>
          <w:ilvl w:val="0"/>
          <w:numId w:val="1"/>
        </w:numPr>
        <w:spacing w:before="0" w:after="0" w:line="240" w:lineRule="auto"/>
        <w:jc w:val="both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Dokazi o porijeklu</w:t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b/>
          <w:sz w:val="22"/>
          <w:u w:val="single"/>
        </w:rPr>
      </w:pP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Revidirana PEM Konvencija uvodi jednu vrstu dokaza o porijeklu (uvjerenje o kretanju robe EUR.1 ili izjava o porijeklu) umjesto dvostrukog pristupa EUR.1 ili EUR-MED.</w:t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Proizvodi sa porijeklom iz jedne od Strana mogu da imaju korist od preferencijalnog tarifnog tretmana kada se uvoze u drugu Stranu kada je podnesen jedan od sledećih dokaza o porijeklu:</w:t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1.) uvjerenje o kretanju robe EUR.1</w:t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2.) izjava o porijeklu koju daje izvoznik na fakturi, otpremnici ili bilo kom drugom komercijalnom dokumentu koji opisuje proizvode na način dovoljan za njihovo identifikovanje.</w:t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1.) Uvjerenje o kretanju robe EUR.1 izdaju carinski organi Ugovorne strane izvoznice na pisani zahtjev </w:t>
      </w:r>
      <w:proofErr w:type="gramStart"/>
      <w:r>
        <w:rPr>
          <w:rFonts w:ascii="Arial" w:hAnsi="Arial" w:cs="Arial"/>
          <w:sz w:val="22"/>
        </w:rPr>
        <w:t>izvoznika  ili</w:t>
      </w:r>
      <w:proofErr w:type="gramEnd"/>
      <w:r>
        <w:rPr>
          <w:rFonts w:ascii="Arial" w:hAnsi="Arial" w:cs="Arial"/>
          <w:sz w:val="22"/>
        </w:rPr>
        <w:t xml:space="preserve"> njegovog ovlašćenog predstavnika,  a na odgovornost izvoznika I stavljaju ga na raspolaganje izvozniku čim se obavi ili obezbijedi stvaran izvoz (Aneks IV Priloga I)</w:t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ab/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>2.) Tekst izjave o porijeklu dat je u Aneksu III Priloga I, a crnogorska verzija izjave o porijeklu glasi:</w:t>
      </w:r>
    </w:p>
    <w:p w:rsidR="0041219D" w:rsidRDefault="0041219D" w:rsidP="0041219D">
      <w:pPr>
        <w:autoSpaceDE w:val="0"/>
        <w:autoSpaceDN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„Izvoznik proizvoda obuhvaćenih ovom ispravom (carinsko ovlašćenje br. ....</w:t>
      </w:r>
      <w:r>
        <w:rPr>
          <w:rFonts w:ascii="Arial" w:hAnsi="Arial" w:cs="Arial"/>
          <w:sz w:val="22"/>
          <w:bdr w:val="none" w:sz="0" w:space="0" w:color="auto" w:frame="1"/>
          <w:vertAlign w:val="superscript"/>
        </w:rPr>
        <w:t>(1)</w:t>
      </w:r>
      <w:r>
        <w:rPr>
          <w:rFonts w:ascii="Arial" w:hAnsi="Arial" w:cs="Arial"/>
          <w:sz w:val="22"/>
        </w:rPr>
        <w:t>) izjavljuje da su, osim ako je drugačije izričito navedeno, ovi proizvodi ……….</w:t>
      </w:r>
      <w:r>
        <w:rPr>
          <w:rFonts w:ascii="Arial" w:hAnsi="Arial" w:cs="Arial"/>
          <w:sz w:val="22"/>
          <w:bdr w:val="none" w:sz="0" w:space="0" w:color="auto" w:frame="1"/>
          <w:vertAlign w:val="superscript"/>
        </w:rPr>
        <w:t>(2)</w:t>
      </w:r>
      <w:r>
        <w:rPr>
          <w:rFonts w:ascii="Arial" w:hAnsi="Arial" w:cs="Arial"/>
          <w:sz w:val="22"/>
        </w:rPr>
        <w:t xml:space="preserve"> prefere</w:t>
      </w:r>
      <w:r w:rsidR="008260AE">
        <w:rPr>
          <w:rFonts w:ascii="Arial" w:hAnsi="Arial" w:cs="Arial"/>
          <w:sz w:val="22"/>
        </w:rPr>
        <w:t>ncijalnog porijekla</w:t>
      </w:r>
      <w:r>
        <w:rPr>
          <w:rFonts w:ascii="Arial" w:hAnsi="Arial" w:cs="Arial"/>
          <w:sz w:val="22"/>
        </w:rPr>
        <w:t>.“</w:t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3.) Za potrebe primjene pune kumulacije porijekla, predviđena je kratkoročna i dugoročna izjava dobavljača za robu bez porijekla. Izjava dobavljača predstavlja dokaz o obavljenim proizvodnim operacijama na materijalima bez porijekla.</w:t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Izjava dobavljača (kratkoročna) i dugoročna izjava dobavljača se kao priložene isprave navode u Rubrici 44 JCI-a, i to pod jedinstvenom šifrom U10.</w:t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</w:p>
    <w:p w:rsidR="0041219D" w:rsidRDefault="0041219D" w:rsidP="0041219D">
      <w:pPr>
        <w:pStyle w:val="PointDouble0"/>
        <w:numPr>
          <w:ilvl w:val="0"/>
          <w:numId w:val="1"/>
        </w:numPr>
        <w:spacing w:before="0" w:after="0" w:line="240" w:lineRule="auto"/>
        <w:jc w:val="both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Važenje dokaza o porijeklu</w:t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b/>
          <w:sz w:val="22"/>
          <w:u w:val="single"/>
        </w:rPr>
      </w:pP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Period važenja dokaza o porijeklu produžen je </w:t>
      </w:r>
      <w:proofErr w:type="gramStart"/>
      <w:r>
        <w:rPr>
          <w:rFonts w:ascii="Arial" w:hAnsi="Arial" w:cs="Arial"/>
          <w:sz w:val="22"/>
        </w:rPr>
        <w:t>na  10</w:t>
      </w:r>
      <w:proofErr w:type="gramEnd"/>
      <w:r>
        <w:rPr>
          <w:rFonts w:ascii="Arial" w:hAnsi="Arial" w:cs="Arial"/>
          <w:sz w:val="22"/>
        </w:rPr>
        <w:t xml:space="preserve"> mjeseci od dana izdavanja (umjesto 4 mjeseca), u kom roku se mora podnijeti carinskim organima Strane uvoznice. Dokazi o porijeklu mogu se podnijeti i nakon isteka tog roka, pod istim uslovima koji su propisani do sada važećim pravilima.</w:t>
      </w:r>
    </w:p>
    <w:p w:rsidR="0041219D" w:rsidRDefault="0041219D" w:rsidP="0041219D">
      <w:pPr>
        <w:pStyle w:val="PointDouble0"/>
        <w:spacing w:before="0" w:after="0" w:line="240" w:lineRule="auto"/>
        <w:jc w:val="both"/>
        <w:rPr>
          <w:rFonts w:ascii="Arial" w:hAnsi="Arial" w:cs="Arial"/>
          <w:sz w:val="22"/>
        </w:rPr>
      </w:pPr>
    </w:p>
    <w:p w:rsidR="0041219D" w:rsidRDefault="0041219D" w:rsidP="0041219D">
      <w:pPr>
        <w:pStyle w:val="PointDouble0"/>
        <w:numPr>
          <w:ilvl w:val="0"/>
          <w:numId w:val="1"/>
        </w:numPr>
        <w:spacing w:before="0" w:after="0" w:line="240" w:lineRule="auto"/>
        <w:jc w:val="both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Uvodne napomene uz Listu u Aneksu I - Važno</w:t>
      </w:r>
    </w:p>
    <w:p w:rsidR="0041219D" w:rsidRDefault="0041219D" w:rsidP="0041219D">
      <w:pPr>
        <w:pStyle w:val="PointDouble0"/>
        <w:spacing w:before="0" w:after="0" w:line="240" w:lineRule="auto"/>
        <w:jc w:val="both"/>
        <w:rPr>
          <w:rFonts w:ascii="Arial" w:hAnsi="Arial" w:cs="Arial"/>
          <w:b/>
          <w:sz w:val="22"/>
          <w:u w:val="single"/>
        </w:rPr>
      </w:pPr>
    </w:p>
    <w:p w:rsidR="0041219D" w:rsidRDefault="0041219D" w:rsidP="0041219D">
      <w:pPr>
        <w:pStyle w:val="PointDouble0"/>
        <w:spacing w:before="0" w:after="0" w:line="240" w:lineRule="auto"/>
        <w:ind w:left="-566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Uvodne napomene uz Listu obrade ili prerade koju treba izvršiti na materijalima bez porijekla kako bi prerađeni proizvod mogao da stekne status proizvoda sa porijeklom sadrže i nekoliko novih napomena, pa tako shodno dodatnoj napomeni 4 poljoprivredni proizvodi svrstani u Glave 6, 7, 8, 9, 10, 12 i tarifni broj 2401 koji su gajeni ili ubrani na teritoriji Strane ugovornice imaju porijeklo te Strane ugovornice, čak i ako se uzgajaju od sjemena, lukovica, podloga, pupoljaka ili drugih djelova živih biljaka uvezenih iz druge Strane ugovornice.</w:t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</w:p>
    <w:p w:rsidR="0041219D" w:rsidRDefault="0041219D" w:rsidP="0041219D">
      <w:pPr>
        <w:pStyle w:val="PointDouble0"/>
        <w:numPr>
          <w:ilvl w:val="0"/>
          <w:numId w:val="1"/>
        </w:numPr>
        <w:spacing w:before="0" w:after="0" w:line="240" w:lineRule="auto"/>
        <w:ind w:left="851"/>
        <w:jc w:val="both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Lista obrade ili prerade koju treba izvršiti na materijalima bez porijekla kako bi prerađeni proizvod mogao da stekne status proizvoda sa porijeklom</w:t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b/>
          <w:sz w:val="22"/>
          <w:u w:val="single"/>
        </w:rPr>
      </w:pPr>
    </w:p>
    <w:p w:rsidR="0041219D" w:rsidRDefault="0041219D" w:rsidP="0041219D">
      <w:pPr>
        <w:pStyle w:val="PointDouble0"/>
        <w:spacing w:before="0" w:after="0" w:line="240" w:lineRule="auto"/>
        <w:ind w:left="-567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Lista obrade ili prerade ima tri kolone (ako postoji izbor između dva pravila, oba su data u okviru kolone 3, razdvojena sa “ili”).</w:t>
      </w:r>
    </w:p>
    <w:p w:rsidR="0041219D" w:rsidRDefault="0041219D" w:rsidP="0041219D">
      <w:pPr>
        <w:pStyle w:val="PointDouble0"/>
        <w:spacing w:before="0" w:after="0" w:line="240" w:lineRule="auto"/>
        <w:ind w:left="-567" w:firstLine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          Većina pravila uz Glavu su zasnovana na mogućnosti izbora između promjene tarifnog broja ili procentuanog pravila.</w:t>
      </w:r>
    </w:p>
    <w:p w:rsidR="0041219D" w:rsidRDefault="0041219D" w:rsidP="0041219D">
      <w:pPr>
        <w:pStyle w:val="PointDouble0"/>
        <w:spacing w:before="0" w:after="0" w:line="240" w:lineRule="auto"/>
        <w:ind w:left="-567" w:firstLine="14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Specifična pravila za poljoprivredne i industrijske proizvode sadržana u Listi obrade ili prerade su fleksibilnija, što će omogućiti lakše sticanje porijekla robe.</w:t>
      </w:r>
    </w:p>
    <w:p w:rsidR="0041219D" w:rsidRDefault="0041219D" w:rsidP="0041219D">
      <w:pPr>
        <w:pStyle w:val="PointDouble0"/>
        <w:spacing w:before="0" w:after="0" w:line="240" w:lineRule="auto"/>
        <w:ind w:left="-567" w:firstLine="142"/>
        <w:jc w:val="both"/>
        <w:rPr>
          <w:rFonts w:ascii="Arial" w:hAnsi="Arial" w:cs="Arial"/>
          <w:sz w:val="22"/>
        </w:rPr>
      </w:pPr>
    </w:p>
    <w:p w:rsidR="0041219D" w:rsidRDefault="0041219D" w:rsidP="0041219D">
      <w:pPr>
        <w:pStyle w:val="PointDouble0"/>
        <w:spacing w:before="0" w:after="0" w:line="240" w:lineRule="auto"/>
        <w:ind w:left="-567" w:firstLine="14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Za poljoprivredne proizvode, nova pravila predviđaju da su ograničenja u pogledu mogućnosti korišćenja materijala bez </w:t>
      </w:r>
      <w:proofErr w:type="gramStart"/>
      <w:r>
        <w:rPr>
          <w:rFonts w:ascii="Arial" w:hAnsi="Arial" w:cs="Arial"/>
          <w:sz w:val="22"/>
        </w:rPr>
        <w:t>porijekla  izražena</w:t>
      </w:r>
      <w:proofErr w:type="gramEnd"/>
      <w:r>
        <w:rPr>
          <w:rFonts w:ascii="Arial" w:hAnsi="Arial" w:cs="Arial"/>
          <w:sz w:val="22"/>
        </w:rPr>
        <w:t xml:space="preserve"> ili vrijedonosno (izraženo u %) ili količninski (izraženo u masi).</w:t>
      </w:r>
    </w:p>
    <w:p w:rsidR="0041219D" w:rsidRDefault="0041219D" w:rsidP="0041219D">
      <w:pPr>
        <w:pStyle w:val="PointDouble0"/>
        <w:spacing w:before="0" w:after="0" w:line="240" w:lineRule="auto"/>
        <w:ind w:left="-567" w:firstLine="142"/>
        <w:jc w:val="both"/>
        <w:rPr>
          <w:rFonts w:ascii="Arial" w:hAnsi="Arial" w:cs="Arial"/>
          <w:sz w:val="22"/>
        </w:rPr>
      </w:pPr>
    </w:p>
    <w:p w:rsidR="0041219D" w:rsidRDefault="0041219D" w:rsidP="0041219D">
      <w:pPr>
        <w:pStyle w:val="PointDouble0"/>
        <w:spacing w:before="0" w:after="0" w:line="240" w:lineRule="auto"/>
        <w:ind w:left="-567" w:firstLine="567"/>
        <w:jc w:val="both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sz w:val="22"/>
        </w:rPr>
        <w:t xml:space="preserve">         Za industrijske proizvode (osim tekstila) revidirana pravila donose značajne olakšice za sticanje porijekla i to:</w:t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za jedan broj proizvoda pravilo iz dosadašnjih pravila za Glavu sadrži dupli uslov (npr. uslov za sticanje porijekla je kumulativan – i promjena tarifnog broja i procentni uslov). U </w:t>
      </w:r>
      <w:proofErr w:type="gramStart"/>
      <w:r>
        <w:rPr>
          <w:rFonts w:ascii="Arial" w:hAnsi="Arial" w:cs="Arial"/>
          <w:sz w:val="22"/>
        </w:rPr>
        <w:t>revidiranim  pravilima</w:t>
      </w:r>
      <w:proofErr w:type="gramEnd"/>
      <w:r>
        <w:rPr>
          <w:rFonts w:ascii="Arial" w:hAnsi="Arial" w:cs="Arial"/>
          <w:sz w:val="22"/>
        </w:rPr>
        <w:t xml:space="preserve"> u većini slučajeva ista su bazirana samo na jednom uslovu (npr. Glave 74, 75, 78, 79, 80, 84 i 85);</w:t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izbrisan je veliki broj sadašnjih specifičnih pravila koja odstupaju od pravila za Glavu datog proizvoda (npr. Glave 28, 35, 37, 38 i 83);</w:t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-data je mogućnost korišćenja dva pravila za sticanje porijekla, čime se izvozniku daje mogućnost da bira lakši uslov za sticanje porijekla (npr. Glave 27, 40, 42, 44, 70 I 83).</w:t>
      </w:r>
    </w:p>
    <w:p w:rsidR="0041219D" w:rsidRDefault="0041219D" w:rsidP="0041219D">
      <w:pPr>
        <w:pStyle w:val="PointDouble0"/>
        <w:spacing w:before="0" w:after="0" w:line="240" w:lineRule="auto"/>
        <w:ind w:left="0" w:firstLine="0"/>
        <w:jc w:val="both"/>
        <w:rPr>
          <w:rFonts w:ascii="Arial" w:hAnsi="Arial" w:cs="Arial"/>
          <w:b/>
          <w:sz w:val="22"/>
          <w:u w:val="single"/>
        </w:rPr>
      </w:pPr>
    </w:p>
    <w:p w:rsidR="0041219D" w:rsidRDefault="0041219D" w:rsidP="0041219D">
      <w:pPr>
        <w:spacing w:before="0" w:after="0"/>
        <w:ind w:firstLine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 tekstil i proizvode od tekstila revidirana pravila predviđaju fleksibilniji princip teritorijalnosti u pogledu mogućnosti upotrebe postupka pasivnog oplemenjivanja, što u sadašnjim pravilima nije bio slučaj. Takođe, moguća je primjena pune kumulacije na bilateralnoj osnovi. Dodatna tolerancija u pogledu mogućnosti korišćenja materijala bez porijekla predviđena je u Uvodnim napomenama uz Listu obrade ili prerade.</w:t>
      </w:r>
    </w:p>
    <w:p w:rsidR="0041219D" w:rsidRDefault="0041219D" w:rsidP="0041219D">
      <w:pPr>
        <w:spacing w:before="0" w:after="0"/>
        <w:rPr>
          <w:rFonts w:ascii="Arial" w:hAnsi="Arial" w:cs="Arial"/>
          <w:sz w:val="22"/>
        </w:rPr>
      </w:pPr>
    </w:p>
    <w:p w:rsidR="0041219D" w:rsidRDefault="0041219D" w:rsidP="0041219D">
      <w:pPr>
        <w:spacing w:before="0" w:after="0"/>
        <w:ind w:firstLine="709"/>
        <w:rPr>
          <w:rFonts w:ascii="Arial" w:hAnsi="Arial" w:cs="Arial"/>
          <w:sz w:val="22"/>
        </w:rPr>
      </w:pPr>
    </w:p>
    <w:p w:rsidR="0041219D" w:rsidRDefault="0041219D" w:rsidP="0041219D">
      <w:pPr>
        <w:autoSpaceDE w:val="0"/>
        <w:autoSpaceDN w:val="0"/>
        <w:adjustRightInd w:val="0"/>
        <w:spacing w:before="0" w:after="0" w:line="300" w:lineRule="exac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Prilog: Odluka PEM Zajedničkog komiteta br.1/2023</w:t>
      </w:r>
    </w:p>
    <w:p w:rsidR="008260AE" w:rsidRDefault="008260AE" w:rsidP="0041219D">
      <w:pPr>
        <w:autoSpaceDE w:val="0"/>
        <w:autoSpaceDN w:val="0"/>
        <w:adjustRightInd w:val="0"/>
        <w:spacing w:before="0" w:after="0" w:line="300" w:lineRule="exact"/>
        <w:rPr>
          <w:rFonts w:ascii="Arial" w:hAnsi="Arial" w:cs="Arial"/>
          <w:sz w:val="22"/>
        </w:rPr>
      </w:pPr>
    </w:p>
    <w:p w:rsidR="008260AE" w:rsidRPr="008260AE" w:rsidRDefault="008260AE" w:rsidP="0041219D">
      <w:pPr>
        <w:autoSpaceDE w:val="0"/>
        <w:autoSpaceDN w:val="0"/>
        <w:adjustRightInd w:val="0"/>
        <w:spacing w:before="0" w:after="0" w:line="300" w:lineRule="exact"/>
        <w:rPr>
          <w:rFonts w:ascii="Arial" w:hAnsi="Arial" w:cs="Arial"/>
          <w:b/>
          <w:sz w:val="22"/>
        </w:rPr>
      </w:pPr>
      <w:r w:rsidRPr="008260AE">
        <w:rPr>
          <w:rFonts w:ascii="Arial" w:hAnsi="Arial" w:cs="Arial"/>
          <w:b/>
          <w:sz w:val="22"/>
        </w:rPr>
        <w:t>(Akt Uprave carina 01/03 broj D-46/1-25 od 30.12.2024.)</w:t>
      </w:r>
    </w:p>
    <w:p w:rsidR="0041219D" w:rsidRDefault="0041219D" w:rsidP="0041219D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8F1DFA" w:rsidRDefault="008F1DFA">
      <w:bookmarkStart w:id="0" w:name="_GoBack"/>
      <w:bookmarkEnd w:id="0"/>
    </w:p>
    <w:sectPr w:rsidR="008F1DF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13465"/>
    <w:multiLevelType w:val="hybridMultilevel"/>
    <w:tmpl w:val="146AA9FE"/>
    <w:lvl w:ilvl="0" w:tplc="8550CE18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374"/>
    <w:rsid w:val="0041219D"/>
    <w:rsid w:val="00683374"/>
    <w:rsid w:val="008260AE"/>
    <w:rsid w:val="008F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9479C"/>
  <w15:chartTrackingRefBased/>
  <w15:docId w15:val="{588E1BBD-9537-427E-BA42-CCDA28EDC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19D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intDouble0">
    <w:name w:val="PointDouble 0"/>
    <w:basedOn w:val="Normal"/>
    <w:rsid w:val="0041219D"/>
    <w:pPr>
      <w:tabs>
        <w:tab w:val="left" w:pos="850"/>
      </w:tabs>
      <w:spacing w:line="360" w:lineRule="auto"/>
      <w:ind w:left="1417" w:hanging="1417"/>
      <w:jc w:val="left"/>
    </w:pPr>
    <w:rPr>
      <w:rFonts w:ascii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4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2110</Words>
  <Characters>12029</Characters>
  <Application>Microsoft Office Word</Application>
  <DocSecurity>0</DocSecurity>
  <Lines>100</Lines>
  <Paragraphs>28</Paragraphs>
  <ScaleCrop>false</ScaleCrop>
  <Company/>
  <LinksUpToDate>false</LinksUpToDate>
  <CharactersWithSpaces>14111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Vulić</dc:creator>
  <cp:keywords/>
  <dc:description/>
  <cp:lastModifiedBy>Ana Vulić</cp:lastModifiedBy>
  <cp:revision>5</cp:revision>
  <dcterms:created xsi:type="dcterms:W3CDTF">2025-10-08T10:58:00Z</dcterms:created>
  <dcterms:modified xsi:type="dcterms:W3CDTF">2025-10-08T11:11:00Z</dcterms:modified>
</cp:coreProperties>
</file>