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58B69" w14:textId="77777777" w:rsidR="003579B0" w:rsidRPr="009A613C" w:rsidRDefault="003579B0" w:rsidP="003579B0">
      <w:pPr>
        <w:widowControl w:val="0"/>
        <w:autoSpaceDE w:val="0"/>
        <w:autoSpaceDN w:val="0"/>
        <w:adjustRightInd w:val="0"/>
        <w:spacing w:after="0" w:line="240" w:lineRule="auto"/>
        <w:jc w:val="center"/>
        <w:rPr>
          <w:rFonts w:ascii="Times New Roman" w:eastAsia="Times New Roman" w:hAnsi="Times New Roman" w:cs="Times New Roman"/>
          <w:sz w:val="28"/>
          <w:szCs w:val="28"/>
          <w:u w:val="single"/>
        </w:rPr>
      </w:pPr>
      <w:bookmarkStart w:id="0" w:name="_Hlk130814238"/>
      <w:bookmarkEnd w:id="0"/>
      <w:r w:rsidRPr="009A613C">
        <w:rPr>
          <w:rFonts w:ascii="Times New Roman" w:hAnsi="Times New Roman" w:cs="Times New Roman"/>
          <w:noProof/>
          <w:sz w:val="10"/>
          <w:szCs w:val="10"/>
          <w:lang w:val="en-GB" w:eastAsia="en-GB"/>
        </w:rPr>
        <w:drawing>
          <wp:inline distT="0" distB="0" distL="0" distR="0" wp14:anchorId="72A0C7AA" wp14:editId="1D18B334">
            <wp:extent cx="904875" cy="1019175"/>
            <wp:effectExtent l="0" t="0" r="9525" b="9525"/>
            <wp:docPr id="5" name="Picture 5" descr="A gold eagle with two head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old eagle with two heads and a crow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019175"/>
                    </a:xfrm>
                    <a:prstGeom prst="rect">
                      <a:avLst/>
                    </a:prstGeom>
                    <a:noFill/>
                    <a:ln>
                      <a:noFill/>
                    </a:ln>
                  </pic:spPr>
                </pic:pic>
              </a:graphicData>
            </a:graphic>
          </wp:inline>
        </w:drawing>
      </w:r>
    </w:p>
    <w:p w14:paraId="6BC1F596" w14:textId="1D969422" w:rsidR="003579B0" w:rsidRPr="009A613C" w:rsidRDefault="004E2978" w:rsidP="003579B0">
      <w:pPr>
        <w:widowControl w:val="0"/>
        <w:autoSpaceDE w:val="0"/>
        <w:autoSpaceDN w:val="0"/>
        <w:adjustRightInd w:val="0"/>
        <w:spacing w:before="79" w:after="0" w:line="240" w:lineRule="auto"/>
        <w:ind w:left="1418" w:right="1847"/>
        <w:jc w:val="center"/>
        <w:rPr>
          <w:rFonts w:eastAsia="Times New Roman" w:cstheme="minorHAnsi"/>
          <w:sz w:val="28"/>
          <w:szCs w:val="28"/>
        </w:rPr>
      </w:pPr>
      <w:r>
        <w:rPr>
          <w:rFonts w:eastAsia="Times New Roman" w:cstheme="minorHAnsi"/>
          <w:spacing w:val="-1"/>
          <w:sz w:val="28"/>
          <w:szCs w:val="28"/>
        </w:rPr>
        <w:t xml:space="preserve">      </w:t>
      </w:r>
      <w:r w:rsidR="003579B0" w:rsidRPr="009A613C">
        <w:rPr>
          <w:rFonts w:eastAsia="Times New Roman" w:cstheme="minorHAnsi"/>
          <w:spacing w:val="-1"/>
          <w:sz w:val="28"/>
          <w:szCs w:val="28"/>
        </w:rPr>
        <w:t>V</w:t>
      </w:r>
      <w:r w:rsidR="003579B0" w:rsidRPr="009A613C">
        <w:rPr>
          <w:rFonts w:eastAsia="Times New Roman" w:cstheme="minorHAnsi"/>
          <w:spacing w:val="1"/>
          <w:sz w:val="28"/>
          <w:szCs w:val="28"/>
        </w:rPr>
        <w:t>l</w:t>
      </w:r>
      <w:r w:rsidR="003579B0" w:rsidRPr="009A613C">
        <w:rPr>
          <w:rFonts w:eastAsia="Times New Roman" w:cstheme="minorHAnsi"/>
          <w:sz w:val="28"/>
          <w:szCs w:val="28"/>
        </w:rPr>
        <w:t>a</w:t>
      </w:r>
      <w:r w:rsidR="003579B0" w:rsidRPr="009A613C">
        <w:rPr>
          <w:rFonts w:eastAsia="Times New Roman" w:cstheme="minorHAnsi"/>
          <w:spacing w:val="1"/>
          <w:sz w:val="28"/>
          <w:szCs w:val="28"/>
        </w:rPr>
        <w:t>d</w:t>
      </w:r>
      <w:r w:rsidR="003579B0" w:rsidRPr="009A613C">
        <w:rPr>
          <w:rFonts w:eastAsia="Times New Roman" w:cstheme="minorHAnsi"/>
          <w:sz w:val="28"/>
          <w:szCs w:val="28"/>
        </w:rPr>
        <w:t xml:space="preserve">a </w:t>
      </w:r>
      <w:r w:rsidR="003579B0" w:rsidRPr="009A613C">
        <w:rPr>
          <w:rFonts w:eastAsia="Times New Roman" w:cstheme="minorHAnsi"/>
          <w:spacing w:val="-3"/>
          <w:sz w:val="28"/>
          <w:szCs w:val="28"/>
        </w:rPr>
        <w:t>C</w:t>
      </w:r>
      <w:r w:rsidR="003579B0" w:rsidRPr="009A613C">
        <w:rPr>
          <w:rFonts w:eastAsia="Times New Roman" w:cstheme="minorHAnsi"/>
          <w:sz w:val="28"/>
          <w:szCs w:val="28"/>
        </w:rPr>
        <w:t>r</w:t>
      </w:r>
      <w:r w:rsidR="003579B0" w:rsidRPr="009A613C">
        <w:rPr>
          <w:rFonts w:eastAsia="Times New Roman" w:cstheme="minorHAnsi"/>
          <w:spacing w:val="1"/>
          <w:sz w:val="28"/>
          <w:szCs w:val="28"/>
        </w:rPr>
        <w:t>n</w:t>
      </w:r>
      <w:r w:rsidR="003579B0" w:rsidRPr="009A613C">
        <w:rPr>
          <w:rFonts w:eastAsia="Times New Roman" w:cstheme="minorHAnsi"/>
          <w:sz w:val="28"/>
          <w:szCs w:val="28"/>
        </w:rPr>
        <w:t xml:space="preserve">e </w:t>
      </w:r>
      <w:r w:rsidR="003579B0" w:rsidRPr="009A613C">
        <w:rPr>
          <w:rFonts w:eastAsia="Times New Roman" w:cstheme="minorHAnsi"/>
          <w:spacing w:val="-4"/>
          <w:sz w:val="28"/>
          <w:szCs w:val="28"/>
        </w:rPr>
        <w:t>G</w:t>
      </w:r>
      <w:r w:rsidR="003579B0" w:rsidRPr="009A613C">
        <w:rPr>
          <w:rFonts w:eastAsia="Times New Roman" w:cstheme="minorHAnsi"/>
          <w:spacing w:val="1"/>
          <w:sz w:val="28"/>
          <w:szCs w:val="28"/>
        </w:rPr>
        <w:t>o</w:t>
      </w:r>
      <w:r w:rsidR="003579B0" w:rsidRPr="009A613C">
        <w:rPr>
          <w:rFonts w:eastAsia="Times New Roman" w:cstheme="minorHAnsi"/>
          <w:sz w:val="28"/>
          <w:szCs w:val="28"/>
        </w:rPr>
        <w:t>r</w:t>
      </w:r>
      <w:r w:rsidR="008D7220">
        <w:rPr>
          <w:rFonts w:eastAsia="Times New Roman" w:cstheme="minorHAnsi"/>
          <w:sz w:val="28"/>
          <w:szCs w:val="28"/>
        </w:rPr>
        <w:t>e</w:t>
      </w:r>
    </w:p>
    <w:p w14:paraId="0AF76F69" w14:textId="77777777" w:rsidR="003579B0" w:rsidRPr="009A613C" w:rsidRDefault="003579B0" w:rsidP="003579B0">
      <w:pPr>
        <w:widowControl w:val="0"/>
        <w:autoSpaceDE w:val="0"/>
        <w:autoSpaceDN w:val="0"/>
        <w:adjustRightInd w:val="0"/>
        <w:spacing w:before="9" w:after="0" w:line="240" w:lineRule="exact"/>
        <w:ind w:left="1418" w:right="1847"/>
        <w:jc w:val="center"/>
        <w:rPr>
          <w:rFonts w:eastAsia="Times New Roman" w:cstheme="minorHAnsi"/>
          <w:sz w:val="24"/>
          <w:szCs w:val="24"/>
        </w:rPr>
      </w:pPr>
    </w:p>
    <w:p w14:paraId="5179C29F" w14:textId="635E079E" w:rsidR="003579B0" w:rsidRPr="009A613C" w:rsidRDefault="004E2978" w:rsidP="003579B0">
      <w:pPr>
        <w:widowControl w:val="0"/>
        <w:autoSpaceDE w:val="0"/>
        <w:autoSpaceDN w:val="0"/>
        <w:adjustRightInd w:val="0"/>
        <w:spacing w:after="0" w:line="240" w:lineRule="auto"/>
        <w:ind w:left="1418" w:right="1847"/>
        <w:jc w:val="center"/>
        <w:rPr>
          <w:rFonts w:eastAsia="Times New Roman" w:cstheme="minorHAnsi"/>
          <w:sz w:val="28"/>
          <w:szCs w:val="28"/>
        </w:rPr>
      </w:pPr>
      <w:bookmarkStart w:id="1" w:name="_Hlk131419382"/>
      <w:r>
        <w:rPr>
          <w:rFonts w:eastAsia="Times New Roman" w:cstheme="minorHAnsi"/>
          <w:sz w:val="28"/>
          <w:szCs w:val="28"/>
        </w:rPr>
        <w:t xml:space="preserve">     </w:t>
      </w:r>
      <w:r w:rsidR="003579B0" w:rsidRPr="009A613C">
        <w:rPr>
          <w:rFonts w:eastAsia="Times New Roman" w:cstheme="minorHAnsi"/>
          <w:sz w:val="28"/>
          <w:szCs w:val="28"/>
        </w:rPr>
        <w:t>Ministarstvo pravde</w:t>
      </w:r>
      <w:r w:rsidR="009F6B2E">
        <w:rPr>
          <w:rFonts w:eastAsia="Times New Roman" w:cstheme="minorHAnsi"/>
          <w:sz w:val="28"/>
          <w:szCs w:val="28"/>
        </w:rPr>
        <w:t xml:space="preserve"> </w:t>
      </w:r>
    </w:p>
    <w:p w14:paraId="472C1F6F" w14:textId="77777777" w:rsidR="003579B0" w:rsidRPr="009A613C" w:rsidRDefault="003579B0" w:rsidP="003579B0">
      <w:pPr>
        <w:widowControl w:val="0"/>
        <w:autoSpaceDE w:val="0"/>
        <w:autoSpaceDN w:val="0"/>
        <w:adjustRightInd w:val="0"/>
        <w:spacing w:before="7" w:after="0" w:line="240" w:lineRule="exact"/>
        <w:ind w:left="1701" w:right="1847"/>
        <w:jc w:val="center"/>
        <w:rPr>
          <w:rFonts w:ascii="Times New Roman" w:eastAsia="Times New Roman" w:hAnsi="Times New Roman" w:cs="Times New Roman"/>
          <w:sz w:val="24"/>
          <w:szCs w:val="24"/>
        </w:rPr>
      </w:pPr>
    </w:p>
    <w:p w14:paraId="02BEBEB8" w14:textId="0AF2E38A" w:rsidR="003579B0" w:rsidRPr="009A613C" w:rsidRDefault="003579B0" w:rsidP="003579B0">
      <w:pPr>
        <w:widowControl w:val="0"/>
        <w:autoSpaceDE w:val="0"/>
        <w:autoSpaceDN w:val="0"/>
        <w:adjustRightInd w:val="0"/>
        <w:spacing w:after="0" w:line="316" w:lineRule="exact"/>
        <w:ind w:left="1701" w:right="1847"/>
        <w:jc w:val="center"/>
        <w:rPr>
          <w:rFonts w:ascii="Times New Roman" w:eastAsia="Times New Roman" w:hAnsi="Times New Roman" w:cs="Times New Roman"/>
          <w:sz w:val="28"/>
          <w:szCs w:val="28"/>
        </w:rPr>
      </w:pPr>
    </w:p>
    <w:bookmarkEnd w:id="1"/>
    <w:p w14:paraId="6AA740B4" w14:textId="77777777" w:rsidR="003579B0" w:rsidRPr="009A613C" w:rsidRDefault="003579B0" w:rsidP="003579B0">
      <w:pPr>
        <w:widowControl w:val="0"/>
        <w:autoSpaceDE w:val="0"/>
        <w:autoSpaceDN w:val="0"/>
        <w:adjustRightInd w:val="0"/>
        <w:spacing w:after="0" w:line="240" w:lineRule="auto"/>
        <w:rPr>
          <w:rFonts w:ascii="Times New Roman" w:eastAsia="Times New Roman" w:hAnsi="Times New Roman" w:cs="Times New Roman"/>
          <w:sz w:val="28"/>
          <w:szCs w:val="28"/>
        </w:rPr>
      </w:pPr>
    </w:p>
    <w:p w14:paraId="2D6A2B83" w14:textId="77777777" w:rsidR="003579B0" w:rsidRPr="009A613C" w:rsidRDefault="003579B0" w:rsidP="003579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5D13FD35" w14:textId="77777777" w:rsidR="003579B0" w:rsidRPr="009A613C" w:rsidRDefault="003579B0" w:rsidP="003579B0">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14:paraId="62E5B211" w14:textId="0D81C939" w:rsidR="003579B0" w:rsidRPr="009A613C" w:rsidRDefault="003579B0" w:rsidP="003579B0">
      <w:pPr>
        <w:widowControl w:val="0"/>
        <w:autoSpaceDE w:val="0"/>
        <w:autoSpaceDN w:val="0"/>
        <w:adjustRightInd w:val="0"/>
        <w:spacing w:before="13" w:after="0" w:line="275" w:lineRule="auto"/>
        <w:ind w:left="72" w:right="693" w:hanging="3"/>
        <w:jc w:val="center"/>
        <w:rPr>
          <w:rFonts w:eastAsia="Times New Roman" w:cstheme="minorHAnsi"/>
          <w:sz w:val="36"/>
          <w:szCs w:val="36"/>
        </w:rPr>
      </w:pPr>
      <w:bookmarkStart w:id="2" w:name="_Hlk132980275"/>
      <w:r w:rsidRPr="009A613C">
        <w:rPr>
          <w:rFonts w:eastAsia="Times New Roman" w:cstheme="minorHAnsi"/>
          <w:b/>
          <w:bCs/>
          <w:sz w:val="36"/>
          <w:szCs w:val="36"/>
        </w:rPr>
        <w:t>S</w:t>
      </w:r>
      <w:r w:rsidRPr="009A613C">
        <w:rPr>
          <w:rFonts w:eastAsia="Times New Roman" w:cstheme="minorHAnsi"/>
          <w:b/>
          <w:bCs/>
          <w:spacing w:val="1"/>
          <w:sz w:val="36"/>
          <w:szCs w:val="36"/>
        </w:rPr>
        <w:t>T</w:t>
      </w:r>
      <w:r w:rsidRPr="009A613C">
        <w:rPr>
          <w:rFonts w:eastAsia="Times New Roman" w:cstheme="minorHAnsi"/>
          <w:b/>
          <w:bCs/>
          <w:sz w:val="36"/>
          <w:szCs w:val="36"/>
        </w:rPr>
        <w:t>R</w:t>
      </w:r>
      <w:r w:rsidRPr="009A613C">
        <w:rPr>
          <w:rFonts w:eastAsia="Times New Roman" w:cstheme="minorHAnsi"/>
          <w:b/>
          <w:bCs/>
          <w:spacing w:val="-1"/>
          <w:sz w:val="36"/>
          <w:szCs w:val="36"/>
        </w:rPr>
        <w:t>A</w:t>
      </w:r>
      <w:r w:rsidRPr="009A613C">
        <w:rPr>
          <w:rFonts w:eastAsia="Times New Roman" w:cstheme="minorHAnsi"/>
          <w:b/>
          <w:bCs/>
          <w:spacing w:val="2"/>
          <w:sz w:val="36"/>
          <w:szCs w:val="36"/>
        </w:rPr>
        <w:t>T</w:t>
      </w:r>
      <w:r w:rsidRPr="009A613C">
        <w:rPr>
          <w:rFonts w:eastAsia="Times New Roman" w:cstheme="minorHAnsi"/>
          <w:b/>
          <w:bCs/>
          <w:sz w:val="36"/>
          <w:szCs w:val="36"/>
        </w:rPr>
        <w:t>EGIJA REF</w:t>
      </w:r>
      <w:r w:rsidRPr="009A613C">
        <w:rPr>
          <w:rFonts w:eastAsia="Times New Roman" w:cstheme="minorHAnsi"/>
          <w:b/>
          <w:bCs/>
          <w:spacing w:val="1"/>
          <w:sz w:val="36"/>
          <w:szCs w:val="36"/>
        </w:rPr>
        <w:t>O</w:t>
      </w:r>
      <w:r w:rsidRPr="009A613C">
        <w:rPr>
          <w:rFonts w:eastAsia="Times New Roman" w:cstheme="minorHAnsi"/>
          <w:b/>
          <w:bCs/>
          <w:sz w:val="36"/>
          <w:szCs w:val="36"/>
        </w:rPr>
        <w:t>RME</w:t>
      </w:r>
      <w:r w:rsidRPr="009A613C">
        <w:rPr>
          <w:rFonts w:eastAsia="Times New Roman" w:cstheme="minorHAnsi"/>
          <w:b/>
          <w:bCs/>
          <w:spacing w:val="1"/>
          <w:sz w:val="36"/>
          <w:szCs w:val="36"/>
        </w:rPr>
        <w:t xml:space="preserve"> </w:t>
      </w:r>
      <w:r w:rsidRPr="009A613C">
        <w:rPr>
          <w:rFonts w:eastAsia="Times New Roman" w:cstheme="minorHAnsi"/>
          <w:b/>
          <w:bCs/>
          <w:sz w:val="36"/>
          <w:szCs w:val="36"/>
        </w:rPr>
        <w:t>PRA</w:t>
      </w:r>
      <w:r w:rsidRPr="009A613C">
        <w:rPr>
          <w:rFonts w:eastAsia="Times New Roman" w:cstheme="minorHAnsi"/>
          <w:b/>
          <w:bCs/>
          <w:spacing w:val="-1"/>
          <w:sz w:val="36"/>
          <w:szCs w:val="36"/>
        </w:rPr>
        <w:t>V</w:t>
      </w:r>
      <w:r w:rsidRPr="009A613C">
        <w:rPr>
          <w:rFonts w:eastAsia="Times New Roman" w:cstheme="minorHAnsi"/>
          <w:b/>
          <w:bCs/>
          <w:sz w:val="36"/>
          <w:szCs w:val="36"/>
        </w:rPr>
        <w:t>OSU</w:t>
      </w:r>
      <w:r w:rsidRPr="009A613C">
        <w:rPr>
          <w:rFonts w:eastAsia="Times New Roman" w:cstheme="minorHAnsi"/>
          <w:b/>
          <w:bCs/>
          <w:spacing w:val="-2"/>
          <w:sz w:val="36"/>
          <w:szCs w:val="36"/>
        </w:rPr>
        <w:t>Đ</w:t>
      </w:r>
      <w:r w:rsidRPr="009A613C">
        <w:rPr>
          <w:rFonts w:eastAsia="Times New Roman" w:cstheme="minorHAnsi"/>
          <w:b/>
          <w:bCs/>
          <w:sz w:val="36"/>
          <w:szCs w:val="36"/>
        </w:rPr>
        <w:t>A 2024-2027.</w:t>
      </w:r>
    </w:p>
    <w:bookmarkEnd w:id="2"/>
    <w:p w14:paraId="20ED31E2" w14:textId="77777777" w:rsidR="003579B0" w:rsidRPr="009A613C" w:rsidRDefault="003579B0" w:rsidP="003579B0">
      <w:pPr>
        <w:widowControl w:val="0"/>
        <w:autoSpaceDE w:val="0"/>
        <w:autoSpaceDN w:val="0"/>
        <w:adjustRightInd w:val="0"/>
        <w:spacing w:before="8" w:after="0" w:line="190" w:lineRule="exact"/>
        <w:jc w:val="center"/>
        <w:rPr>
          <w:rFonts w:eastAsia="Times New Roman" w:cstheme="minorHAnsi"/>
          <w:sz w:val="19"/>
          <w:szCs w:val="19"/>
        </w:rPr>
      </w:pPr>
    </w:p>
    <w:p w14:paraId="469F80AB" w14:textId="77777777" w:rsidR="003579B0" w:rsidRPr="009A613C" w:rsidRDefault="003579B0" w:rsidP="003579B0">
      <w:pPr>
        <w:widowControl w:val="0"/>
        <w:autoSpaceDE w:val="0"/>
        <w:autoSpaceDN w:val="0"/>
        <w:adjustRightInd w:val="0"/>
        <w:spacing w:after="0" w:line="200" w:lineRule="exact"/>
        <w:jc w:val="center"/>
        <w:rPr>
          <w:rFonts w:eastAsia="Times New Roman" w:cstheme="minorHAnsi"/>
          <w:sz w:val="20"/>
          <w:szCs w:val="20"/>
        </w:rPr>
      </w:pPr>
    </w:p>
    <w:p w14:paraId="70180A97" w14:textId="77777777" w:rsidR="003579B0" w:rsidRPr="009A613C" w:rsidRDefault="003579B0" w:rsidP="003579B0">
      <w:pPr>
        <w:widowControl w:val="0"/>
        <w:autoSpaceDE w:val="0"/>
        <w:autoSpaceDN w:val="0"/>
        <w:adjustRightInd w:val="0"/>
        <w:spacing w:after="0" w:line="200" w:lineRule="exact"/>
        <w:rPr>
          <w:rFonts w:eastAsia="Times New Roman" w:cstheme="minorHAnsi"/>
          <w:sz w:val="28"/>
          <w:szCs w:val="28"/>
        </w:rPr>
      </w:pPr>
    </w:p>
    <w:p w14:paraId="655B4754" w14:textId="15BDDA64" w:rsidR="003579B0" w:rsidRPr="009A613C" w:rsidRDefault="003579B0" w:rsidP="003579B0">
      <w:pPr>
        <w:jc w:val="center"/>
        <w:rPr>
          <w:rFonts w:cstheme="minorHAnsi"/>
          <w:sz w:val="28"/>
          <w:szCs w:val="28"/>
        </w:rPr>
      </w:pPr>
      <w:r w:rsidRPr="009A613C">
        <w:rPr>
          <w:rFonts w:cstheme="minorHAnsi"/>
          <w:sz w:val="28"/>
          <w:szCs w:val="28"/>
        </w:rPr>
        <w:t>-</w:t>
      </w:r>
      <w:r w:rsidR="007516FB">
        <w:rPr>
          <w:rFonts w:cstheme="minorHAnsi"/>
          <w:sz w:val="28"/>
          <w:szCs w:val="28"/>
        </w:rPr>
        <w:t>nacrt</w:t>
      </w:r>
      <w:r w:rsidRPr="009A613C">
        <w:rPr>
          <w:rFonts w:cstheme="minorHAnsi"/>
          <w:sz w:val="28"/>
          <w:szCs w:val="28"/>
        </w:rPr>
        <w:t>-</w:t>
      </w:r>
    </w:p>
    <w:p w14:paraId="79CC40BF"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2BDCDA6C"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52B41E9A"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6306CAB7"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169BC758"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713B2DEB"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065D7DFF"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4BB74939" w14:textId="77777777" w:rsidR="003579B0" w:rsidRPr="009A613C" w:rsidRDefault="003579B0" w:rsidP="003579B0">
      <w:pPr>
        <w:widowControl w:val="0"/>
        <w:autoSpaceDE w:val="0"/>
        <w:autoSpaceDN w:val="0"/>
        <w:adjustRightInd w:val="0"/>
        <w:spacing w:after="0" w:line="200" w:lineRule="exact"/>
        <w:rPr>
          <w:rFonts w:ascii="Times New Roman" w:eastAsia="Times New Roman" w:hAnsi="Times New Roman" w:cs="Times New Roman"/>
          <w:sz w:val="20"/>
          <w:szCs w:val="20"/>
        </w:rPr>
      </w:pPr>
    </w:p>
    <w:p w14:paraId="5180E247" w14:textId="77777777" w:rsidR="003579B0" w:rsidRPr="009A613C" w:rsidRDefault="003579B0" w:rsidP="003579B0">
      <w:pPr>
        <w:widowControl w:val="0"/>
        <w:autoSpaceDE w:val="0"/>
        <w:autoSpaceDN w:val="0"/>
        <w:adjustRightInd w:val="0"/>
        <w:spacing w:before="8" w:after="0" w:line="220" w:lineRule="exact"/>
        <w:rPr>
          <w:rFonts w:ascii="Times New Roman" w:eastAsia="Times New Roman" w:hAnsi="Times New Roman" w:cs="Times New Roman"/>
        </w:rPr>
      </w:pPr>
    </w:p>
    <w:p w14:paraId="333E2867" w14:textId="77777777" w:rsidR="003579B0" w:rsidRPr="009A613C" w:rsidRDefault="003579B0" w:rsidP="003579B0">
      <w:pPr>
        <w:spacing w:line="360" w:lineRule="auto"/>
        <w:jc w:val="center"/>
        <w:rPr>
          <w:rFonts w:ascii="Times New Roman" w:hAnsi="Times New Roman" w:cs="Times New Roman"/>
          <w:b/>
          <w:sz w:val="24"/>
          <w:szCs w:val="24"/>
        </w:rPr>
      </w:pPr>
    </w:p>
    <w:p w14:paraId="415C5FA2" w14:textId="77777777" w:rsidR="003579B0" w:rsidRPr="009A613C" w:rsidRDefault="003579B0"/>
    <w:p w14:paraId="2A4DC3DE" w14:textId="77777777" w:rsidR="00A8182E" w:rsidRPr="009A613C" w:rsidRDefault="00A8182E" w:rsidP="00A8182E"/>
    <w:p w14:paraId="70342FC3" w14:textId="77777777" w:rsidR="00A8182E" w:rsidRPr="009A613C" w:rsidRDefault="00A8182E" w:rsidP="00A8182E"/>
    <w:p w14:paraId="6AFD9C67" w14:textId="77777777" w:rsidR="00A8182E" w:rsidRPr="009A613C" w:rsidRDefault="00A8182E" w:rsidP="00A8182E"/>
    <w:p w14:paraId="4D3EA018" w14:textId="77777777" w:rsidR="00A8182E" w:rsidRPr="009A613C" w:rsidRDefault="00A8182E" w:rsidP="00A8182E"/>
    <w:p w14:paraId="22D1EF71" w14:textId="77777777" w:rsidR="00A8182E" w:rsidRPr="009A613C" w:rsidRDefault="00A8182E" w:rsidP="00A8182E"/>
    <w:p w14:paraId="04F59725" w14:textId="77777777" w:rsidR="00A8182E" w:rsidRPr="009A613C" w:rsidRDefault="00A8182E" w:rsidP="00A8182E"/>
    <w:p w14:paraId="025934CF" w14:textId="655FBB9F" w:rsidR="00A8182E" w:rsidRPr="009A613C" w:rsidRDefault="00A8182E" w:rsidP="00A8182E">
      <w:pPr>
        <w:jc w:val="center"/>
      </w:pPr>
      <w:r w:rsidRPr="009A613C">
        <w:rPr>
          <w:sz w:val="28"/>
          <w:szCs w:val="28"/>
        </w:rPr>
        <w:t>Podgorica, 202</w:t>
      </w:r>
      <w:r w:rsidR="007516FB">
        <w:rPr>
          <w:sz w:val="28"/>
          <w:szCs w:val="28"/>
        </w:rPr>
        <w:t>4</w:t>
      </w:r>
      <w:r w:rsidRPr="009A613C">
        <w:rPr>
          <w:sz w:val="28"/>
          <w:szCs w:val="28"/>
        </w:rPr>
        <w:t>.</w:t>
      </w:r>
    </w:p>
    <w:p w14:paraId="2CFEF744" w14:textId="77777777" w:rsidR="00A8182E" w:rsidRPr="009A613C" w:rsidRDefault="00A8182E" w:rsidP="00A8182E">
      <w:pPr>
        <w:tabs>
          <w:tab w:val="left" w:pos="4092"/>
        </w:tabs>
        <w:rPr>
          <w:rFonts w:ascii="Times New Roman" w:hAnsi="Times New Roman" w:cs="Times New Roman"/>
          <w:sz w:val="24"/>
          <w:szCs w:val="24"/>
        </w:rPr>
      </w:pPr>
    </w:p>
    <w:p w14:paraId="33CA023C" w14:textId="77777777" w:rsidR="00A8182E" w:rsidRPr="009A613C" w:rsidRDefault="00A8182E" w:rsidP="00A8182E">
      <w:pPr>
        <w:tabs>
          <w:tab w:val="left" w:pos="4092"/>
        </w:tabs>
        <w:rPr>
          <w:rFonts w:ascii="Times New Roman" w:hAnsi="Times New Roman" w:cs="Times New Roman"/>
          <w:sz w:val="24"/>
          <w:szCs w:val="24"/>
        </w:rPr>
      </w:pPr>
    </w:p>
    <w:p w14:paraId="79B25BCA" w14:textId="77777777" w:rsidR="00A8182E" w:rsidRPr="009A613C" w:rsidRDefault="00A8182E" w:rsidP="00A8182E">
      <w:pPr>
        <w:tabs>
          <w:tab w:val="left" w:pos="4092"/>
        </w:tabs>
        <w:rPr>
          <w:rFonts w:ascii="Times New Roman" w:hAnsi="Times New Roman" w:cs="Times New Roman"/>
          <w:sz w:val="24"/>
          <w:szCs w:val="24"/>
        </w:rPr>
      </w:pPr>
    </w:p>
    <w:sdt>
      <w:sdtPr>
        <w:rPr>
          <w:rFonts w:asciiTheme="minorHAnsi" w:eastAsiaTheme="minorHAnsi" w:hAnsiTheme="minorHAnsi" w:cstheme="minorBidi"/>
          <w:color w:val="auto"/>
          <w:sz w:val="22"/>
          <w:szCs w:val="22"/>
          <w:lang w:val="sr-Latn-ME"/>
        </w:rPr>
        <w:id w:val="-2131001236"/>
        <w:docPartObj>
          <w:docPartGallery w:val="Table of Contents"/>
          <w:docPartUnique/>
        </w:docPartObj>
      </w:sdtPr>
      <w:sdtEndPr>
        <w:rPr>
          <w:b/>
          <w:bCs/>
        </w:rPr>
      </w:sdtEndPr>
      <w:sdtContent>
        <w:p w14:paraId="0A4DBFE5" w14:textId="1E676F94" w:rsidR="00A8182E" w:rsidRPr="00ED323C" w:rsidRDefault="00A8182E">
          <w:pPr>
            <w:pStyle w:val="TOCHeading"/>
            <w:rPr>
              <w:lang w:val="en-GB"/>
            </w:rPr>
          </w:pPr>
          <w:r w:rsidRPr="009A613C">
            <w:rPr>
              <w:lang w:val="sr-Latn-ME"/>
            </w:rPr>
            <w:t>Sadržaj</w:t>
          </w:r>
        </w:p>
        <w:p w14:paraId="165BED38" w14:textId="64EA40BF" w:rsidR="00462475" w:rsidRDefault="00A8182E">
          <w:pPr>
            <w:pStyle w:val="TOC1"/>
            <w:tabs>
              <w:tab w:val="right" w:leader="dot" w:pos="9350"/>
            </w:tabs>
            <w:rPr>
              <w:rFonts w:eastAsiaTheme="minorEastAsia"/>
              <w:noProof/>
              <w:lang w:val="en-GB" w:eastAsia="en-GB"/>
            </w:rPr>
          </w:pPr>
          <w:r w:rsidRPr="009A613C">
            <w:fldChar w:fldCharType="begin"/>
          </w:r>
          <w:r w:rsidRPr="009A613C">
            <w:instrText xml:space="preserve"> TOC \o "1-3" \h \z \u </w:instrText>
          </w:r>
          <w:r w:rsidRPr="009A613C">
            <w:fldChar w:fldCharType="separate"/>
          </w:r>
          <w:hyperlink w:anchor="_Toc156937935" w:history="1">
            <w:r w:rsidR="00462475" w:rsidRPr="00B000B4">
              <w:rPr>
                <w:rStyle w:val="Hyperlink"/>
                <w:noProof/>
              </w:rPr>
              <w:t>Legenda</w:t>
            </w:r>
            <w:r w:rsidR="00462475">
              <w:rPr>
                <w:noProof/>
                <w:webHidden/>
              </w:rPr>
              <w:tab/>
            </w:r>
            <w:r w:rsidR="00462475">
              <w:rPr>
                <w:noProof/>
                <w:webHidden/>
              </w:rPr>
              <w:fldChar w:fldCharType="begin"/>
            </w:r>
            <w:r w:rsidR="00462475">
              <w:rPr>
                <w:noProof/>
                <w:webHidden/>
              </w:rPr>
              <w:instrText xml:space="preserve"> PAGEREF _Toc156937935 \h </w:instrText>
            </w:r>
            <w:r w:rsidR="00462475">
              <w:rPr>
                <w:noProof/>
                <w:webHidden/>
              </w:rPr>
            </w:r>
            <w:r w:rsidR="00462475">
              <w:rPr>
                <w:noProof/>
                <w:webHidden/>
              </w:rPr>
              <w:fldChar w:fldCharType="separate"/>
            </w:r>
            <w:r w:rsidR="00462475">
              <w:rPr>
                <w:noProof/>
                <w:webHidden/>
              </w:rPr>
              <w:t>4</w:t>
            </w:r>
            <w:r w:rsidR="00462475">
              <w:rPr>
                <w:noProof/>
                <w:webHidden/>
              </w:rPr>
              <w:fldChar w:fldCharType="end"/>
            </w:r>
          </w:hyperlink>
        </w:p>
        <w:p w14:paraId="5FA83B4F" w14:textId="6F4F8050" w:rsidR="00462475" w:rsidRDefault="004367AB">
          <w:pPr>
            <w:pStyle w:val="TOC1"/>
            <w:tabs>
              <w:tab w:val="right" w:leader="dot" w:pos="9350"/>
            </w:tabs>
            <w:rPr>
              <w:rFonts w:eastAsiaTheme="minorEastAsia"/>
              <w:noProof/>
              <w:lang w:val="en-GB" w:eastAsia="en-GB"/>
            </w:rPr>
          </w:pPr>
          <w:hyperlink w:anchor="_Toc156937936" w:history="1">
            <w:r w:rsidR="00462475" w:rsidRPr="00B000B4">
              <w:rPr>
                <w:rStyle w:val="Hyperlink"/>
                <w:noProof/>
              </w:rPr>
              <w:t>I UVOD</w:t>
            </w:r>
            <w:r w:rsidR="00462475">
              <w:rPr>
                <w:noProof/>
                <w:webHidden/>
              </w:rPr>
              <w:tab/>
            </w:r>
            <w:r w:rsidR="00462475">
              <w:rPr>
                <w:noProof/>
                <w:webHidden/>
              </w:rPr>
              <w:fldChar w:fldCharType="begin"/>
            </w:r>
            <w:r w:rsidR="00462475">
              <w:rPr>
                <w:noProof/>
                <w:webHidden/>
              </w:rPr>
              <w:instrText xml:space="preserve"> PAGEREF _Toc156937936 \h </w:instrText>
            </w:r>
            <w:r w:rsidR="00462475">
              <w:rPr>
                <w:noProof/>
                <w:webHidden/>
              </w:rPr>
            </w:r>
            <w:r w:rsidR="00462475">
              <w:rPr>
                <w:noProof/>
                <w:webHidden/>
              </w:rPr>
              <w:fldChar w:fldCharType="separate"/>
            </w:r>
            <w:r w:rsidR="00462475">
              <w:rPr>
                <w:noProof/>
                <w:webHidden/>
              </w:rPr>
              <w:t>5</w:t>
            </w:r>
            <w:r w:rsidR="00462475">
              <w:rPr>
                <w:noProof/>
                <w:webHidden/>
              </w:rPr>
              <w:fldChar w:fldCharType="end"/>
            </w:r>
          </w:hyperlink>
        </w:p>
        <w:p w14:paraId="53F827DB" w14:textId="484E4A26" w:rsidR="00462475" w:rsidRDefault="004367AB">
          <w:pPr>
            <w:pStyle w:val="TOC2"/>
            <w:tabs>
              <w:tab w:val="left" w:pos="660"/>
              <w:tab w:val="right" w:leader="dot" w:pos="9350"/>
            </w:tabs>
            <w:rPr>
              <w:rFonts w:eastAsiaTheme="minorEastAsia"/>
              <w:noProof/>
              <w:lang w:val="en-GB" w:eastAsia="en-GB"/>
            </w:rPr>
          </w:pPr>
          <w:hyperlink w:anchor="_Toc156937937" w:history="1">
            <w:r w:rsidR="00462475" w:rsidRPr="00B000B4">
              <w:rPr>
                <w:rStyle w:val="Hyperlink"/>
                <w:noProof/>
              </w:rPr>
              <w:t>1.</w:t>
            </w:r>
            <w:r w:rsidR="00462475">
              <w:rPr>
                <w:rFonts w:eastAsiaTheme="minorEastAsia"/>
                <w:noProof/>
                <w:lang w:val="en-GB" w:eastAsia="en-GB"/>
              </w:rPr>
              <w:tab/>
            </w:r>
            <w:r w:rsidR="00462475" w:rsidRPr="00B000B4">
              <w:rPr>
                <w:rStyle w:val="Hyperlink"/>
                <w:noProof/>
              </w:rPr>
              <w:t>Svrha donošenja Strategije reforme pravosuđa 2024-2027</w:t>
            </w:r>
            <w:r w:rsidR="00462475">
              <w:rPr>
                <w:noProof/>
                <w:webHidden/>
              </w:rPr>
              <w:tab/>
            </w:r>
            <w:r w:rsidR="00462475">
              <w:rPr>
                <w:noProof/>
                <w:webHidden/>
              </w:rPr>
              <w:fldChar w:fldCharType="begin"/>
            </w:r>
            <w:r w:rsidR="00462475">
              <w:rPr>
                <w:noProof/>
                <w:webHidden/>
              </w:rPr>
              <w:instrText xml:space="preserve"> PAGEREF _Toc156937937 \h </w:instrText>
            </w:r>
            <w:r w:rsidR="00462475">
              <w:rPr>
                <w:noProof/>
                <w:webHidden/>
              </w:rPr>
            </w:r>
            <w:r w:rsidR="00462475">
              <w:rPr>
                <w:noProof/>
                <w:webHidden/>
              </w:rPr>
              <w:fldChar w:fldCharType="separate"/>
            </w:r>
            <w:r w:rsidR="00462475">
              <w:rPr>
                <w:noProof/>
                <w:webHidden/>
              </w:rPr>
              <w:t>5</w:t>
            </w:r>
            <w:r w:rsidR="00462475">
              <w:rPr>
                <w:noProof/>
                <w:webHidden/>
              </w:rPr>
              <w:fldChar w:fldCharType="end"/>
            </w:r>
          </w:hyperlink>
        </w:p>
        <w:p w14:paraId="721DD472" w14:textId="3041577A" w:rsidR="00462475" w:rsidRDefault="004367AB">
          <w:pPr>
            <w:pStyle w:val="TOC2"/>
            <w:tabs>
              <w:tab w:val="left" w:pos="660"/>
              <w:tab w:val="right" w:leader="dot" w:pos="9350"/>
            </w:tabs>
            <w:rPr>
              <w:rFonts w:eastAsiaTheme="minorEastAsia"/>
              <w:noProof/>
              <w:lang w:val="en-GB" w:eastAsia="en-GB"/>
            </w:rPr>
          </w:pPr>
          <w:hyperlink w:anchor="_Toc156937938" w:history="1">
            <w:r w:rsidR="00462475" w:rsidRPr="00B000B4">
              <w:rPr>
                <w:rStyle w:val="Hyperlink"/>
                <w:noProof/>
              </w:rPr>
              <w:t>2.</w:t>
            </w:r>
            <w:r w:rsidR="00462475">
              <w:rPr>
                <w:rFonts w:eastAsiaTheme="minorEastAsia"/>
                <w:noProof/>
                <w:lang w:val="en-GB" w:eastAsia="en-GB"/>
              </w:rPr>
              <w:tab/>
            </w:r>
            <w:r w:rsidR="00462475" w:rsidRPr="00B000B4">
              <w:rPr>
                <w:rStyle w:val="Hyperlink"/>
                <w:noProof/>
              </w:rPr>
              <w:t>Relevantan strateški okvir Crne Gore i usklađenost sa međunarodnim obavezama</w:t>
            </w:r>
            <w:r w:rsidR="00462475">
              <w:rPr>
                <w:noProof/>
                <w:webHidden/>
              </w:rPr>
              <w:tab/>
            </w:r>
            <w:r w:rsidR="00462475">
              <w:rPr>
                <w:noProof/>
                <w:webHidden/>
              </w:rPr>
              <w:fldChar w:fldCharType="begin"/>
            </w:r>
            <w:r w:rsidR="00462475">
              <w:rPr>
                <w:noProof/>
                <w:webHidden/>
              </w:rPr>
              <w:instrText xml:space="preserve"> PAGEREF _Toc156937938 \h </w:instrText>
            </w:r>
            <w:r w:rsidR="00462475">
              <w:rPr>
                <w:noProof/>
                <w:webHidden/>
              </w:rPr>
            </w:r>
            <w:r w:rsidR="00462475">
              <w:rPr>
                <w:noProof/>
                <w:webHidden/>
              </w:rPr>
              <w:fldChar w:fldCharType="separate"/>
            </w:r>
            <w:r w:rsidR="00462475">
              <w:rPr>
                <w:noProof/>
                <w:webHidden/>
              </w:rPr>
              <w:t>5</w:t>
            </w:r>
            <w:r w:rsidR="00462475">
              <w:rPr>
                <w:noProof/>
                <w:webHidden/>
              </w:rPr>
              <w:fldChar w:fldCharType="end"/>
            </w:r>
          </w:hyperlink>
        </w:p>
        <w:p w14:paraId="7D6C1C16" w14:textId="1207B5D2" w:rsidR="00462475" w:rsidRDefault="004367AB">
          <w:pPr>
            <w:pStyle w:val="TOC2"/>
            <w:tabs>
              <w:tab w:val="left" w:pos="660"/>
              <w:tab w:val="right" w:leader="dot" w:pos="9350"/>
            </w:tabs>
            <w:rPr>
              <w:rFonts w:eastAsiaTheme="minorEastAsia"/>
              <w:noProof/>
              <w:lang w:val="en-GB" w:eastAsia="en-GB"/>
            </w:rPr>
          </w:pPr>
          <w:hyperlink w:anchor="_Toc156937939" w:history="1">
            <w:r w:rsidR="00462475" w:rsidRPr="00B000B4">
              <w:rPr>
                <w:rStyle w:val="Hyperlink"/>
                <w:noProof/>
              </w:rPr>
              <w:t>3.</w:t>
            </w:r>
            <w:r w:rsidR="00462475">
              <w:rPr>
                <w:rFonts w:eastAsiaTheme="minorEastAsia"/>
                <w:noProof/>
                <w:lang w:val="en-GB" w:eastAsia="en-GB"/>
              </w:rPr>
              <w:tab/>
            </w:r>
            <w:r w:rsidR="00462475" w:rsidRPr="00B000B4">
              <w:rPr>
                <w:rStyle w:val="Hyperlink"/>
                <w:noProof/>
              </w:rPr>
              <w:t>Analiza rezultata sprovođenja Strategije reforme pravosuđa za period 2019-2022.</w:t>
            </w:r>
            <w:r w:rsidR="00462475">
              <w:rPr>
                <w:noProof/>
                <w:webHidden/>
              </w:rPr>
              <w:tab/>
            </w:r>
            <w:r w:rsidR="00462475">
              <w:rPr>
                <w:noProof/>
                <w:webHidden/>
              </w:rPr>
              <w:fldChar w:fldCharType="begin"/>
            </w:r>
            <w:r w:rsidR="00462475">
              <w:rPr>
                <w:noProof/>
                <w:webHidden/>
              </w:rPr>
              <w:instrText xml:space="preserve"> PAGEREF _Toc156937939 \h </w:instrText>
            </w:r>
            <w:r w:rsidR="00462475">
              <w:rPr>
                <w:noProof/>
                <w:webHidden/>
              </w:rPr>
            </w:r>
            <w:r w:rsidR="00462475">
              <w:rPr>
                <w:noProof/>
                <w:webHidden/>
              </w:rPr>
              <w:fldChar w:fldCharType="separate"/>
            </w:r>
            <w:r w:rsidR="00462475">
              <w:rPr>
                <w:noProof/>
                <w:webHidden/>
              </w:rPr>
              <w:t>9</w:t>
            </w:r>
            <w:r w:rsidR="00462475">
              <w:rPr>
                <w:noProof/>
                <w:webHidden/>
              </w:rPr>
              <w:fldChar w:fldCharType="end"/>
            </w:r>
          </w:hyperlink>
        </w:p>
        <w:p w14:paraId="377E6FCE" w14:textId="6078098E" w:rsidR="00462475" w:rsidRDefault="004367AB">
          <w:pPr>
            <w:pStyle w:val="TOC3"/>
            <w:tabs>
              <w:tab w:val="left" w:pos="1100"/>
              <w:tab w:val="right" w:leader="dot" w:pos="9350"/>
            </w:tabs>
            <w:rPr>
              <w:rFonts w:eastAsiaTheme="minorEastAsia"/>
              <w:noProof/>
              <w:lang w:val="en-GB" w:eastAsia="en-GB"/>
            </w:rPr>
          </w:pPr>
          <w:hyperlink w:anchor="_Toc156937940" w:history="1">
            <w:r w:rsidR="00462475" w:rsidRPr="00B000B4">
              <w:rPr>
                <w:rStyle w:val="Hyperlink"/>
                <w:noProof/>
                <w:lang w:eastAsia="en-GB"/>
              </w:rPr>
              <w:t>3.1.</w:t>
            </w:r>
            <w:r w:rsidR="00462475">
              <w:rPr>
                <w:rFonts w:eastAsiaTheme="minorEastAsia"/>
                <w:noProof/>
                <w:lang w:val="en-GB" w:eastAsia="en-GB"/>
              </w:rPr>
              <w:tab/>
            </w:r>
            <w:r w:rsidR="00462475" w:rsidRPr="00B000B4">
              <w:rPr>
                <w:rStyle w:val="Hyperlink"/>
                <w:noProof/>
                <w:lang w:eastAsia="en-GB"/>
              </w:rPr>
              <w:t>Osnov, metodi i obuhvat procjene efekata sprovođenja Strategije reforme pravosuđa za period 2019-2022.</w:t>
            </w:r>
            <w:r w:rsidR="00462475">
              <w:rPr>
                <w:noProof/>
                <w:webHidden/>
              </w:rPr>
              <w:tab/>
            </w:r>
            <w:r w:rsidR="00462475">
              <w:rPr>
                <w:noProof/>
                <w:webHidden/>
              </w:rPr>
              <w:fldChar w:fldCharType="begin"/>
            </w:r>
            <w:r w:rsidR="00462475">
              <w:rPr>
                <w:noProof/>
                <w:webHidden/>
              </w:rPr>
              <w:instrText xml:space="preserve"> PAGEREF _Toc156937940 \h </w:instrText>
            </w:r>
            <w:r w:rsidR="00462475">
              <w:rPr>
                <w:noProof/>
                <w:webHidden/>
              </w:rPr>
            </w:r>
            <w:r w:rsidR="00462475">
              <w:rPr>
                <w:noProof/>
                <w:webHidden/>
              </w:rPr>
              <w:fldChar w:fldCharType="separate"/>
            </w:r>
            <w:r w:rsidR="00462475">
              <w:rPr>
                <w:noProof/>
                <w:webHidden/>
              </w:rPr>
              <w:t>10</w:t>
            </w:r>
            <w:r w:rsidR="00462475">
              <w:rPr>
                <w:noProof/>
                <w:webHidden/>
              </w:rPr>
              <w:fldChar w:fldCharType="end"/>
            </w:r>
          </w:hyperlink>
        </w:p>
        <w:p w14:paraId="0893F666" w14:textId="1FA3CE68" w:rsidR="00462475" w:rsidRDefault="004367AB">
          <w:pPr>
            <w:pStyle w:val="TOC3"/>
            <w:tabs>
              <w:tab w:val="left" w:pos="1100"/>
              <w:tab w:val="right" w:leader="dot" w:pos="9350"/>
            </w:tabs>
            <w:rPr>
              <w:rFonts w:eastAsiaTheme="minorEastAsia"/>
              <w:noProof/>
              <w:lang w:val="en-GB" w:eastAsia="en-GB"/>
            </w:rPr>
          </w:pPr>
          <w:hyperlink w:anchor="_Toc156937941" w:history="1">
            <w:r w:rsidR="00462475" w:rsidRPr="00B000B4">
              <w:rPr>
                <w:rStyle w:val="Hyperlink"/>
                <w:noProof/>
                <w:lang w:eastAsia="en-GB"/>
              </w:rPr>
              <w:t>3.2.</w:t>
            </w:r>
            <w:r w:rsidR="00462475">
              <w:rPr>
                <w:rFonts w:eastAsiaTheme="minorEastAsia"/>
                <w:noProof/>
                <w:lang w:val="en-GB" w:eastAsia="en-GB"/>
              </w:rPr>
              <w:tab/>
            </w:r>
            <w:r w:rsidR="00462475" w:rsidRPr="00B000B4">
              <w:rPr>
                <w:rStyle w:val="Hyperlink"/>
                <w:noProof/>
                <w:lang w:eastAsia="en-GB"/>
              </w:rPr>
              <w:t xml:space="preserve">Opšta zapažanja o relevantnosti, koherentnosti i efektivnosti </w:t>
            </w:r>
            <w:r w:rsidR="00462475" w:rsidRPr="00B000B4">
              <w:rPr>
                <w:rStyle w:val="Hyperlink"/>
                <w:rFonts w:eastAsia="Calibri"/>
                <w:noProof/>
              </w:rPr>
              <w:t>SRP 2019-2022</w:t>
            </w:r>
            <w:r w:rsidR="00462475">
              <w:rPr>
                <w:noProof/>
                <w:webHidden/>
              </w:rPr>
              <w:tab/>
            </w:r>
            <w:r w:rsidR="00462475">
              <w:rPr>
                <w:noProof/>
                <w:webHidden/>
              </w:rPr>
              <w:fldChar w:fldCharType="begin"/>
            </w:r>
            <w:r w:rsidR="00462475">
              <w:rPr>
                <w:noProof/>
                <w:webHidden/>
              </w:rPr>
              <w:instrText xml:space="preserve"> PAGEREF _Toc156937941 \h </w:instrText>
            </w:r>
            <w:r w:rsidR="00462475">
              <w:rPr>
                <w:noProof/>
                <w:webHidden/>
              </w:rPr>
            </w:r>
            <w:r w:rsidR="00462475">
              <w:rPr>
                <w:noProof/>
                <w:webHidden/>
              </w:rPr>
              <w:fldChar w:fldCharType="separate"/>
            </w:r>
            <w:r w:rsidR="00462475">
              <w:rPr>
                <w:noProof/>
                <w:webHidden/>
              </w:rPr>
              <w:t>10</w:t>
            </w:r>
            <w:r w:rsidR="00462475">
              <w:rPr>
                <w:noProof/>
                <w:webHidden/>
              </w:rPr>
              <w:fldChar w:fldCharType="end"/>
            </w:r>
          </w:hyperlink>
        </w:p>
        <w:p w14:paraId="2F606240" w14:textId="6E2A2085" w:rsidR="00462475" w:rsidRDefault="004367AB">
          <w:pPr>
            <w:pStyle w:val="TOC3"/>
            <w:tabs>
              <w:tab w:val="left" w:pos="1100"/>
              <w:tab w:val="right" w:leader="dot" w:pos="9350"/>
            </w:tabs>
            <w:rPr>
              <w:rFonts w:eastAsiaTheme="minorEastAsia"/>
              <w:noProof/>
              <w:lang w:val="en-GB" w:eastAsia="en-GB"/>
            </w:rPr>
          </w:pPr>
          <w:hyperlink w:anchor="_Toc156937942" w:history="1">
            <w:r w:rsidR="00462475" w:rsidRPr="00B000B4">
              <w:rPr>
                <w:rStyle w:val="Hyperlink"/>
                <w:noProof/>
                <w:lang w:eastAsia="en-GB"/>
              </w:rPr>
              <w:t>3.3.</w:t>
            </w:r>
            <w:r w:rsidR="00462475">
              <w:rPr>
                <w:rFonts w:eastAsiaTheme="minorEastAsia"/>
                <w:noProof/>
                <w:lang w:val="en-GB" w:eastAsia="en-GB"/>
              </w:rPr>
              <w:tab/>
            </w:r>
            <w:r w:rsidR="00462475" w:rsidRPr="00B000B4">
              <w:rPr>
                <w:rStyle w:val="Hyperlink"/>
                <w:noProof/>
                <w:lang w:eastAsia="en-GB"/>
              </w:rPr>
              <w:t>Efikasnost i održivost sprovođenja SRP 2019-2022</w:t>
            </w:r>
            <w:r w:rsidR="00462475">
              <w:rPr>
                <w:noProof/>
                <w:webHidden/>
              </w:rPr>
              <w:tab/>
            </w:r>
            <w:r w:rsidR="00462475">
              <w:rPr>
                <w:noProof/>
                <w:webHidden/>
              </w:rPr>
              <w:fldChar w:fldCharType="begin"/>
            </w:r>
            <w:r w:rsidR="00462475">
              <w:rPr>
                <w:noProof/>
                <w:webHidden/>
              </w:rPr>
              <w:instrText xml:space="preserve"> PAGEREF _Toc156937942 \h </w:instrText>
            </w:r>
            <w:r w:rsidR="00462475">
              <w:rPr>
                <w:noProof/>
                <w:webHidden/>
              </w:rPr>
            </w:r>
            <w:r w:rsidR="00462475">
              <w:rPr>
                <w:noProof/>
                <w:webHidden/>
              </w:rPr>
              <w:fldChar w:fldCharType="separate"/>
            </w:r>
            <w:r w:rsidR="00462475">
              <w:rPr>
                <w:noProof/>
                <w:webHidden/>
              </w:rPr>
              <w:t>11</w:t>
            </w:r>
            <w:r w:rsidR="00462475">
              <w:rPr>
                <w:noProof/>
                <w:webHidden/>
              </w:rPr>
              <w:fldChar w:fldCharType="end"/>
            </w:r>
          </w:hyperlink>
        </w:p>
        <w:p w14:paraId="1FA5F7C3" w14:textId="3F574EE1" w:rsidR="00462475" w:rsidRDefault="004367AB">
          <w:pPr>
            <w:pStyle w:val="TOC1"/>
            <w:tabs>
              <w:tab w:val="right" w:leader="dot" w:pos="9350"/>
            </w:tabs>
            <w:rPr>
              <w:rFonts w:eastAsiaTheme="minorEastAsia"/>
              <w:noProof/>
              <w:lang w:val="en-GB" w:eastAsia="en-GB"/>
            </w:rPr>
          </w:pPr>
          <w:hyperlink w:anchor="_Toc156937943" w:history="1">
            <w:r w:rsidR="00462475" w:rsidRPr="00B000B4">
              <w:rPr>
                <w:rStyle w:val="Hyperlink"/>
                <w:noProof/>
                <w:lang w:eastAsia="en-GB"/>
              </w:rPr>
              <w:t>II ANALIZA POSTOJEĆEG STANJA</w:t>
            </w:r>
            <w:r w:rsidR="00462475">
              <w:rPr>
                <w:noProof/>
                <w:webHidden/>
              </w:rPr>
              <w:tab/>
            </w:r>
            <w:r w:rsidR="00462475">
              <w:rPr>
                <w:noProof/>
                <w:webHidden/>
              </w:rPr>
              <w:fldChar w:fldCharType="begin"/>
            </w:r>
            <w:r w:rsidR="00462475">
              <w:rPr>
                <w:noProof/>
                <w:webHidden/>
              </w:rPr>
              <w:instrText xml:space="preserve"> PAGEREF _Toc156937943 \h </w:instrText>
            </w:r>
            <w:r w:rsidR="00462475">
              <w:rPr>
                <w:noProof/>
                <w:webHidden/>
              </w:rPr>
            </w:r>
            <w:r w:rsidR="00462475">
              <w:rPr>
                <w:noProof/>
                <w:webHidden/>
              </w:rPr>
              <w:fldChar w:fldCharType="separate"/>
            </w:r>
            <w:r w:rsidR="00462475">
              <w:rPr>
                <w:noProof/>
                <w:webHidden/>
              </w:rPr>
              <w:t>13</w:t>
            </w:r>
            <w:r w:rsidR="00462475">
              <w:rPr>
                <w:noProof/>
                <w:webHidden/>
              </w:rPr>
              <w:fldChar w:fldCharType="end"/>
            </w:r>
          </w:hyperlink>
        </w:p>
        <w:p w14:paraId="3D1EA465" w14:textId="763C3293" w:rsidR="00462475" w:rsidRDefault="004367AB">
          <w:pPr>
            <w:pStyle w:val="TOC2"/>
            <w:tabs>
              <w:tab w:val="left" w:pos="660"/>
              <w:tab w:val="right" w:leader="dot" w:pos="9350"/>
            </w:tabs>
            <w:rPr>
              <w:rFonts w:eastAsiaTheme="minorEastAsia"/>
              <w:noProof/>
              <w:lang w:val="en-GB" w:eastAsia="en-GB"/>
            </w:rPr>
          </w:pPr>
          <w:hyperlink w:anchor="_Toc156937944" w:history="1">
            <w:r w:rsidR="00462475" w:rsidRPr="00B000B4">
              <w:rPr>
                <w:rStyle w:val="Hyperlink"/>
                <w:noProof/>
              </w:rPr>
              <w:t>1.</w:t>
            </w:r>
            <w:r w:rsidR="00462475">
              <w:rPr>
                <w:rFonts w:eastAsiaTheme="minorEastAsia"/>
                <w:noProof/>
                <w:lang w:val="en-GB" w:eastAsia="en-GB"/>
              </w:rPr>
              <w:tab/>
            </w:r>
            <w:r w:rsidR="00462475" w:rsidRPr="00B000B4">
              <w:rPr>
                <w:rStyle w:val="Hyperlink"/>
                <w:noProof/>
              </w:rPr>
              <w:t>Nezavisnost, nepristrasnost i odgovornost pravosuđa</w:t>
            </w:r>
            <w:r w:rsidR="00462475">
              <w:rPr>
                <w:noProof/>
                <w:webHidden/>
              </w:rPr>
              <w:tab/>
            </w:r>
            <w:r w:rsidR="00462475">
              <w:rPr>
                <w:noProof/>
                <w:webHidden/>
              </w:rPr>
              <w:fldChar w:fldCharType="begin"/>
            </w:r>
            <w:r w:rsidR="00462475">
              <w:rPr>
                <w:noProof/>
                <w:webHidden/>
              </w:rPr>
              <w:instrText xml:space="preserve"> PAGEREF _Toc156937944 \h </w:instrText>
            </w:r>
            <w:r w:rsidR="00462475">
              <w:rPr>
                <w:noProof/>
                <w:webHidden/>
              </w:rPr>
            </w:r>
            <w:r w:rsidR="00462475">
              <w:rPr>
                <w:noProof/>
                <w:webHidden/>
              </w:rPr>
              <w:fldChar w:fldCharType="separate"/>
            </w:r>
            <w:r w:rsidR="00462475">
              <w:rPr>
                <w:noProof/>
                <w:webHidden/>
              </w:rPr>
              <w:t>13</w:t>
            </w:r>
            <w:r w:rsidR="00462475">
              <w:rPr>
                <w:noProof/>
                <w:webHidden/>
              </w:rPr>
              <w:fldChar w:fldCharType="end"/>
            </w:r>
          </w:hyperlink>
        </w:p>
        <w:p w14:paraId="5B958524" w14:textId="05872966" w:rsidR="00462475" w:rsidRDefault="004367AB">
          <w:pPr>
            <w:pStyle w:val="TOC3"/>
            <w:tabs>
              <w:tab w:val="left" w:pos="1100"/>
              <w:tab w:val="right" w:leader="dot" w:pos="9350"/>
            </w:tabs>
            <w:rPr>
              <w:rFonts w:eastAsiaTheme="minorEastAsia"/>
              <w:noProof/>
              <w:lang w:val="en-GB" w:eastAsia="en-GB"/>
            </w:rPr>
          </w:pPr>
          <w:hyperlink w:anchor="_Toc156937945" w:history="1">
            <w:r w:rsidR="00462475" w:rsidRPr="00B000B4">
              <w:rPr>
                <w:rStyle w:val="Hyperlink"/>
                <w:noProof/>
              </w:rPr>
              <w:t>1.1.</w:t>
            </w:r>
            <w:r w:rsidR="00462475">
              <w:rPr>
                <w:rFonts w:eastAsiaTheme="minorEastAsia"/>
                <w:noProof/>
                <w:lang w:val="en-GB" w:eastAsia="en-GB"/>
              </w:rPr>
              <w:tab/>
            </w:r>
            <w:r w:rsidR="00462475" w:rsidRPr="00B000B4">
              <w:rPr>
                <w:rStyle w:val="Hyperlink"/>
                <w:noProof/>
              </w:rPr>
              <w:t>Nezavisnost i nepristrasnost</w:t>
            </w:r>
            <w:r w:rsidR="00462475">
              <w:rPr>
                <w:noProof/>
                <w:webHidden/>
              </w:rPr>
              <w:tab/>
            </w:r>
            <w:r w:rsidR="00462475">
              <w:rPr>
                <w:noProof/>
                <w:webHidden/>
              </w:rPr>
              <w:fldChar w:fldCharType="begin"/>
            </w:r>
            <w:r w:rsidR="00462475">
              <w:rPr>
                <w:noProof/>
                <w:webHidden/>
              </w:rPr>
              <w:instrText xml:space="preserve"> PAGEREF _Toc156937945 \h </w:instrText>
            </w:r>
            <w:r w:rsidR="00462475">
              <w:rPr>
                <w:noProof/>
                <w:webHidden/>
              </w:rPr>
            </w:r>
            <w:r w:rsidR="00462475">
              <w:rPr>
                <w:noProof/>
                <w:webHidden/>
              </w:rPr>
              <w:fldChar w:fldCharType="separate"/>
            </w:r>
            <w:r w:rsidR="00462475">
              <w:rPr>
                <w:noProof/>
                <w:webHidden/>
              </w:rPr>
              <w:t>13</w:t>
            </w:r>
            <w:r w:rsidR="00462475">
              <w:rPr>
                <w:noProof/>
                <w:webHidden/>
              </w:rPr>
              <w:fldChar w:fldCharType="end"/>
            </w:r>
          </w:hyperlink>
        </w:p>
        <w:p w14:paraId="122196BD" w14:textId="0FFD7C7A" w:rsidR="00462475" w:rsidRDefault="004367AB">
          <w:pPr>
            <w:pStyle w:val="TOC3"/>
            <w:tabs>
              <w:tab w:val="left" w:pos="1100"/>
              <w:tab w:val="right" w:leader="dot" w:pos="9350"/>
            </w:tabs>
            <w:rPr>
              <w:rFonts w:eastAsiaTheme="minorEastAsia"/>
              <w:noProof/>
              <w:lang w:val="en-GB" w:eastAsia="en-GB"/>
            </w:rPr>
          </w:pPr>
          <w:hyperlink w:anchor="_Toc156937946" w:history="1">
            <w:r w:rsidR="00462475" w:rsidRPr="00B000B4">
              <w:rPr>
                <w:rStyle w:val="Hyperlink"/>
                <w:noProof/>
              </w:rPr>
              <w:t>1.2.</w:t>
            </w:r>
            <w:r w:rsidR="00462475">
              <w:rPr>
                <w:rFonts w:eastAsiaTheme="minorEastAsia"/>
                <w:noProof/>
                <w:lang w:val="en-GB" w:eastAsia="en-GB"/>
              </w:rPr>
              <w:tab/>
            </w:r>
            <w:r w:rsidR="00462475" w:rsidRPr="00B000B4">
              <w:rPr>
                <w:rStyle w:val="Hyperlink"/>
                <w:noProof/>
              </w:rPr>
              <w:t>Odgovornost pravosuđa</w:t>
            </w:r>
            <w:r w:rsidR="00462475">
              <w:rPr>
                <w:noProof/>
                <w:webHidden/>
              </w:rPr>
              <w:tab/>
            </w:r>
            <w:r w:rsidR="00462475">
              <w:rPr>
                <w:noProof/>
                <w:webHidden/>
              </w:rPr>
              <w:fldChar w:fldCharType="begin"/>
            </w:r>
            <w:r w:rsidR="00462475">
              <w:rPr>
                <w:noProof/>
                <w:webHidden/>
              </w:rPr>
              <w:instrText xml:space="preserve"> PAGEREF _Toc156937946 \h </w:instrText>
            </w:r>
            <w:r w:rsidR="00462475">
              <w:rPr>
                <w:noProof/>
                <w:webHidden/>
              </w:rPr>
            </w:r>
            <w:r w:rsidR="00462475">
              <w:rPr>
                <w:noProof/>
                <w:webHidden/>
              </w:rPr>
              <w:fldChar w:fldCharType="separate"/>
            </w:r>
            <w:r w:rsidR="00462475">
              <w:rPr>
                <w:noProof/>
                <w:webHidden/>
              </w:rPr>
              <w:t>15</w:t>
            </w:r>
            <w:r w:rsidR="00462475">
              <w:rPr>
                <w:noProof/>
                <w:webHidden/>
              </w:rPr>
              <w:fldChar w:fldCharType="end"/>
            </w:r>
          </w:hyperlink>
        </w:p>
        <w:p w14:paraId="2DA09047" w14:textId="2E131200" w:rsidR="00462475" w:rsidRDefault="004367AB">
          <w:pPr>
            <w:pStyle w:val="TOC2"/>
            <w:tabs>
              <w:tab w:val="left" w:pos="660"/>
              <w:tab w:val="right" w:leader="dot" w:pos="9350"/>
            </w:tabs>
            <w:rPr>
              <w:rFonts w:eastAsiaTheme="minorEastAsia"/>
              <w:noProof/>
              <w:lang w:val="en-GB" w:eastAsia="en-GB"/>
            </w:rPr>
          </w:pPr>
          <w:hyperlink w:anchor="_Toc156937947" w:history="1">
            <w:r w:rsidR="00462475" w:rsidRPr="00B000B4">
              <w:rPr>
                <w:rStyle w:val="Hyperlink"/>
                <w:rFonts w:eastAsia="Calibri"/>
                <w:noProof/>
              </w:rPr>
              <w:t>2.</w:t>
            </w:r>
            <w:r w:rsidR="00462475">
              <w:rPr>
                <w:rFonts w:eastAsiaTheme="minorEastAsia"/>
                <w:noProof/>
                <w:lang w:val="en-GB" w:eastAsia="en-GB"/>
              </w:rPr>
              <w:tab/>
            </w:r>
            <w:r w:rsidR="00462475" w:rsidRPr="00B000B4">
              <w:rPr>
                <w:rStyle w:val="Hyperlink"/>
                <w:rFonts w:eastAsia="Calibri"/>
                <w:noProof/>
              </w:rPr>
              <w:t>Stručnost i efikasnost pravosuđa</w:t>
            </w:r>
            <w:r w:rsidR="00462475">
              <w:rPr>
                <w:noProof/>
                <w:webHidden/>
              </w:rPr>
              <w:tab/>
            </w:r>
            <w:r w:rsidR="00462475">
              <w:rPr>
                <w:noProof/>
                <w:webHidden/>
              </w:rPr>
              <w:fldChar w:fldCharType="begin"/>
            </w:r>
            <w:r w:rsidR="00462475">
              <w:rPr>
                <w:noProof/>
                <w:webHidden/>
              </w:rPr>
              <w:instrText xml:space="preserve"> PAGEREF _Toc156937947 \h </w:instrText>
            </w:r>
            <w:r w:rsidR="00462475">
              <w:rPr>
                <w:noProof/>
                <w:webHidden/>
              </w:rPr>
            </w:r>
            <w:r w:rsidR="00462475">
              <w:rPr>
                <w:noProof/>
                <w:webHidden/>
              </w:rPr>
              <w:fldChar w:fldCharType="separate"/>
            </w:r>
            <w:r w:rsidR="00462475">
              <w:rPr>
                <w:noProof/>
                <w:webHidden/>
              </w:rPr>
              <w:t>16</w:t>
            </w:r>
            <w:r w:rsidR="00462475">
              <w:rPr>
                <w:noProof/>
                <w:webHidden/>
              </w:rPr>
              <w:fldChar w:fldCharType="end"/>
            </w:r>
          </w:hyperlink>
        </w:p>
        <w:p w14:paraId="03CBAF71" w14:textId="12A74E3D" w:rsidR="00462475" w:rsidRDefault="004367AB">
          <w:pPr>
            <w:pStyle w:val="TOC3"/>
            <w:tabs>
              <w:tab w:val="left" w:pos="1100"/>
              <w:tab w:val="right" w:leader="dot" w:pos="9350"/>
            </w:tabs>
            <w:rPr>
              <w:rFonts w:eastAsiaTheme="minorEastAsia"/>
              <w:noProof/>
              <w:lang w:val="en-GB" w:eastAsia="en-GB"/>
            </w:rPr>
          </w:pPr>
          <w:hyperlink w:anchor="_Toc156937948" w:history="1">
            <w:r w:rsidR="00462475" w:rsidRPr="00B000B4">
              <w:rPr>
                <w:rStyle w:val="Hyperlink"/>
                <w:rFonts w:eastAsia="Calibri"/>
                <w:noProof/>
              </w:rPr>
              <w:t>2.1.</w:t>
            </w:r>
            <w:r w:rsidR="00462475">
              <w:rPr>
                <w:rFonts w:eastAsiaTheme="minorEastAsia"/>
                <w:noProof/>
                <w:lang w:val="en-GB" w:eastAsia="en-GB"/>
              </w:rPr>
              <w:tab/>
            </w:r>
            <w:r w:rsidR="00462475" w:rsidRPr="00B000B4">
              <w:rPr>
                <w:rStyle w:val="Hyperlink"/>
                <w:rFonts w:eastAsia="Calibri"/>
                <w:noProof/>
              </w:rPr>
              <w:t>Stručnost</w:t>
            </w:r>
            <w:r w:rsidR="00462475">
              <w:rPr>
                <w:noProof/>
                <w:webHidden/>
              </w:rPr>
              <w:tab/>
            </w:r>
            <w:r w:rsidR="00462475">
              <w:rPr>
                <w:noProof/>
                <w:webHidden/>
              </w:rPr>
              <w:fldChar w:fldCharType="begin"/>
            </w:r>
            <w:r w:rsidR="00462475">
              <w:rPr>
                <w:noProof/>
                <w:webHidden/>
              </w:rPr>
              <w:instrText xml:space="preserve"> PAGEREF _Toc156937948 \h </w:instrText>
            </w:r>
            <w:r w:rsidR="00462475">
              <w:rPr>
                <w:noProof/>
                <w:webHidden/>
              </w:rPr>
            </w:r>
            <w:r w:rsidR="00462475">
              <w:rPr>
                <w:noProof/>
                <w:webHidden/>
              </w:rPr>
              <w:fldChar w:fldCharType="separate"/>
            </w:r>
            <w:r w:rsidR="00462475">
              <w:rPr>
                <w:noProof/>
                <w:webHidden/>
              </w:rPr>
              <w:t>16</w:t>
            </w:r>
            <w:r w:rsidR="00462475">
              <w:rPr>
                <w:noProof/>
                <w:webHidden/>
              </w:rPr>
              <w:fldChar w:fldCharType="end"/>
            </w:r>
          </w:hyperlink>
        </w:p>
        <w:p w14:paraId="381625A4" w14:textId="7A71E9B0" w:rsidR="00462475" w:rsidRDefault="004367AB">
          <w:pPr>
            <w:pStyle w:val="TOC3"/>
            <w:tabs>
              <w:tab w:val="left" w:pos="1100"/>
              <w:tab w:val="right" w:leader="dot" w:pos="9350"/>
            </w:tabs>
            <w:rPr>
              <w:rFonts w:eastAsiaTheme="minorEastAsia"/>
              <w:noProof/>
              <w:lang w:val="en-GB" w:eastAsia="en-GB"/>
            </w:rPr>
          </w:pPr>
          <w:hyperlink w:anchor="_Toc156937949" w:history="1">
            <w:r w:rsidR="00462475" w:rsidRPr="00B000B4">
              <w:rPr>
                <w:rStyle w:val="Hyperlink"/>
                <w:rFonts w:eastAsia="Calibri"/>
                <w:noProof/>
              </w:rPr>
              <w:t>2.2.</w:t>
            </w:r>
            <w:r w:rsidR="00462475">
              <w:rPr>
                <w:rFonts w:eastAsiaTheme="minorEastAsia"/>
                <w:noProof/>
                <w:lang w:val="en-GB" w:eastAsia="en-GB"/>
              </w:rPr>
              <w:tab/>
            </w:r>
            <w:r w:rsidR="00462475" w:rsidRPr="00B000B4">
              <w:rPr>
                <w:rStyle w:val="Hyperlink"/>
                <w:rFonts w:eastAsia="Calibri"/>
                <w:noProof/>
              </w:rPr>
              <w:t>Efikasnost pravosuđa</w:t>
            </w:r>
            <w:r w:rsidR="00462475">
              <w:rPr>
                <w:noProof/>
                <w:webHidden/>
              </w:rPr>
              <w:tab/>
            </w:r>
            <w:r w:rsidR="00462475">
              <w:rPr>
                <w:noProof/>
                <w:webHidden/>
              </w:rPr>
              <w:fldChar w:fldCharType="begin"/>
            </w:r>
            <w:r w:rsidR="00462475">
              <w:rPr>
                <w:noProof/>
                <w:webHidden/>
              </w:rPr>
              <w:instrText xml:space="preserve"> PAGEREF _Toc156937949 \h </w:instrText>
            </w:r>
            <w:r w:rsidR="00462475">
              <w:rPr>
                <w:noProof/>
                <w:webHidden/>
              </w:rPr>
            </w:r>
            <w:r w:rsidR="00462475">
              <w:rPr>
                <w:noProof/>
                <w:webHidden/>
              </w:rPr>
              <w:fldChar w:fldCharType="separate"/>
            </w:r>
            <w:r w:rsidR="00462475">
              <w:rPr>
                <w:noProof/>
                <w:webHidden/>
              </w:rPr>
              <w:t>16</w:t>
            </w:r>
            <w:r w:rsidR="00462475">
              <w:rPr>
                <w:noProof/>
                <w:webHidden/>
              </w:rPr>
              <w:fldChar w:fldCharType="end"/>
            </w:r>
          </w:hyperlink>
        </w:p>
        <w:p w14:paraId="44AEE922" w14:textId="7F8A4844" w:rsidR="00462475" w:rsidRDefault="004367AB">
          <w:pPr>
            <w:pStyle w:val="TOC2"/>
            <w:tabs>
              <w:tab w:val="left" w:pos="660"/>
              <w:tab w:val="right" w:leader="dot" w:pos="9350"/>
            </w:tabs>
            <w:rPr>
              <w:rFonts w:eastAsiaTheme="minorEastAsia"/>
              <w:noProof/>
              <w:lang w:val="en-GB" w:eastAsia="en-GB"/>
            </w:rPr>
          </w:pPr>
          <w:hyperlink w:anchor="_Toc156937950" w:history="1">
            <w:r w:rsidR="00462475" w:rsidRPr="00B000B4">
              <w:rPr>
                <w:rStyle w:val="Hyperlink"/>
                <w:rFonts w:cstheme="minorHAnsi"/>
                <w:noProof/>
              </w:rPr>
              <w:t>3.</w:t>
            </w:r>
            <w:r w:rsidR="00462475">
              <w:rPr>
                <w:rFonts w:eastAsiaTheme="minorEastAsia"/>
                <w:noProof/>
                <w:lang w:val="en-GB" w:eastAsia="en-GB"/>
              </w:rPr>
              <w:tab/>
            </w:r>
            <w:r w:rsidR="00462475" w:rsidRPr="00B000B4">
              <w:rPr>
                <w:rStyle w:val="Hyperlink"/>
                <w:noProof/>
              </w:rPr>
              <w:t>Dostupnost pravde, transparentnost i povjerenje u pravosuđe</w:t>
            </w:r>
            <w:r w:rsidR="00462475">
              <w:rPr>
                <w:noProof/>
                <w:webHidden/>
              </w:rPr>
              <w:tab/>
            </w:r>
            <w:r w:rsidR="00462475">
              <w:rPr>
                <w:noProof/>
                <w:webHidden/>
              </w:rPr>
              <w:fldChar w:fldCharType="begin"/>
            </w:r>
            <w:r w:rsidR="00462475">
              <w:rPr>
                <w:noProof/>
                <w:webHidden/>
              </w:rPr>
              <w:instrText xml:space="preserve"> PAGEREF _Toc156937950 \h </w:instrText>
            </w:r>
            <w:r w:rsidR="00462475">
              <w:rPr>
                <w:noProof/>
                <w:webHidden/>
              </w:rPr>
            </w:r>
            <w:r w:rsidR="00462475">
              <w:rPr>
                <w:noProof/>
                <w:webHidden/>
              </w:rPr>
              <w:fldChar w:fldCharType="separate"/>
            </w:r>
            <w:r w:rsidR="00462475">
              <w:rPr>
                <w:noProof/>
                <w:webHidden/>
              </w:rPr>
              <w:t>21</w:t>
            </w:r>
            <w:r w:rsidR="00462475">
              <w:rPr>
                <w:noProof/>
                <w:webHidden/>
              </w:rPr>
              <w:fldChar w:fldCharType="end"/>
            </w:r>
          </w:hyperlink>
        </w:p>
        <w:p w14:paraId="05328E0E" w14:textId="41C2F1F6" w:rsidR="00462475" w:rsidRDefault="004367AB">
          <w:pPr>
            <w:pStyle w:val="TOC2"/>
            <w:tabs>
              <w:tab w:val="left" w:pos="660"/>
              <w:tab w:val="right" w:leader="dot" w:pos="9350"/>
            </w:tabs>
            <w:rPr>
              <w:rFonts w:eastAsiaTheme="minorEastAsia"/>
              <w:noProof/>
              <w:lang w:val="en-GB" w:eastAsia="en-GB"/>
            </w:rPr>
          </w:pPr>
          <w:hyperlink w:anchor="_Toc156937951" w:history="1">
            <w:r w:rsidR="00462475" w:rsidRPr="00B000B4">
              <w:rPr>
                <w:rStyle w:val="Hyperlink"/>
                <w:noProof/>
              </w:rPr>
              <w:t>4.</w:t>
            </w:r>
            <w:r w:rsidR="00462475">
              <w:rPr>
                <w:rFonts w:eastAsiaTheme="minorEastAsia"/>
                <w:noProof/>
                <w:lang w:val="en-GB" w:eastAsia="en-GB"/>
              </w:rPr>
              <w:tab/>
            </w:r>
            <w:r w:rsidR="00462475" w:rsidRPr="00B000B4">
              <w:rPr>
                <w:rStyle w:val="Hyperlink"/>
                <w:noProof/>
              </w:rPr>
              <w:t>Orodnjavanje javnih politika</w:t>
            </w:r>
            <w:r w:rsidR="00462475">
              <w:rPr>
                <w:noProof/>
                <w:webHidden/>
              </w:rPr>
              <w:tab/>
            </w:r>
            <w:r w:rsidR="00462475">
              <w:rPr>
                <w:noProof/>
                <w:webHidden/>
              </w:rPr>
              <w:fldChar w:fldCharType="begin"/>
            </w:r>
            <w:r w:rsidR="00462475">
              <w:rPr>
                <w:noProof/>
                <w:webHidden/>
              </w:rPr>
              <w:instrText xml:space="preserve"> PAGEREF _Toc156937951 \h </w:instrText>
            </w:r>
            <w:r w:rsidR="00462475">
              <w:rPr>
                <w:noProof/>
                <w:webHidden/>
              </w:rPr>
            </w:r>
            <w:r w:rsidR="00462475">
              <w:rPr>
                <w:noProof/>
                <w:webHidden/>
              </w:rPr>
              <w:fldChar w:fldCharType="separate"/>
            </w:r>
            <w:r w:rsidR="00462475">
              <w:rPr>
                <w:noProof/>
                <w:webHidden/>
              </w:rPr>
              <w:t>22</w:t>
            </w:r>
            <w:r w:rsidR="00462475">
              <w:rPr>
                <w:noProof/>
                <w:webHidden/>
              </w:rPr>
              <w:fldChar w:fldCharType="end"/>
            </w:r>
          </w:hyperlink>
        </w:p>
        <w:p w14:paraId="7F80543F" w14:textId="176E55A7" w:rsidR="00462475" w:rsidRDefault="004367AB">
          <w:pPr>
            <w:pStyle w:val="TOC2"/>
            <w:tabs>
              <w:tab w:val="left" w:pos="660"/>
              <w:tab w:val="right" w:leader="dot" w:pos="9350"/>
            </w:tabs>
            <w:rPr>
              <w:rFonts w:eastAsiaTheme="minorEastAsia"/>
              <w:noProof/>
              <w:lang w:val="en-GB" w:eastAsia="en-GB"/>
            </w:rPr>
          </w:pPr>
          <w:hyperlink w:anchor="_Toc156937952" w:history="1">
            <w:r w:rsidR="00462475" w:rsidRPr="00B000B4">
              <w:rPr>
                <w:rStyle w:val="Hyperlink"/>
                <w:rFonts w:cstheme="minorHAnsi"/>
                <w:noProof/>
                <w:lang w:eastAsia="en-GB"/>
              </w:rPr>
              <w:t>5.</w:t>
            </w:r>
            <w:r w:rsidR="00462475">
              <w:rPr>
                <w:rFonts w:eastAsiaTheme="minorEastAsia"/>
                <w:noProof/>
                <w:lang w:val="en-GB" w:eastAsia="en-GB"/>
              </w:rPr>
              <w:tab/>
            </w:r>
            <w:r w:rsidR="00462475" w:rsidRPr="00B000B4">
              <w:rPr>
                <w:rStyle w:val="Hyperlink"/>
                <w:noProof/>
              </w:rPr>
              <w:t>Strateška analiza uticaja na životnu sredinu u fazi definisanja ciljeva</w:t>
            </w:r>
            <w:r w:rsidR="00462475">
              <w:rPr>
                <w:noProof/>
                <w:webHidden/>
              </w:rPr>
              <w:tab/>
            </w:r>
            <w:r w:rsidR="00462475">
              <w:rPr>
                <w:noProof/>
                <w:webHidden/>
              </w:rPr>
              <w:fldChar w:fldCharType="begin"/>
            </w:r>
            <w:r w:rsidR="00462475">
              <w:rPr>
                <w:noProof/>
                <w:webHidden/>
              </w:rPr>
              <w:instrText xml:space="preserve"> PAGEREF _Toc156937952 \h </w:instrText>
            </w:r>
            <w:r w:rsidR="00462475">
              <w:rPr>
                <w:noProof/>
                <w:webHidden/>
              </w:rPr>
            </w:r>
            <w:r w:rsidR="00462475">
              <w:rPr>
                <w:noProof/>
                <w:webHidden/>
              </w:rPr>
              <w:fldChar w:fldCharType="separate"/>
            </w:r>
            <w:r w:rsidR="00462475">
              <w:rPr>
                <w:noProof/>
                <w:webHidden/>
              </w:rPr>
              <w:t>23</w:t>
            </w:r>
            <w:r w:rsidR="00462475">
              <w:rPr>
                <w:noProof/>
                <w:webHidden/>
              </w:rPr>
              <w:fldChar w:fldCharType="end"/>
            </w:r>
          </w:hyperlink>
        </w:p>
        <w:p w14:paraId="792CF8AF" w14:textId="7989AB7B" w:rsidR="00462475" w:rsidRDefault="004367AB">
          <w:pPr>
            <w:pStyle w:val="TOC1"/>
            <w:tabs>
              <w:tab w:val="right" w:leader="dot" w:pos="9350"/>
            </w:tabs>
            <w:rPr>
              <w:rFonts w:eastAsiaTheme="minorEastAsia"/>
              <w:noProof/>
              <w:lang w:val="en-GB" w:eastAsia="en-GB"/>
            </w:rPr>
          </w:pPr>
          <w:hyperlink w:anchor="_Toc156937953" w:history="1">
            <w:r w:rsidR="00462475" w:rsidRPr="00B000B4">
              <w:rPr>
                <w:rStyle w:val="Hyperlink"/>
                <w:noProof/>
              </w:rPr>
              <w:t>III VIZIJA, ADRESATI, STRATEŠKI I OPERATIVNI CILJEVI REFORME PRAVOSUĐA</w:t>
            </w:r>
            <w:r w:rsidR="00462475">
              <w:rPr>
                <w:noProof/>
                <w:webHidden/>
              </w:rPr>
              <w:tab/>
            </w:r>
            <w:r w:rsidR="00462475">
              <w:rPr>
                <w:noProof/>
                <w:webHidden/>
              </w:rPr>
              <w:fldChar w:fldCharType="begin"/>
            </w:r>
            <w:r w:rsidR="00462475">
              <w:rPr>
                <w:noProof/>
                <w:webHidden/>
              </w:rPr>
              <w:instrText xml:space="preserve"> PAGEREF _Toc156937953 \h </w:instrText>
            </w:r>
            <w:r w:rsidR="00462475">
              <w:rPr>
                <w:noProof/>
                <w:webHidden/>
              </w:rPr>
            </w:r>
            <w:r w:rsidR="00462475">
              <w:rPr>
                <w:noProof/>
                <w:webHidden/>
              </w:rPr>
              <w:fldChar w:fldCharType="separate"/>
            </w:r>
            <w:r w:rsidR="00462475">
              <w:rPr>
                <w:noProof/>
                <w:webHidden/>
              </w:rPr>
              <w:t>24</w:t>
            </w:r>
            <w:r w:rsidR="00462475">
              <w:rPr>
                <w:noProof/>
                <w:webHidden/>
              </w:rPr>
              <w:fldChar w:fldCharType="end"/>
            </w:r>
          </w:hyperlink>
        </w:p>
        <w:p w14:paraId="4D4D3EE5" w14:textId="24AA2C42" w:rsidR="00462475" w:rsidRDefault="004367AB">
          <w:pPr>
            <w:pStyle w:val="TOC2"/>
            <w:tabs>
              <w:tab w:val="left" w:pos="660"/>
              <w:tab w:val="right" w:leader="dot" w:pos="9350"/>
            </w:tabs>
            <w:rPr>
              <w:rFonts w:eastAsiaTheme="minorEastAsia"/>
              <w:noProof/>
              <w:lang w:val="en-GB" w:eastAsia="en-GB"/>
            </w:rPr>
          </w:pPr>
          <w:hyperlink w:anchor="_Toc156937954" w:history="1">
            <w:r w:rsidR="00462475" w:rsidRPr="00B000B4">
              <w:rPr>
                <w:rStyle w:val="Hyperlink"/>
                <w:noProof/>
              </w:rPr>
              <w:t>1.</w:t>
            </w:r>
            <w:r w:rsidR="00462475">
              <w:rPr>
                <w:rFonts w:eastAsiaTheme="minorEastAsia"/>
                <w:noProof/>
                <w:lang w:val="en-GB" w:eastAsia="en-GB"/>
              </w:rPr>
              <w:tab/>
            </w:r>
            <w:r w:rsidR="00462475" w:rsidRPr="00B000B4">
              <w:rPr>
                <w:rStyle w:val="Hyperlink"/>
                <w:noProof/>
              </w:rPr>
              <w:t>Jačanje nezavisnosti, nepristrasnosti i odgovornosti pravosuđa</w:t>
            </w:r>
            <w:r w:rsidR="00462475">
              <w:rPr>
                <w:noProof/>
                <w:webHidden/>
              </w:rPr>
              <w:tab/>
            </w:r>
            <w:r w:rsidR="00462475">
              <w:rPr>
                <w:noProof/>
                <w:webHidden/>
              </w:rPr>
              <w:fldChar w:fldCharType="begin"/>
            </w:r>
            <w:r w:rsidR="00462475">
              <w:rPr>
                <w:noProof/>
                <w:webHidden/>
              </w:rPr>
              <w:instrText xml:space="preserve"> PAGEREF _Toc156937954 \h </w:instrText>
            </w:r>
            <w:r w:rsidR="00462475">
              <w:rPr>
                <w:noProof/>
                <w:webHidden/>
              </w:rPr>
            </w:r>
            <w:r w:rsidR="00462475">
              <w:rPr>
                <w:noProof/>
                <w:webHidden/>
              </w:rPr>
              <w:fldChar w:fldCharType="separate"/>
            </w:r>
            <w:r w:rsidR="00462475">
              <w:rPr>
                <w:noProof/>
                <w:webHidden/>
              </w:rPr>
              <w:t>25</w:t>
            </w:r>
            <w:r w:rsidR="00462475">
              <w:rPr>
                <w:noProof/>
                <w:webHidden/>
              </w:rPr>
              <w:fldChar w:fldCharType="end"/>
            </w:r>
          </w:hyperlink>
        </w:p>
        <w:p w14:paraId="2772B1A2" w14:textId="16502C89" w:rsidR="00462475" w:rsidRDefault="004367AB">
          <w:pPr>
            <w:pStyle w:val="TOC3"/>
            <w:tabs>
              <w:tab w:val="left" w:pos="1100"/>
              <w:tab w:val="right" w:leader="dot" w:pos="9350"/>
            </w:tabs>
            <w:rPr>
              <w:rFonts w:eastAsiaTheme="minorEastAsia"/>
              <w:noProof/>
              <w:lang w:val="en-GB" w:eastAsia="en-GB"/>
            </w:rPr>
          </w:pPr>
          <w:hyperlink w:anchor="_Toc156937955" w:history="1">
            <w:r w:rsidR="00462475" w:rsidRPr="00B000B4">
              <w:rPr>
                <w:rStyle w:val="Hyperlink"/>
                <w:noProof/>
              </w:rPr>
              <w:t>1.1.</w:t>
            </w:r>
            <w:r w:rsidR="00462475">
              <w:rPr>
                <w:rFonts w:eastAsiaTheme="minorEastAsia"/>
                <w:noProof/>
                <w:lang w:val="en-GB" w:eastAsia="en-GB"/>
              </w:rPr>
              <w:tab/>
            </w:r>
            <w:r w:rsidR="00462475" w:rsidRPr="00B000B4">
              <w:rPr>
                <w:rStyle w:val="Hyperlink"/>
                <w:noProof/>
              </w:rPr>
              <w:t>Unaprjeđenje normativnog okvira koji garantuje nezavisnost pravosuđa</w:t>
            </w:r>
            <w:r w:rsidR="00462475">
              <w:rPr>
                <w:noProof/>
                <w:webHidden/>
              </w:rPr>
              <w:tab/>
            </w:r>
            <w:r w:rsidR="00462475">
              <w:rPr>
                <w:noProof/>
                <w:webHidden/>
              </w:rPr>
              <w:fldChar w:fldCharType="begin"/>
            </w:r>
            <w:r w:rsidR="00462475">
              <w:rPr>
                <w:noProof/>
                <w:webHidden/>
              </w:rPr>
              <w:instrText xml:space="preserve"> PAGEREF _Toc156937955 \h </w:instrText>
            </w:r>
            <w:r w:rsidR="00462475">
              <w:rPr>
                <w:noProof/>
                <w:webHidden/>
              </w:rPr>
            </w:r>
            <w:r w:rsidR="00462475">
              <w:rPr>
                <w:noProof/>
                <w:webHidden/>
              </w:rPr>
              <w:fldChar w:fldCharType="separate"/>
            </w:r>
            <w:r w:rsidR="00462475">
              <w:rPr>
                <w:noProof/>
                <w:webHidden/>
              </w:rPr>
              <w:t>27</w:t>
            </w:r>
            <w:r w:rsidR="00462475">
              <w:rPr>
                <w:noProof/>
                <w:webHidden/>
              </w:rPr>
              <w:fldChar w:fldCharType="end"/>
            </w:r>
          </w:hyperlink>
        </w:p>
        <w:p w14:paraId="7615508A" w14:textId="606150B5" w:rsidR="00462475" w:rsidRDefault="004367AB">
          <w:pPr>
            <w:pStyle w:val="TOC3"/>
            <w:tabs>
              <w:tab w:val="left" w:pos="1100"/>
              <w:tab w:val="right" w:leader="dot" w:pos="9350"/>
            </w:tabs>
            <w:rPr>
              <w:rFonts w:eastAsiaTheme="minorEastAsia"/>
              <w:noProof/>
              <w:lang w:val="en-GB" w:eastAsia="en-GB"/>
            </w:rPr>
          </w:pPr>
          <w:hyperlink w:anchor="_Toc156937956" w:history="1">
            <w:r w:rsidR="00462475" w:rsidRPr="00B000B4">
              <w:rPr>
                <w:rStyle w:val="Hyperlink"/>
                <w:noProof/>
              </w:rPr>
              <w:t>1.2.</w:t>
            </w:r>
            <w:r w:rsidR="00462475">
              <w:rPr>
                <w:rFonts w:eastAsiaTheme="minorEastAsia"/>
                <w:noProof/>
                <w:lang w:val="en-GB" w:eastAsia="en-GB"/>
              </w:rPr>
              <w:tab/>
            </w:r>
            <w:r w:rsidR="00462475" w:rsidRPr="00B000B4">
              <w:rPr>
                <w:rStyle w:val="Hyperlink"/>
                <w:noProof/>
              </w:rPr>
              <w:t>Efektivna implementacija sistema za izbor, ocjenjivanje rada i napredovanje sudija i državnih tužilaca</w:t>
            </w:r>
            <w:r w:rsidR="00462475">
              <w:rPr>
                <w:noProof/>
                <w:webHidden/>
              </w:rPr>
              <w:tab/>
            </w:r>
            <w:r w:rsidR="00462475">
              <w:rPr>
                <w:noProof/>
                <w:webHidden/>
              </w:rPr>
              <w:fldChar w:fldCharType="begin"/>
            </w:r>
            <w:r w:rsidR="00462475">
              <w:rPr>
                <w:noProof/>
                <w:webHidden/>
              </w:rPr>
              <w:instrText xml:space="preserve"> PAGEREF _Toc156937956 \h </w:instrText>
            </w:r>
            <w:r w:rsidR="00462475">
              <w:rPr>
                <w:noProof/>
                <w:webHidden/>
              </w:rPr>
            </w:r>
            <w:r w:rsidR="00462475">
              <w:rPr>
                <w:noProof/>
                <w:webHidden/>
              </w:rPr>
              <w:fldChar w:fldCharType="separate"/>
            </w:r>
            <w:r w:rsidR="00462475">
              <w:rPr>
                <w:noProof/>
                <w:webHidden/>
              </w:rPr>
              <w:t>27</w:t>
            </w:r>
            <w:r w:rsidR="00462475">
              <w:rPr>
                <w:noProof/>
                <w:webHidden/>
              </w:rPr>
              <w:fldChar w:fldCharType="end"/>
            </w:r>
          </w:hyperlink>
        </w:p>
        <w:p w14:paraId="2ABFC348" w14:textId="4A4265B3" w:rsidR="00462475" w:rsidRDefault="004367AB">
          <w:pPr>
            <w:pStyle w:val="TOC3"/>
            <w:tabs>
              <w:tab w:val="left" w:pos="1100"/>
              <w:tab w:val="right" w:leader="dot" w:pos="9350"/>
            </w:tabs>
            <w:rPr>
              <w:rFonts w:eastAsiaTheme="minorEastAsia"/>
              <w:noProof/>
              <w:lang w:val="en-GB" w:eastAsia="en-GB"/>
            </w:rPr>
          </w:pPr>
          <w:hyperlink w:anchor="_Toc156937957" w:history="1">
            <w:r w:rsidR="00462475" w:rsidRPr="00B000B4">
              <w:rPr>
                <w:rStyle w:val="Hyperlink"/>
                <w:noProof/>
              </w:rPr>
              <w:t>1.3.</w:t>
            </w:r>
            <w:r w:rsidR="00462475">
              <w:rPr>
                <w:rFonts w:eastAsiaTheme="minorEastAsia"/>
                <w:noProof/>
                <w:lang w:val="en-GB" w:eastAsia="en-GB"/>
              </w:rPr>
              <w:tab/>
            </w:r>
            <w:r w:rsidR="00462475" w:rsidRPr="00B000B4">
              <w:rPr>
                <w:rStyle w:val="Hyperlink"/>
                <w:noProof/>
              </w:rPr>
              <w:t>Jačanje kapaciteta Sudskog i Tuž</w:t>
            </w:r>
            <w:r w:rsidR="00462475" w:rsidRPr="00B000B4">
              <w:rPr>
                <w:rStyle w:val="Hyperlink"/>
                <w:noProof/>
                <w:lang w:val="en-GB"/>
              </w:rPr>
              <w:t>ila</w:t>
            </w:r>
            <w:r w:rsidR="00462475" w:rsidRPr="00B000B4">
              <w:rPr>
                <w:rStyle w:val="Hyperlink"/>
                <w:noProof/>
              </w:rPr>
              <w:t>č</w:t>
            </w:r>
            <w:r w:rsidR="00462475" w:rsidRPr="00B000B4">
              <w:rPr>
                <w:rStyle w:val="Hyperlink"/>
                <w:noProof/>
                <w:lang w:val="en-GB"/>
              </w:rPr>
              <w:t>kog</w:t>
            </w:r>
            <w:r w:rsidR="00462475" w:rsidRPr="00B000B4">
              <w:rPr>
                <w:rStyle w:val="Hyperlink"/>
                <w:noProof/>
              </w:rPr>
              <w:t xml:space="preserve"> savjeta</w:t>
            </w:r>
            <w:r w:rsidR="00462475">
              <w:rPr>
                <w:noProof/>
                <w:webHidden/>
              </w:rPr>
              <w:tab/>
            </w:r>
            <w:r w:rsidR="00462475">
              <w:rPr>
                <w:noProof/>
                <w:webHidden/>
              </w:rPr>
              <w:fldChar w:fldCharType="begin"/>
            </w:r>
            <w:r w:rsidR="00462475">
              <w:rPr>
                <w:noProof/>
                <w:webHidden/>
              </w:rPr>
              <w:instrText xml:space="preserve"> PAGEREF _Toc156937957 \h </w:instrText>
            </w:r>
            <w:r w:rsidR="00462475">
              <w:rPr>
                <w:noProof/>
                <w:webHidden/>
              </w:rPr>
            </w:r>
            <w:r w:rsidR="00462475">
              <w:rPr>
                <w:noProof/>
                <w:webHidden/>
              </w:rPr>
              <w:fldChar w:fldCharType="separate"/>
            </w:r>
            <w:r w:rsidR="00462475">
              <w:rPr>
                <w:noProof/>
                <w:webHidden/>
              </w:rPr>
              <w:t>28</w:t>
            </w:r>
            <w:r w:rsidR="00462475">
              <w:rPr>
                <w:noProof/>
                <w:webHidden/>
              </w:rPr>
              <w:fldChar w:fldCharType="end"/>
            </w:r>
          </w:hyperlink>
        </w:p>
        <w:p w14:paraId="19B37275" w14:textId="66572F58" w:rsidR="00462475" w:rsidRDefault="004367AB">
          <w:pPr>
            <w:pStyle w:val="TOC3"/>
            <w:tabs>
              <w:tab w:val="left" w:pos="1100"/>
              <w:tab w:val="right" w:leader="dot" w:pos="9350"/>
            </w:tabs>
            <w:rPr>
              <w:rFonts w:eastAsiaTheme="minorEastAsia"/>
              <w:noProof/>
              <w:lang w:val="en-GB" w:eastAsia="en-GB"/>
            </w:rPr>
          </w:pPr>
          <w:hyperlink w:anchor="_Toc156937958" w:history="1">
            <w:r w:rsidR="00462475" w:rsidRPr="00B000B4">
              <w:rPr>
                <w:rStyle w:val="Hyperlink"/>
                <w:noProof/>
              </w:rPr>
              <w:t>1.4.</w:t>
            </w:r>
            <w:r w:rsidR="00462475">
              <w:rPr>
                <w:rFonts w:eastAsiaTheme="minorEastAsia"/>
                <w:noProof/>
                <w:lang w:val="en-GB" w:eastAsia="en-GB"/>
              </w:rPr>
              <w:tab/>
            </w:r>
            <w:r w:rsidR="00462475" w:rsidRPr="00B000B4">
              <w:rPr>
                <w:rStyle w:val="Hyperlink"/>
                <w:noProof/>
              </w:rPr>
              <w:t>Unaprjeđenje finansijske nezavisnosti pravosuđa</w:t>
            </w:r>
            <w:r w:rsidR="00462475">
              <w:rPr>
                <w:noProof/>
                <w:webHidden/>
              </w:rPr>
              <w:tab/>
            </w:r>
            <w:r w:rsidR="00462475">
              <w:rPr>
                <w:noProof/>
                <w:webHidden/>
              </w:rPr>
              <w:fldChar w:fldCharType="begin"/>
            </w:r>
            <w:r w:rsidR="00462475">
              <w:rPr>
                <w:noProof/>
                <w:webHidden/>
              </w:rPr>
              <w:instrText xml:space="preserve"> PAGEREF _Toc156937958 \h </w:instrText>
            </w:r>
            <w:r w:rsidR="00462475">
              <w:rPr>
                <w:noProof/>
                <w:webHidden/>
              </w:rPr>
            </w:r>
            <w:r w:rsidR="00462475">
              <w:rPr>
                <w:noProof/>
                <w:webHidden/>
              </w:rPr>
              <w:fldChar w:fldCharType="separate"/>
            </w:r>
            <w:r w:rsidR="00462475">
              <w:rPr>
                <w:noProof/>
                <w:webHidden/>
              </w:rPr>
              <w:t>29</w:t>
            </w:r>
            <w:r w:rsidR="00462475">
              <w:rPr>
                <w:noProof/>
                <w:webHidden/>
              </w:rPr>
              <w:fldChar w:fldCharType="end"/>
            </w:r>
          </w:hyperlink>
        </w:p>
        <w:p w14:paraId="143AA90E" w14:textId="381D1139" w:rsidR="00462475" w:rsidRDefault="004367AB">
          <w:pPr>
            <w:pStyle w:val="TOC3"/>
            <w:tabs>
              <w:tab w:val="left" w:pos="1100"/>
              <w:tab w:val="right" w:leader="dot" w:pos="9350"/>
            </w:tabs>
            <w:rPr>
              <w:rFonts w:eastAsiaTheme="minorEastAsia"/>
              <w:noProof/>
              <w:lang w:val="en-GB" w:eastAsia="en-GB"/>
            </w:rPr>
          </w:pPr>
          <w:hyperlink w:anchor="_Toc156937959" w:history="1">
            <w:r w:rsidR="00462475" w:rsidRPr="00B000B4">
              <w:rPr>
                <w:rStyle w:val="Hyperlink"/>
                <w:noProof/>
              </w:rPr>
              <w:t>1.5.</w:t>
            </w:r>
            <w:r w:rsidR="00462475">
              <w:rPr>
                <w:rFonts w:eastAsiaTheme="minorEastAsia"/>
                <w:noProof/>
                <w:lang w:val="en-GB" w:eastAsia="en-GB"/>
              </w:rPr>
              <w:tab/>
            </w:r>
            <w:r w:rsidR="00462475" w:rsidRPr="00B000B4">
              <w:rPr>
                <w:rStyle w:val="Hyperlink"/>
                <w:noProof/>
              </w:rPr>
              <w:t>Jačanje nepristrasnosti i integriteta nosilaca pravosudnih funkcija kroz dosljedno poštovanje principa slučajne dodjele predmeta, primjenu odredaba o izuzeću i poštovanje etičkih kodeksa</w:t>
            </w:r>
            <w:r w:rsidR="00462475">
              <w:rPr>
                <w:noProof/>
                <w:webHidden/>
              </w:rPr>
              <w:tab/>
            </w:r>
            <w:r w:rsidR="00462475">
              <w:rPr>
                <w:noProof/>
                <w:webHidden/>
              </w:rPr>
              <w:fldChar w:fldCharType="begin"/>
            </w:r>
            <w:r w:rsidR="00462475">
              <w:rPr>
                <w:noProof/>
                <w:webHidden/>
              </w:rPr>
              <w:instrText xml:space="preserve"> PAGEREF _Toc156937959 \h </w:instrText>
            </w:r>
            <w:r w:rsidR="00462475">
              <w:rPr>
                <w:noProof/>
                <w:webHidden/>
              </w:rPr>
            </w:r>
            <w:r w:rsidR="00462475">
              <w:rPr>
                <w:noProof/>
                <w:webHidden/>
              </w:rPr>
              <w:fldChar w:fldCharType="separate"/>
            </w:r>
            <w:r w:rsidR="00462475">
              <w:rPr>
                <w:noProof/>
                <w:webHidden/>
              </w:rPr>
              <w:t>30</w:t>
            </w:r>
            <w:r w:rsidR="00462475">
              <w:rPr>
                <w:noProof/>
                <w:webHidden/>
              </w:rPr>
              <w:fldChar w:fldCharType="end"/>
            </w:r>
          </w:hyperlink>
        </w:p>
        <w:p w14:paraId="29743A8E" w14:textId="034B78C1" w:rsidR="00462475" w:rsidRDefault="004367AB">
          <w:pPr>
            <w:pStyle w:val="TOC3"/>
            <w:tabs>
              <w:tab w:val="left" w:pos="1100"/>
              <w:tab w:val="right" w:leader="dot" w:pos="9350"/>
            </w:tabs>
            <w:rPr>
              <w:rFonts w:eastAsiaTheme="minorEastAsia"/>
              <w:noProof/>
              <w:lang w:val="en-GB" w:eastAsia="en-GB"/>
            </w:rPr>
          </w:pPr>
          <w:hyperlink w:anchor="_Toc156937960" w:history="1">
            <w:r w:rsidR="00462475" w:rsidRPr="00B000B4">
              <w:rPr>
                <w:rStyle w:val="Hyperlink"/>
                <w:noProof/>
              </w:rPr>
              <w:t>1.6.</w:t>
            </w:r>
            <w:r w:rsidR="00462475">
              <w:rPr>
                <w:rFonts w:eastAsiaTheme="minorEastAsia"/>
                <w:noProof/>
                <w:lang w:val="en-GB" w:eastAsia="en-GB"/>
              </w:rPr>
              <w:tab/>
            </w:r>
            <w:r w:rsidR="00462475" w:rsidRPr="00B000B4">
              <w:rPr>
                <w:rStyle w:val="Hyperlink"/>
                <w:noProof/>
              </w:rPr>
              <w:t>Jačanje sistema disciplinske odgovornosti nosilaca pravosudnih funkcija</w:t>
            </w:r>
            <w:r w:rsidR="00462475">
              <w:rPr>
                <w:noProof/>
                <w:webHidden/>
              </w:rPr>
              <w:tab/>
            </w:r>
            <w:r w:rsidR="00462475">
              <w:rPr>
                <w:noProof/>
                <w:webHidden/>
              </w:rPr>
              <w:fldChar w:fldCharType="begin"/>
            </w:r>
            <w:r w:rsidR="00462475">
              <w:rPr>
                <w:noProof/>
                <w:webHidden/>
              </w:rPr>
              <w:instrText xml:space="preserve"> PAGEREF _Toc156937960 \h </w:instrText>
            </w:r>
            <w:r w:rsidR="00462475">
              <w:rPr>
                <w:noProof/>
                <w:webHidden/>
              </w:rPr>
            </w:r>
            <w:r w:rsidR="00462475">
              <w:rPr>
                <w:noProof/>
                <w:webHidden/>
              </w:rPr>
              <w:fldChar w:fldCharType="separate"/>
            </w:r>
            <w:r w:rsidR="00462475">
              <w:rPr>
                <w:noProof/>
                <w:webHidden/>
              </w:rPr>
              <w:t>30</w:t>
            </w:r>
            <w:r w:rsidR="00462475">
              <w:rPr>
                <w:noProof/>
                <w:webHidden/>
              </w:rPr>
              <w:fldChar w:fldCharType="end"/>
            </w:r>
          </w:hyperlink>
        </w:p>
        <w:p w14:paraId="6AF72377" w14:textId="2265FEE0" w:rsidR="00462475" w:rsidRDefault="004367AB">
          <w:pPr>
            <w:pStyle w:val="TOC3"/>
            <w:tabs>
              <w:tab w:val="left" w:pos="1100"/>
              <w:tab w:val="right" w:leader="dot" w:pos="9350"/>
            </w:tabs>
            <w:rPr>
              <w:rFonts w:eastAsiaTheme="minorEastAsia"/>
              <w:noProof/>
              <w:lang w:val="en-GB" w:eastAsia="en-GB"/>
            </w:rPr>
          </w:pPr>
          <w:hyperlink w:anchor="_Toc156937961" w:history="1">
            <w:r w:rsidR="00462475" w:rsidRPr="00B000B4">
              <w:rPr>
                <w:rStyle w:val="Hyperlink"/>
                <w:noProof/>
              </w:rPr>
              <w:t>1.7.</w:t>
            </w:r>
            <w:r w:rsidR="00462475">
              <w:rPr>
                <w:rFonts w:eastAsiaTheme="minorEastAsia"/>
                <w:noProof/>
                <w:lang w:val="en-GB" w:eastAsia="en-GB"/>
              </w:rPr>
              <w:tab/>
            </w:r>
            <w:r w:rsidR="00462475" w:rsidRPr="00B000B4">
              <w:rPr>
                <w:rStyle w:val="Hyperlink"/>
                <w:noProof/>
              </w:rPr>
              <w:t>Jačanje sistema disciplinske odgovornosti pravosudnih profesija</w:t>
            </w:r>
            <w:r w:rsidR="00462475">
              <w:rPr>
                <w:noProof/>
                <w:webHidden/>
              </w:rPr>
              <w:tab/>
            </w:r>
            <w:r w:rsidR="00462475">
              <w:rPr>
                <w:noProof/>
                <w:webHidden/>
              </w:rPr>
              <w:fldChar w:fldCharType="begin"/>
            </w:r>
            <w:r w:rsidR="00462475">
              <w:rPr>
                <w:noProof/>
                <w:webHidden/>
              </w:rPr>
              <w:instrText xml:space="preserve"> PAGEREF _Toc156937961 \h </w:instrText>
            </w:r>
            <w:r w:rsidR="00462475">
              <w:rPr>
                <w:noProof/>
                <w:webHidden/>
              </w:rPr>
            </w:r>
            <w:r w:rsidR="00462475">
              <w:rPr>
                <w:noProof/>
                <w:webHidden/>
              </w:rPr>
              <w:fldChar w:fldCharType="separate"/>
            </w:r>
            <w:r w:rsidR="00462475">
              <w:rPr>
                <w:noProof/>
                <w:webHidden/>
              </w:rPr>
              <w:t>31</w:t>
            </w:r>
            <w:r w:rsidR="00462475">
              <w:rPr>
                <w:noProof/>
                <w:webHidden/>
              </w:rPr>
              <w:fldChar w:fldCharType="end"/>
            </w:r>
          </w:hyperlink>
        </w:p>
        <w:p w14:paraId="261869D1" w14:textId="33055E6A" w:rsidR="00462475" w:rsidRDefault="004367AB">
          <w:pPr>
            <w:pStyle w:val="TOC2"/>
            <w:tabs>
              <w:tab w:val="left" w:pos="660"/>
              <w:tab w:val="right" w:leader="dot" w:pos="9350"/>
            </w:tabs>
            <w:rPr>
              <w:rFonts w:eastAsiaTheme="minorEastAsia"/>
              <w:noProof/>
              <w:lang w:val="en-GB" w:eastAsia="en-GB"/>
            </w:rPr>
          </w:pPr>
          <w:hyperlink w:anchor="_Toc156937962" w:history="1">
            <w:r w:rsidR="00462475" w:rsidRPr="00B000B4">
              <w:rPr>
                <w:rStyle w:val="Hyperlink"/>
                <w:noProof/>
              </w:rPr>
              <w:t>2.</w:t>
            </w:r>
            <w:r w:rsidR="00462475">
              <w:rPr>
                <w:rFonts w:eastAsiaTheme="minorEastAsia"/>
                <w:noProof/>
                <w:lang w:val="en-GB" w:eastAsia="en-GB"/>
              </w:rPr>
              <w:tab/>
            </w:r>
            <w:r w:rsidR="00462475" w:rsidRPr="00B000B4">
              <w:rPr>
                <w:rStyle w:val="Hyperlink"/>
                <w:noProof/>
              </w:rPr>
              <w:t>Unaprjeđenje stručnosti i efikasnosti pravosuđa</w:t>
            </w:r>
            <w:r w:rsidR="00462475">
              <w:rPr>
                <w:noProof/>
                <w:webHidden/>
              </w:rPr>
              <w:tab/>
            </w:r>
            <w:r w:rsidR="00462475">
              <w:rPr>
                <w:noProof/>
                <w:webHidden/>
              </w:rPr>
              <w:fldChar w:fldCharType="begin"/>
            </w:r>
            <w:r w:rsidR="00462475">
              <w:rPr>
                <w:noProof/>
                <w:webHidden/>
              </w:rPr>
              <w:instrText xml:space="preserve"> PAGEREF _Toc156937962 \h </w:instrText>
            </w:r>
            <w:r w:rsidR="00462475">
              <w:rPr>
                <w:noProof/>
                <w:webHidden/>
              </w:rPr>
            </w:r>
            <w:r w:rsidR="00462475">
              <w:rPr>
                <w:noProof/>
                <w:webHidden/>
              </w:rPr>
              <w:fldChar w:fldCharType="separate"/>
            </w:r>
            <w:r w:rsidR="00462475">
              <w:rPr>
                <w:noProof/>
                <w:webHidden/>
              </w:rPr>
              <w:t>32</w:t>
            </w:r>
            <w:r w:rsidR="00462475">
              <w:rPr>
                <w:noProof/>
                <w:webHidden/>
              </w:rPr>
              <w:fldChar w:fldCharType="end"/>
            </w:r>
          </w:hyperlink>
        </w:p>
        <w:p w14:paraId="11A04BD3" w14:textId="289E65B4" w:rsidR="00462475" w:rsidRDefault="004367AB">
          <w:pPr>
            <w:pStyle w:val="TOC3"/>
            <w:tabs>
              <w:tab w:val="left" w:pos="1100"/>
              <w:tab w:val="right" w:leader="dot" w:pos="9350"/>
            </w:tabs>
            <w:rPr>
              <w:rFonts w:eastAsiaTheme="minorEastAsia"/>
              <w:noProof/>
              <w:lang w:val="en-GB" w:eastAsia="en-GB"/>
            </w:rPr>
          </w:pPr>
          <w:hyperlink w:anchor="_Toc156937963" w:history="1">
            <w:r w:rsidR="00462475" w:rsidRPr="00B000B4">
              <w:rPr>
                <w:rStyle w:val="Hyperlink"/>
                <w:rFonts w:cstheme="minorHAnsi"/>
                <w:noProof/>
              </w:rPr>
              <w:t>2.1.</w:t>
            </w:r>
            <w:r w:rsidR="00462475">
              <w:rPr>
                <w:rFonts w:eastAsiaTheme="minorEastAsia"/>
                <w:noProof/>
                <w:lang w:val="en-GB" w:eastAsia="en-GB"/>
              </w:rPr>
              <w:tab/>
            </w:r>
            <w:r w:rsidR="00462475" w:rsidRPr="00B000B4">
              <w:rPr>
                <w:rStyle w:val="Hyperlink"/>
                <w:rFonts w:cstheme="minorHAnsi"/>
                <w:noProof/>
              </w:rPr>
              <w:t>Unaprjeđenje stručnosti nosilaca pravosudnih funkcija</w:t>
            </w:r>
            <w:r w:rsidR="00462475">
              <w:rPr>
                <w:noProof/>
                <w:webHidden/>
              </w:rPr>
              <w:tab/>
            </w:r>
            <w:r w:rsidR="00462475">
              <w:rPr>
                <w:noProof/>
                <w:webHidden/>
              </w:rPr>
              <w:fldChar w:fldCharType="begin"/>
            </w:r>
            <w:r w:rsidR="00462475">
              <w:rPr>
                <w:noProof/>
                <w:webHidden/>
              </w:rPr>
              <w:instrText xml:space="preserve"> PAGEREF _Toc156937963 \h </w:instrText>
            </w:r>
            <w:r w:rsidR="00462475">
              <w:rPr>
                <w:noProof/>
                <w:webHidden/>
              </w:rPr>
            </w:r>
            <w:r w:rsidR="00462475">
              <w:rPr>
                <w:noProof/>
                <w:webHidden/>
              </w:rPr>
              <w:fldChar w:fldCharType="separate"/>
            </w:r>
            <w:r w:rsidR="00462475">
              <w:rPr>
                <w:noProof/>
                <w:webHidden/>
              </w:rPr>
              <w:t>34</w:t>
            </w:r>
            <w:r w:rsidR="00462475">
              <w:rPr>
                <w:noProof/>
                <w:webHidden/>
              </w:rPr>
              <w:fldChar w:fldCharType="end"/>
            </w:r>
          </w:hyperlink>
        </w:p>
        <w:p w14:paraId="4D898969" w14:textId="58ECB15C" w:rsidR="00462475" w:rsidRDefault="004367AB">
          <w:pPr>
            <w:pStyle w:val="TOC3"/>
            <w:tabs>
              <w:tab w:val="left" w:pos="1100"/>
              <w:tab w:val="right" w:leader="dot" w:pos="9350"/>
            </w:tabs>
            <w:rPr>
              <w:rFonts w:eastAsiaTheme="minorEastAsia"/>
              <w:noProof/>
              <w:lang w:val="en-GB" w:eastAsia="en-GB"/>
            </w:rPr>
          </w:pPr>
          <w:hyperlink w:anchor="_Toc156937964" w:history="1">
            <w:r w:rsidR="00462475" w:rsidRPr="00B000B4">
              <w:rPr>
                <w:rStyle w:val="Hyperlink"/>
                <w:rFonts w:cstheme="minorHAnsi"/>
                <w:noProof/>
              </w:rPr>
              <w:t>2.2.</w:t>
            </w:r>
            <w:r w:rsidR="00462475">
              <w:rPr>
                <w:rFonts w:eastAsiaTheme="minorEastAsia"/>
                <w:noProof/>
                <w:lang w:val="en-GB" w:eastAsia="en-GB"/>
              </w:rPr>
              <w:tab/>
            </w:r>
            <w:r w:rsidR="00462475" w:rsidRPr="00B000B4">
              <w:rPr>
                <w:rStyle w:val="Hyperlink"/>
                <w:rFonts w:cstheme="minorHAnsi"/>
                <w:noProof/>
              </w:rPr>
              <w:t>Unaprjeđenje stručnosti pravosudnih profesija</w:t>
            </w:r>
            <w:r w:rsidR="00462475">
              <w:rPr>
                <w:noProof/>
                <w:webHidden/>
              </w:rPr>
              <w:tab/>
            </w:r>
            <w:r w:rsidR="00462475">
              <w:rPr>
                <w:noProof/>
                <w:webHidden/>
              </w:rPr>
              <w:fldChar w:fldCharType="begin"/>
            </w:r>
            <w:r w:rsidR="00462475">
              <w:rPr>
                <w:noProof/>
                <w:webHidden/>
              </w:rPr>
              <w:instrText xml:space="preserve"> PAGEREF _Toc156937964 \h </w:instrText>
            </w:r>
            <w:r w:rsidR="00462475">
              <w:rPr>
                <w:noProof/>
                <w:webHidden/>
              </w:rPr>
            </w:r>
            <w:r w:rsidR="00462475">
              <w:rPr>
                <w:noProof/>
                <w:webHidden/>
              </w:rPr>
              <w:fldChar w:fldCharType="separate"/>
            </w:r>
            <w:r w:rsidR="00462475">
              <w:rPr>
                <w:noProof/>
                <w:webHidden/>
              </w:rPr>
              <w:t>35</w:t>
            </w:r>
            <w:r w:rsidR="00462475">
              <w:rPr>
                <w:noProof/>
                <w:webHidden/>
              </w:rPr>
              <w:fldChar w:fldCharType="end"/>
            </w:r>
          </w:hyperlink>
        </w:p>
        <w:p w14:paraId="30695DFB" w14:textId="328DBFA6" w:rsidR="00462475" w:rsidRDefault="004367AB">
          <w:pPr>
            <w:pStyle w:val="TOC3"/>
            <w:tabs>
              <w:tab w:val="left" w:pos="1100"/>
              <w:tab w:val="right" w:leader="dot" w:pos="9350"/>
            </w:tabs>
            <w:rPr>
              <w:rFonts w:eastAsiaTheme="minorEastAsia"/>
              <w:noProof/>
              <w:lang w:val="en-GB" w:eastAsia="en-GB"/>
            </w:rPr>
          </w:pPr>
          <w:hyperlink w:anchor="_Toc156937965" w:history="1">
            <w:r w:rsidR="00462475" w:rsidRPr="00B000B4">
              <w:rPr>
                <w:rStyle w:val="Hyperlink"/>
                <w:rFonts w:cstheme="minorHAnsi"/>
                <w:noProof/>
              </w:rPr>
              <w:t>2.3.</w:t>
            </w:r>
            <w:r w:rsidR="00462475">
              <w:rPr>
                <w:rFonts w:eastAsiaTheme="minorEastAsia"/>
                <w:noProof/>
                <w:lang w:val="en-GB" w:eastAsia="en-GB"/>
              </w:rPr>
              <w:tab/>
            </w:r>
            <w:r w:rsidR="00462475" w:rsidRPr="00B000B4">
              <w:rPr>
                <w:rStyle w:val="Hyperlink"/>
                <w:rFonts w:cstheme="minorHAnsi"/>
                <w:noProof/>
              </w:rPr>
              <w:t>Unaprjeđenje kapaciteta Centra za obuku u sudstvu i državnom tužilaštvu</w:t>
            </w:r>
            <w:r w:rsidR="00462475">
              <w:rPr>
                <w:noProof/>
                <w:webHidden/>
              </w:rPr>
              <w:tab/>
            </w:r>
            <w:r w:rsidR="00462475">
              <w:rPr>
                <w:noProof/>
                <w:webHidden/>
              </w:rPr>
              <w:fldChar w:fldCharType="begin"/>
            </w:r>
            <w:r w:rsidR="00462475">
              <w:rPr>
                <w:noProof/>
                <w:webHidden/>
              </w:rPr>
              <w:instrText xml:space="preserve"> PAGEREF _Toc156937965 \h </w:instrText>
            </w:r>
            <w:r w:rsidR="00462475">
              <w:rPr>
                <w:noProof/>
                <w:webHidden/>
              </w:rPr>
            </w:r>
            <w:r w:rsidR="00462475">
              <w:rPr>
                <w:noProof/>
                <w:webHidden/>
              </w:rPr>
              <w:fldChar w:fldCharType="separate"/>
            </w:r>
            <w:r w:rsidR="00462475">
              <w:rPr>
                <w:noProof/>
                <w:webHidden/>
              </w:rPr>
              <w:t>36</w:t>
            </w:r>
            <w:r w:rsidR="00462475">
              <w:rPr>
                <w:noProof/>
                <w:webHidden/>
              </w:rPr>
              <w:fldChar w:fldCharType="end"/>
            </w:r>
          </w:hyperlink>
        </w:p>
        <w:p w14:paraId="5547420B" w14:textId="6BB31FB4" w:rsidR="00462475" w:rsidRDefault="004367AB">
          <w:pPr>
            <w:pStyle w:val="TOC3"/>
            <w:tabs>
              <w:tab w:val="left" w:pos="1100"/>
              <w:tab w:val="right" w:leader="dot" w:pos="9350"/>
            </w:tabs>
            <w:rPr>
              <w:rFonts w:eastAsiaTheme="minorEastAsia"/>
              <w:noProof/>
              <w:lang w:val="en-GB" w:eastAsia="en-GB"/>
            </w:rPr>
          </w:pPr>
          <w:hyperlink w:anchor="_Toc156937966" w:history="1">
            <w:r w:rsidR="00462475" w:rsidRPr="00B000B4">
              <w:rPr>
                <w:rStyle w:val="Hyperlink"/>
                <w:rFonts w:cstheme="minorHAnsi"/>
                <w:noProof/>
              </w:rPr>
              <w:t>2.4.</w:t>
            </w:r>
            <w:r w:rsidR="00462475">
              <w:rPr>
                <w:rFonts w:eastAsiaTheme="minorEastAsia"/>
                <w:noProof/>
                <w:lang w:val="en-GB" w:eastAsia="en-GB"/>
              </w:rPr>
              <w:tab/>
            </w:r>
            <w:r w:rsidR="00462475" w:rsidRPr="00B000B4">
              <w:rPr>
                <w:rStyle w:val="Hyperlink"/>
                <w:rFonts w:cstheme="minorHAnsi"/>
                <w:noProof/>
              </w:rPr>
              <w:t>Optimizacija pravosudne mreže</w:t>
            </w:r>
            <w:r w:rsidR="00462475">
              <w:rPr>
                <w:noProof/>
                <w:webHidden/>
              </w:rPr>
              <w:tab/>
            </w:r>
            <w:r w:rsidR="00462475">
              <w:rPr>
                <w:noProof/>
                <w:webHidden/>
              </w:rPr>
              <w:fldChar w:fldCharType="begin"/>
            </w:r>
            <w:r w:rsidR="00462475">
              <w:rPr>
                <w:noProof/>
                <w:webHidden/>
              </w:rPr>
              <w:instrText xml:space="preserve"> PAGEREF _Toc156937966 \h </w:instrText>
            </w:r>
            <w:r w:rsidR="00462475">
              <w:rPr>
                <w:noProof/>
                <w:webHidden/>
              </w:rPr>
            </w:r>
            <w:r w:rsidR="00462475">
              <w:rPr>
                <w:noProof/>
                <w:webHidden/>
              </w:rPr>
              <w:fldChar w:fldCharType="separate"/>
            </w:r>
            <w:r w:rsidR="00462475">
              <w:rPr>
                <w:noProof/>
                <w:webHidden/>
              </w:rPr>
              <w:t>37</w:t>
            </w:r>
            <w:r w:rsidR="00462475">
              <w:rPr>
                <w:noProof/>
                <w:webHidden/>
              </w:rPr>
              <w:fldChar w:fldCharType="end"/>
            </w:r>
          </w:hyperlink>
          <w:bookmarkStart w:id="3" w:name="_GoBack"/>
          <w:bookmarkEnd w:id="3"/>
        </w:p>
        <w:p w14:paraId="29BD945D" w14:textId="19F6BB66" w:rsidR="00462475" w:rsidRDefault="004367AB">
          <w:pPr>
            <w:pStyle w:val="TOC3"/>
            <w:tabs>
              <w:tab w:val="left" w:pos="1100"/>
              <w:tab w:val="right" w:leader="dot" w:pos="9350"/>
            </w:tabs>
            <w:rPr>
              <w:rFonts w:eastAsiaTheme="minorEastAsia"/>
              <w:noProof/>
              <w:lang w:val="en-GB" w:eastAsia="en-GB"/>
            </w:rPr>
          </w:pPr>
          <w:hyperlink w:anchor="_Toc156937967" w:history="1">
            <w:r w:rsidR="00462475" w:rsidRPr="00B000B4">
              <w:rPr>
                <w:rStyle w:val="Hyperlink"/>
                <w:rFonts w:cstheme="minorHAnsi"/>
                <w:noProof/>
                <w14:ligatures w14:val="standardContextual"/>
              </w:rPr>
              <w:t>2.5.</w:t>
            </w:r>
            <w:r w:rsidR="00462475">
              <w:rPr>
                <w:rFonts w:eastAsiaTheme="minorEastAsia"/>
                <w:noProof/>
                <w:lang w:val="en-GB" w:eastAsia="en-GB"/>
              </w:rPr>
              <w:tab/>
            </w:r>
            <w:r w:rsidR="00462475" w:rsidRPr="00B000B4">
              <w:rPr>
                <w:rStyle w:val="Hyperlink"/>
                <w:rFonts w:cstheme="minorHAnsi"/>
                <w:noProof/>
                <w14:ligatures w14:val="standardContextual"/>
              </w:rPr>
              <w:t>Unaprjeđenje procesnog zakonodavstva</w:t>
            </w:r>
            <w:r w:rsidR="00462475">
              <w:rPr>
                <w:noProof/>
                <w:webHidden/>
              </w:rPr>
              <w:tab/>
            </w:r>
            <w:r w:rsidR="00462475">
              <w:rPr>
                <w:noProof/>
                <w:webHidden/>
              </w:rPr>
              <w:fldChar w:fldCharType="begin"/>
            </w:r>
            <w:r w:rsidR="00462475">
              <w:rPr>
                <w:noProof/>
                <w:webHidden/>
              </w:rPr>
              <w:instrText xml:space="preserve"> PAGEREF _Toc156937967 \h </w:instrText>
            </w:r>
            <w:r w:rsidR="00462475">
              <w:rPr>
                <w:noProof/>
                <w:webHidden/>
              </w:rPr>
            </w:r>
            <w:r w:rsidR="00462475">
              <w:rPr>
                <w:noProof/>
                <w:webHidden/>
              </w:rPr>
              <w:fldChar w:fldCharType="separate"/>
            </w:r>
            <w:r w:rsidR="00462475">
              <w:rPr>
                <w:noProof/>
                <w:webHidden/>
              </w:rPr>
              <w:t>38</w:t>
            </w:r>
            <w:r w:rsidR="00462475">
              <w:rPr>
                <w:noProof/>
                <w:webHidden/>
              </w:rPr>
              <w:fldChar w:fldCharType="end"/>
            </w:r>
          </w:hyperlink>
        </w:p>
        <w:p w14:paraId="68F16AA1" w14:textId="5A113BFD" w:rsidR="00462475" w:rsidRDefault="004367AB">
          <w:pPr>
            <w:pStyle w:val="TOC3"/>
            <w:tabs>
              <w:tab w:val="right" w:leader="dot" w:pos="9350"/>
            </w:tabs>
            <w:rPr>
              <w:rFonts w:eastAsiaTheme="minorEastAsia"/>
              <w:noProof/>
              <w:lang w:val="en-GB" w:eastAsia="en-GB"/>
            </w:rPr>
          </w:pPr>
          <w:hyperlink w:anchor="_Toc156937968" w:history="1">
            <w:r w:rsidR="00462475" w:rsidRPr="00B000B4">
              <w:rPr>
                <w:rStyle w:val="Hyperlink"/>
                <w:rFonts w:cstheme="minorHAnsi"/>
                <w:noProof/>
                <w14:ligatures w14:val="standardContextual"/>
              </w:rPr>
              <w:t>2.6.</w:t>
            </w:r>
            <w:r w:rsidR="00FA519B">
              <w:rPr>
                <w:rFonts w:eastAsiaTheme="minorEastAsia"/>
                <w:noProof/>
                <w:lang w:val="en-GB" w:eastAsia="en-GB"/>
              </w:rPr>
              <w:t xml:space="preserve"> </w:t>
            </w:r>
            <w:r w:rsidR="00462475" w:rsidRPr="00B000B4">
              <w:rPr>
                <w:rStyle w:val="Hyperlink"/>
                <w:rFonts w:cstheme="minorHAnsi"/>
                <w:noProof/>
                <w14:ligatures w14:val="standardContextual"/>
              </w:rPr>
              <w:t>Smanjenje broja zaostalih predmeta i jačanje alternativnog rješavanja sporova</w:t>
            </w:r>
            <w:r w:rsidR="00462475">
              <w:rPr>
                <w:noProof/>
                <w:webHidden/>
              </w:rPr>
              <w:tab/>
            </w:r>
            <w:r w:rsidR="00462475">
              <w:rPr>
                <w:noProof/>
                <w:webHidden/>
              </w:rPr>
              <w:fldChar w:fldCharType="begin"/>
            </w:r>
            <w:r w:rsidR="00462475">
              <w:rPr>
                <w:noProof/>
                <w:webHidden/>
              </w:rPr>
              <w:instrText xml:space="preserve"> PAGEREF _Toc156937968 \h </w:instrText>
            </w:r>
            <w:r w:rsidR="00462475">
              <w:rPr>
                <w:noProof/>
                <w:webHidden/>
              </w:rPr>
            </w:r>
            <w:r w:rsidR="00462475">
              <w:rPr>
                <w:noProof/>
                <w:webHidden/>
              </w:rPr>
              <w:fldChar w:fldCharType="separate"/>
            </w:r>
            <w:r w:rsidR="00462475">
              <w:rPr>
                <w:noProof/>
                <w:webHidden/>
              </w:rPr>
              <w:t>39</w:t>
            </w:r>
            <w:r w:rsidR="00462475">
              <w:rPr>
                <w:noProof/>
                <w:webHidden/>
              </w:rPr>
              <w:fldChar w:fldCharType="end"/>
            </w:r>
          </w:hyperlink>
        </w:p>
        <w:p w14:paraId="1094A132" w14:textId="75FCD53C" w:rsidR="00462475" w:rsidRDefault="004367AB">
          <w:pPr>
            <w:pStyle w:val="TOC3"/>
            <w:tabs>
              <w:tab w:val="right" w:leader="dot" w:pos="9350"/>
            </w:tabs>
            <w:rPr>
              <w:rFonts w:eastAsiaTheme="minorEastAsia"/>
              <w:noProof/>
              <w:lang w:val="en-GB" w:eastAsia="en-GB"/>
            </w:rPr>
          </w:pPr>
          <w:hyperlink w:anchor="_Toc156937969" w:history="1">
            <w:r w:rsidR="00462475" w:rsidRPr="00B000B4">
              <w:rPr>
                <w:rStyle w:val="Hyperlink"/>
                <w:noProof/>
              </w:rPr>
              <w:t>2.7. Unaprjeđenje sistema pravosudnog menadžmenta, administracije i strateškog planiranja</w:t>
            </w:r>
            <w:r w:rsidR="00462475">
              <w:rPr>
                <w:noProof/>
                <w:webHidden/>
              </w:rPr>
              <w:tab/>
            </w:r>
            <w:r w:rsidR="00462475">
              <w:rPr>
                <w:noProof/>
                <w:webHidden/>
              </w:rPr>
              <w:fldChar w:fldCharType="begin"/>
            </w:r>
            <w:r w:rsidR="00462475">
              <w:rPr>
                <w:noProof/>
                <w:webHidden/>
              </w:rPr>
              <w:instrText xml:space="preserve"> PAGEREF _Toc156937969 \h </w:instrText>
            </w:r>
            <w:r w:rsidR="00462475">
              <w:rPr>
                <w:noProof/>
                <w:webHidden/>
              </w:rPr>
            </w:r>
            <w:r w:rsidR="00462475">
              <w:rPr>
                <w:noProof/>
                <w:webHidden/>
              </w:rPr>
              <w:fldChar w:fldCharType="separate"/>
            </w:r>
            <w:r w:rsidR="00462475">
              <w:rPr>
                <w:noProof/>
                <w:webHidden/>
              </w:rPr>
              <w:t>39</w:t>
            </w:r>
            <w:r w:rsidR="00462475">
              <w:rPr>
                <w:noProof/>
                <w:webHidden/>
              </w:rPr>
              <w:fldChar w:fldCharType="end"/>
            </w:r>
          </w:hyperlink>
        </w:p>
        <w:p w14:paraId="30F8B48F" w14:textId="23906EE0" w:rsidR="00462475" w:rsidRDefault="004367AB">
          <w:pPr>
            <w:pStyle w:val="TOC3"/>
            <w:tabs>
              <w:tab w:val="left" w:pos="1100"/>
              <w:tab w:val="right" w:leader="dot" w:pos="9350"/>
            </w:tabs>
            <w:rPr>
              <w:rFonts w:eastAsiaTheme="minorEastAsia"/>
              <w:noProof/>
              <w:lang w:val="en-GB" w:eastAsia="en-GB"/>
            </w:rPr>
          </w:pPr>
          <w:hyperlink w:anchor="_Toc156937970" w:history="1">
            <w:r w:rsidR="00462475" w:rsidRPr="00B000B4">
              <w:rPr>
                <w:rStyle w:val="Hyperlink"/>
                <w:rFonts w:cstheme="minorHAnsi"/>
                <w:noProof/>
                <w14:ligatures w14:val="standardContextual"/>
              </w:rPr>
              <w:t>2.8.</w:t>
            </w:r>
            <w:r w:rsidR="00462475">
              <w:rPr>
                <w:rFonts w:eastAsiaTheme="minorEastAsia"/>
                <w:noProof/>
                <w:lang w:val="en-GB" w:eastAsia="en-GB"/>
              </w:rPr>
              <w:tab/>
            </w:r>
            <w:r w:rsidR="00462475" w:rsidRPr="00B000B4">
              <w:rPr>
                <w:rStyle w:val="Hyperlink"/>
                <w:rFonts w:cstheme="minorHAnsi"/>
                <w:noProof/>
                <w14:ligatures w14:val="standardContextual"/>
              </w:rPr>
              <w:t>Razvijanje informacionog sistema pravosuđa</w:t>
            </w:r>
            <w:r w:rsidR="00462475">
              <w:rPr>
                <w:noProof/>
                <w:webHidden/>
              </w:rPr>
              <w:tab/>
            </w:r>
            <w:r w:rsidR="00462475">
              <w:rPr>
                <w:noProof/>
                <w:webHidden/>
              </w:rPr>
              <w:fldChar w:fldCharType="begin"/>
            </w:r>
            <w:r w:rsidR="00462475">
              <w:rPr>
                <w:noProof/>
                <w:webHidden/>
              </w:rPr>
              <w:instrText xml:space="preserve"> PAGEREF _Toc156937970 \h </w:instrText>
            </w:r>
            <w:r w:rsidR="00462475">
              <w:rPr>
                <w:noProof/>
                <w:webHidden/>
              </w:rPr>
            </w:r>
            <w:r w:rsidR="00462475">
              <w:rPr>
                <w:noProof/>
                <w:webHidden/>
              </w:rPr>
              <w:fldChar w:fldCharType="separate"/>
            </w:r>
            <w:r w:rsidR="00462475">
              <w:rPr>
                <w:noProof/>
                <w:webHidden/>
              </w:rPr>
              <w:t>40</w:t>
            </w:r>
            <w:r w:rsidR="00462475">
              <w:rPr>
                <w:noProof/>
                <w:webHidden/>
              </w:rPr>
              <w:fldChar w:fldCharType="end"/>
            </w:r>
          </w:hyperlink>
        </w:p>
        <w:p w14:paraId="5033B108" w14:textId="1FDE1530" w:rsidR="00462475" w:rsidRDefault="004367AB">
          <w:pPr>
            <w:pStyle w:val="TOC3"/>
            <w:tabs>
              <w:tab w:val="left" w:pos="1100"/>
              <w:tab w:val="right" w:leader="dot" w:pos="9350"/>
            </w:tabs>
            <w:rPr>
              <w:rFonts w:eastAsiaTheme="minorEastAsia"/>
              <w:noProof/>
              <w:lang w:val="en-GB" w:eastAsia="en-GB"/>
            </w:rPr>
          </w:pPr>
          <w:hyperlink w:anchor="_Toc156937971" w:history="1">
            <w:r w:rsidR="00462475" w:rsidRPr="00B000B4">
              <w:rPr>
                <w:rStyle w:val="Hyperlink"/>
                <w:rFonts w:cstheme="minorHAnsi"/>
                <w:noProof/>
              </w:rPr>
              <w:t>2.9.</w:t>
            </w:r>
            <w:r w:rsidR="00462475">
              <w:rPr>
                <w:rFonts w:eastAsiaTheme="minorEastAsia"/>
                <w:noProof/>
                <w:lang w:val="en-GB" w:eastAsia="en-GB"/>
              </w:rPr>
              <w:tab/>
            </w:r>
            <w:r w:rsidR="00462475" w:rsidRPr="00B000B4">
              <w:rPr>
                <w:rStyle w:val="Hyperlink"/>
                <w:rFonts w:cstheme="minorHAnsi"/>
                <w:noProof/>
              </w:rPr>
              <w:t>Unaprjeđenje međunarodne saradnje</w:t>
            </w:r>
            <w:r w:rsidR="00462475">
              <w:rPr>
                <w:noProof/>
                <w:webHidden/>
              </w:rPr>
              <w:tab/>
            </w:r>
            <w:r w:rsidR="00462475">
              <w:rPr>
                <w:noProof/>
                <w:webHidden/>
              </w:rPr>
              <w:fldChar w:fldCharType="begin"/>
            </w:r>
            <w:r w:rsidR="00462475">
              <w:rPr>
                <w:noProof/>
                <w:webHidden/>
              </w:rPr>
              <w:instrText xml:space="preserve"> PAGEREF _Toc156937971 \h </w:instrText>
            </w:r>
            <w:r w:rsidR="00462475">
              <w:rPr>
                <w:noProof/>
                <w:webHidden/>
              </w:rPr>
            </w:r>
            <w:r w:rsidR="00462475">
              <w:rPr>
                <w:noProof/>
                <w:webHidden/>
              </w:rPr>
              <w:fldChar w:fldCharType="separate"/>
            </w:r>
            <w:r w:rsidR="00462475">
              <w:rPr>
                <w:noProof/>
                <w:webHidden/>
              </w:rPr>
              <w:t>41</w:t>
            </w:r>
            <w:r w:rsidR="00462475">
              <w:rPr>
                <w:noProof/>
                <w:webHidden/>
              </w:rPr>
              <w:fldChar w:fldCharType="end"/>
            </w:r>
          </w:hyperlink>
        </w:p>
        <w:p w14:paraId="6A1B6D00" w14:textId="0EA5A1FC" w:rsidR="00462475" w:rsidRDefault="004367AB">
          <w:pPr>
            <w:pStyle w:val="TOC2"/>
            <w:tabs>
              <w:tab w:val="left" w:pos="660"/>
              <w:tab w:val="right" w:leader="dot" w:pos="9350"/>
            </w:tabs>
            <w:rPr>
              <w:rFonts w:eastAsiaTheme="minorEastAsia"/>
              <w:noProof/>
              <w:lang w:val="en-GB" w:eastAsia="en-GB"/>
            </w:rPr>
          </w:pPr>
          <w:hyperlink w:anchor="_Toc156937972" w:history="1">
            <w:r w:rsidR="00462475" w:rsidRPr="00B000B4">
              <w:rPr>
                <w:rStyle w:val="Hyperlink"/>
                <w:noProof/>
              </w:rPr>
              <w:t>3.</w:t>
            </w:r>
            <w:r w:rsidR="00462475">
              <w:rPr>
                <w:rFonts w:eastAsiaTheme="minorEastAsia"/>
                <w:noProof/>
                <w:lang w:val="en-GB" w:eastAsia="en-GB"/>
              </w:rPr>
              <w:tab/>
            </w:r>
            <w:r w:rsidR="00462475" w:rsidRPr="00B000B4">
              <w:rPr>
                <w:rStyle w:val="Hyperlink"/>
                <w:noProof/>
              </w:rPr>
              <w:t>Unaprjeđenje dostupnosti pravde, transparentnosti i povjerenja u pravosuđe</w:t>
            </w:r>
            <w:r w:rsidR="00462475">
              <w:rPr>
                <w:noProof/>
                <w:webHidden/>
              </w:rPr>
              <w:tab/>
            </w:r>
            <w:r w:rsidR="00462475">
              <w:rPr>
                <w:noProof/>
                <w:webHidden/>
              </w:rPr>
              <w:fldChar w:fldCharType="begin"/>
            </w:r>
            <w:r w:rsidR="00462475">
              <w:rPr>
                <w:noProof/>
                <w:webHidden/>
              </w:rPr>
              <w:instrText xml:space="preserve"> PAGEREF _Toc156937972 \h </w:instrText>
            </w:r>
            <w:r w:rsidR="00462475">
              <w:rPr>
                <w:noProof/>
                <w:webHidden/>
              </w:rPr>
            </w:r>
            <w:r w:rsidR="00462475">
              <w:rPr>
                <w:noProof/>
                <w:webHidden/>
              </w:rPr>
              <w:fldChar w:fldCharType="separate"/>
            </w:r>
            <w:r w:rsidR="00462475">
              <w:rPr>
                <w:noProof/>
                <w:webHidden/>
              </w:rPr>
              <w:t>42</w:t>
            </w:r>
            <w:r w:rsidR="00462475">
              <w:rPr>
                <w:noProof/>
                <w:webHidden/>
              </w:rPr>
              <w:fldChar w:fldCharType="end"/>
            </w:r>
          </w:hyperlink>
        </w:p>
        <w:p w14:paraId="393184D3" w14:textId="2C11B054" w:rsidR="00462475" w:rsidRDefault="004367AB">
          <w:pPr>
            <w:pStyle w:val="TOC3"/>
            <w:tabs>
              <w:tab w:val="left" w:pos="1100"/>
              <w:tab w:val="right" w:leader="dot" w:pos="9350"/>
            </w:tabs>
            <w:rPr>
              <w:rFonts w:eastAsiaTheme="minorEastAsia"/>
              <w:noProof/>
              <w:lang w:val="en-GB" w:eastAsia="en-GB"/>
            </w:rPr>
          </w:pPr>
          <w:hyperlink w:anchor="_Toc156937973" w:history="1">
            <w:r w:rsidR="00462475" w:rsidRPr="00B000B4">
              <w:rPr>
                <w:rStyle w:val="Hyperlink"/>
                <w:noProof/>
              </w:rPr>
              <w:t>3.1.</w:t>
            </w:r>
            <w:r w:rsidR="00462475">
              <w:rPr>
                <w:rFonts w:eastAsiaTheme="minorEastAsia"/>
                <w:noProof/>
                <w:lang w:val="en-GB" w:eastAsia="en-GB"/>
              </w:rPr>
              <w:tab/>
            </w:r>
            <w:r w:rsidR="00462475" w:rsidRPr="00B000B4">
              <w:rPr>
                <w:rStyle w:val="Hyperlink"/>
                <w:noProof/>
              </w:rPr>
              <w:t>Dalji razvoj ujednačavanja i objavljivanja sudske prakse</w:t>
            </w:r>
            <w:r w:rsidR="00462475">
              <w:rPr>
                <w:noProof/>
                <w:webHidden/>
              </w:rPr>
              <w:tab/>
            </w:r>
            <w:r w:rsidR="00462475">
              <w:rPr>
                <w:noProof/>
                <w:webHidden/>
              </w:rPr>
              <w:fldChar w:fldCharType="begin"/>
            </w:r>
            <w:r w:rsidR="00462475">
              <w:rPr>
                <w:noProof/>
                <w:webHidden/>
              </w:rPr>
              <w:instrText xml:space="preserve"> PAGEREF _Toc156937973 \h </w:instrText>
            </w:r>
            <w:r w:rsidR="00462475">
              <w:rPr>
                <w:noProof/>
                <w:webHidden/>
              </w:rPr>
            </w:r>
            <w:r w:rsidR="00462475">
              <w:rPr>
                <w:noProof/>
                <w:webHidden/>
              </w:rPr>
              <w:fldChar w:fldCharType="separate"/>
            </w:r>
            <w:r w:rsidR="00462475">
              <w:rPr>
                <w:noProof/>
                <w:webHidden/>
              </w:rPr>
              <w:t>43</w:t>
            </w:r>
            <w:r w:rsidR="00462475">
              <w:rPr>
                <w:noProof/>
                <w:webHidden/>
              </w:rPr>
              <w:fldChar w:fldCharType="end"/>
            </w:r>
          </w:hyperlink>
        </w:p>
        <w:p w14:paraId="3BC154BD" w14:textId="509AB76F" w:rsidR="00462475" w:rsidRDefault="004367AB">
          <w:pPr>
            <w:pStyle w:val="TOC3"/>
            <w:tabs>
              <w:tab w:val="right" w:leader="dot" w:pos="9350"/>
            </w:tabs>
            <w:rPr>
              <w:rFonts w:eastAsiaTheme="minorEastAsia"/>
              <w:noProof/>
              <w:lang w:val="en-GB" w:eastAsia="en-GB"/>
            </w:rPr>
          </w:pPr>
          <w:hyperlink w:anchor="_Toc156937974" w:history="1">
            <w:r w:rsidR="00462475" w:rsidRPr="00B000B4">
              <w:rPr>
                <w:rStyle w:val="Hyperlink"/>
                <w:noProof/>
                <w14:ligatures w14:val="standardContextual"/>
              </w:rPr>
              <w:t>3.2.</w:t>
            </w:r>
            <w:r w:rsidR="00462475" w:rsidRPr="00B000B4">
              <w:rPr>
                <w:rStyle w:val="Hyperlink"/>
                <w:noProof/>
              </w:rPr>
              <w:t>Unaprjeđ</w:t>
            </w:r>
            <w:r w:rsidR="00462475" w:rsidRPr="00B000B4">
              <w:rPr>
                <w:rStyle w:val="Hyperlink"/>
                <w:noProof/>
                <w14:ligatures w14:val="standardContextual"/>
              </w:rPr>
              <w:t>enje sistema besplatne pravne pomoći</w:t>
            </w:r>
            <w:r w:rsidR="00462475">
              <w:rPr>
                <w:noProof/>
                <w:webHidden/>
              </w:rPr>
              <w:tab/>
            </w:r>
            <w:r w:rsidR="00462475">
              <w:rPr>
                <w:noProof/>
                <w:webHidden/>
              </w:rPr>
              <w:fldChar w:fldCharType="begin"/>
            </w:r>
            <w:r w:rsidR="00462475">
              <w:rPr>
                <w:noProof/>
                <w:webHidden/>
              </w:rPr>
              <w:instrText xml:space="preserve"> PAGEREF _Toc156937974 \h </w:instrText>
            </w:r>
            <w:r w:rsidR="00462475">
              <w:rPr>
                <w:noProof/>
                <w:webHidden/>
              </w:rPr>
            </w:r>
            <w:r w:rsidR="00462475">
              <w:rPr>
                <w:noProof/>
                <w:webHidden/>
              </w:rPr>
              <w:fldChar w:fldCharType="separate"/>
            </w:r>
            <w:r w:rsidR="00462475">
              <w:rPr>
                <w:noProof/>
                <w:webHidden/>
              </w:rPr>
              <w:t>43</w:t>
            </w:r>
            <w:r w:rsidR="00462475">
              <w:rPr>
                <w:noProof/>
                <w:webHidden/>
              </w:rPr>
              <w:fldChar w:fldCharType="end"/>
            </w:r>
          </w:hyperlink>
        </w:p>
        <w:p w14:paraId="02DCB872" w14:textId="212CEF8F" w:rsidR="00462475" w:rsidRDefault="004367AB">
          <w:pPr>
            <w:pStyle w:val="TOC3"/>
            <w:tabs>
              <w:tab w:val="right" w:leader="dot" w:pos="9350"/>
            </w:tabs>
            <w:rPr>
              <w:rFonts w:eastAsiaTheme="minorEastAsia"/>
              <w:noProof/>
              <w:lang w:val="en-GB" w:eastAsia="en-GB"/>
            </w:rPr>
          </w:pPr>
          <w:hyperlink w:anchor="_Toc156937975" w:history="1">
            <w:r w:rsidR="00462475" w:rsidRPr="00B000B4">
              <w:rPr>
                <w:rStyle w:val="Hyperlink"/>
                <w:noProof/>
                <w14:ligatures w14:val="standardContextual"/>
              </w:rPr>
              <w:t>3.3.</w:t>
            </w:r>
            <w:r w:rsidR="00462475" w:rsidRPr="00B000B4">
              <w:rPr>
                <w:rStyle w:val="Hyperlink"/>
                <w:noProof/>
              </w:rPr>
              <w:t>Unaprjeđ</w:t>
            </w:r>
            <w:r w:rsidR="00462475" w:rsidRPr="00B000B4">
              <w:rPr>
                <w:rStyle w:val="Hyperlink"/>
                <w:noProof/>
                <w14:ligatures w14:val="standardContextual"/>
              </w:rPr>
              <w:t>enje transparentnosti rada pravosudnih institucija</w:t>
            </w:r>
            <w:r w:rsidR="00462475">
              <w:rPr>
                <w:noProof/>
                <w:webHidden/>
              </w:rPr>
              <w:tab/>
            </w:r>
            <w:r w:rsidR="00462475">
              <w:rPr>
                <w:noProof/>
                <w:webHidden/>
              </w:rPr>
              <w:fldChar w:fldCharType="begin"/>
            </w:r>
            <w:r w:rsidR="00462475">
              <w:rPr>
                <w:noProof/>
                <w:webHidden/>
              </w:rPr>
              <w:instrText xml:space="preserve"> PAGEREF _Toc156937975 \h </w:instrText>
            </w:r>
            <w:r w:rsidR="00462475">
              <w:rPr>
                <w:noProof/>
                <w:webHidden/>
              </w:rPr>
            </w:r>
            <w:r w:rsidR="00462475">
              <w:rPr>
                <w:noProof/>
                <w:webHidden/>
              </w:rPr>
              <w:fldChar w:fldCharType="separate"/>
            </w:r>
            <w:r w:rsidR="00462475">
              <w:rPr>
                <w:noProof/>
                <w:webHidden/>
              </w:rPr>
              <w:t>44</w:t>
            </w:r>
            <w:r w:rsidR="00462475">
              <w:rPr>
                <w:noProof/>
                <w:webHidden/>
              </w:rPr>
              <w:fldChar w:fldCharType="end"/>
            </w:r>
          </w:hyperlink>
        </w:p>
        <w:p w14:paraId="689CA276" w14:textId="6F150E31" w:rsidR="00462475" w:rsidRDefault="004367AB">
          <w:pPr>
            <w:pStyle w:val="TOC3"/>
            <w:tabs>
              <w:tab w:val="left" w:pos="1100"/>
              <w:tab w:val="right" w:leader="dot" w:pos="9350"/>
            </w:tabs>
            <w:rPr>
              <w:rFonts w:eastAsiaTheme="minorEastAsia"/>
              <w:noProof/>
              <w:lang w:val="en-GB" w:eastAsia="en-GB"/>
            </w:rPr>
          </w:pPr>
          <w:hyperlink w:anchor="_Toc156937976" w:history="1">
            <w:r w:rsidR="00462475" w:rsidRPr="00B000B4">
              <w:rPr>
                <w:rStyle w:val="Hyperlink"/>
                <w:noProof/>
              </w:rPr>
              <w:t>3.4.</w:t>
            </w:r>
            <w:r w:rsidR="00462475">
              <w:rPr>
                <w:rFonts w:eastAsiaTheme="minorEastAsia"/>
                <w:noProof/>
                <w:lang w:val="en-GB" w:eastAsia="en-GB"/>
              </w:rPr>
              <w:tab/>
            </w:r>
            <w:r w:rsidR="00462475" w:rsidRPr="00B000B4">
              <w:rPr>
                <w:rStyle w:val="Hyperlink"/>
                <w:noProof/>
              </w:rPr>
              <w:t>Unaprjeđenje sistema infrastrukture i sigurnosti pravosudnih objekata i fizičkog pristupa pravosudnim institucijama</w:t>
            </w:r>
            <w:r w:rsidR="00462475">
              <w:rPr>
                <w:noProof/>
                <w:webHidden/>
              </w:rPr>
              <w:tab/>
            </w:r>
            <w:r w:rsidR="00462475">
              <w:rPr>
                <w:noProof/>
                <w:webHidden/>
              </w:rPr>
              <w:fldChar w:fldCharType="begin"/>
            </w:r>
            <w:r w:rsidR="00462475">
              <w:rPr>
                <w:noProof/>
                <w:webHidden/>
              </w:rPr>
              <w:instrText xml:space="preserve"> PAGEREF _Toc156937976 \h </w:instrText>
            </w:r>
            <w:r w:rsidR="00462475">
              <w:rPr>
                <w:noProof/>
                <w:webHidden/>
              </w:rPr>
            </w:r>
            <w:r w:rsidR="00462475">
              <w:rPr>
                <w:noProof/>
                <w:webHidden/>
              </w:rPr>
              <w:fldChar w:fldCharType="separate"/>
            </w:r>
            <w:r w:rsidR="00462475">
              <w:rPr>
                <w:noProof/>
                <w:webHidden/>
              </w:rPr>
              <w:t>45</w:t>
            </w:r>
            <w:r w:rsidR="00462475">
              <w:rPr>
                <w:noProof/>
                <w:webHidden/>
              </w:rPr>
              <w:fldChar w:fldCharType="end"/>
            </w:r>
          </w:hyperlink>
        </w:p>
        <w:p w14:paraId="5C1179C9" w14:textId="59F6E3AF" w:rsidR="00462475" w:rsidRDefault="004367AB">
          <w:pPr>
            <w:pStyle w:val="TOC3"/>
            <w:tabs>
              <w:tab w:val="left" w:pos="1100"/>
              <w:tab w:val="right" w:leader="dot" w:pos="9350"/>
            </w:tabs>
            <w:rPr>
              <w:rFonts w:eastAsiaTheme="minorEastAsia"/>
              <w:noProof/>
              <w:lang w:val="en-GB" w:eastAsia="en-GB"/>
            </w:rPr>
          </w:pPr>
          <w:hyperlink w:anchor="_Toc156937977" w:history="1">
            <w:r w:rsidR="00462475" w:rsidRPr="00B000B4">
              <w:rPr>
                <w:rStyle w:val="Hyperlink"/>
                <w:noProof/>
              </w:rPr>
              <w:t>3.5.</w:t>
            </w:r>
            <w:r w:rsidR="00462475">
              <w:rPr>
                <w:rFonts w:eastAsiaTheme="minorEastAsia"/>
                <w:noProof/>
                <w:lang w:val="en-GB" w:eastAsia="en-GB"/>
              </w:rPr>
              <w:tab/>
            </w:r>
            <w:r w:rsidR="00462475" w:rsidRPr="00B000B4">
              <w:rPr>
                <w:rStyle w:val="Hyperlink"/>
                <w:noProof/>
              </w:rPr>
              <w:t>Pristup pravdi po mjeri djeteta</w:t>
            </w:r>
            <w:r w:rsidR="00462475">
              <w:rPr>
                <w:noProof/>
                <w:webHidden/>
              </w:rPr>
              <w:tab/>
            </w:r>
            <w:r w:rsidR="00462475">
              <w:rPr>
                <w:noProof/>
                <w:webHidden/>
              </w:rPr>
              <w:fldChar w:fldCharType="begin"/>
            </w:r>
            <w:r w:rsidR="00462475">
              <w:rPr>
                <w:noProof/>
                <w:webHidden/>
              </w:rPr>
              <w:instrText xml:space="preserve"> PAGEREF _Toc156937977 \h </w:instrText>
            </w:r>
            <w:r w:rsidR="00462475">
              <w:rPr>
                <w:noProof/>
                <w:webHidden/>
              </w:rPr>
            </w:r>
            <w:r w:rsidR="00462475">
              <w:rPr>
                <w:noProof/>
                <w:webHidden/>
              </w:rPr>
              <w:fldChar w:fldCharType="separate"/>
            </w:r>
            <w:r w:rsidR="00462475">
              <w:rPr>
                <w:noProof/>
                <w:webHidden/>
              </w:rPr>
              <w:t>47</w:t>
            </w:r>
            <w:r w:rsidR="00462475">
              <w:rPr>
                <w:noProof/>
                <w:webHidden/>
              </w:rPr>
              <w:fldChar w:fldCharType="end"/>
            </w:r>
          </w:hyperlink>
        </w:p>
        <w:p w14:paraId="2579FA99" w14:textId="5C5160CF" w:rsidR="00462475" w:rsidRDefault="004367AB">
          <w:pPr>
            <w:pStyle w:val="TOC3"/>
            <w:tabs>
              <w:tab w:val="left" w:pos="1100"/>
              <w:tab w:val="right" w:leader="dot" w:pos="9350"/>
            </w:tabs>
            <w:rPr>
              <w:rFonts w:eastAsiaTheme="minorEastAsia"/>
              <w:noProof/>
              <w:lang w:val="en-GB" w:eastAsia="en-GB"/>
            </w:rPr>
          </w:pPr>
          <w:hyperlink w:anchor="_Toc156937978" w:history="1">
            <w:r w:rsidR="00462475" w:rsidRPr="00B000B4">
              <w:rPr>
                <w:rStyle w:val="Hyperlink"/>
                <w:noProof/>
              </w:rPr>
              <w:t>3.6.</w:t>
            </w:r>
            <w:r w:rsidR="00462475">
              <w:rPr>
                <w:rFonts w:eastAsiaTheme="minorEastAsia"/>
                <w:noProof/>
                <w:lang w:val="en-GB" w:eastAsia="en-GB"/>
              </w:rPr>
              <w:tab/>
            </w:r>
            <w:r w:rsidR="00462475" w:rsidRPr="00B000B4">
              <w:rPr>
                <w:rStyle w:val="Hyperlink"/>
                <w:noProof/>
              </w:rPr>
              <w:t>Unaprjeđenje pristupa pravdi za žrtve krivičnih djela</w:t>
            </w:r>
            <w:r w:rsidR="00462475">
              <w:rPr>
                <w:noProof/>
                <w:webHidden/>
              </w:rPr>
              <w:tab/>
            </w:r>
            <w:r w:rsidR="00462475">
              <w:rPr>
                <w:noProof/>
                <w:webHidden/>
              </w:rPr>
              <w:fldChar w:fldCharType="begin"/>
            </w:r>
            <w:r w:rsidR="00462475">
              <w:rPr>
                <w:noProof/>
                <w:webHidden/>
              </w:rPr>
              <w:instrText xml:space="preserve"> PAGEREF _Toc156937978 \h </w:instrText>
            </w:r>
            <w:r w:rsidR="00462475">
              <w:rPr>
                <w:noProof/>
                <w:webHidden/>
              </w:rPr>
            </w:r>
            <w:r w:rsidR="00462475">
              <w:rPr>
                <w:noProof/>
                <w:webHidden/>
              </w:rPr>
              <w:fldChar w:fldCharType="separate"/>
            </w:r>
            <w:r w:rsidR="00462475">
              <w:rPr>
                <w:noProof/>
                <w:webHidden/>
              </w:rPr>
              <w:t>48</w:t>
            </w:r>
            <w:r w:rsidR="00462475">
              <w:rPr>
                <w:noProof/>
                <w:webHidden/>
              </w:rPr>
              <w:fldChar w:fldCharType="end"/>
            </w:r>
          </w:hyperlink>
        </w:p>
        <w:p w14:paraId="538F8C9C" w14:textId="4C99233B" w:rsidR="00462475" w:rsidRDefault="004367AB">
          <w:pPr>
            <w:pStyle w:val="TOC1"/>
            <w:tabs>
              <w:tab w:val="right" w:leader="dot" w:pos="9350"/>
            </w:tabs>
            <w:rPr>
              <w:rFonts w:eastAsiaTheme="minorEastAsia"/>
              <w:noProof/>
              <w:lang w:val="en-GB" w:eastAsia="en-GB"/>
            </w:rPr>
          </w:pPr>
          <w:hyperlink w:anchor="_Toc156937979" w:history="1">
            <w:r w:rsidR="00462475" w:rsidRPr="00B000B4">
              <w:rPr>
                <w:rStyle w:val="Hyperlink"/>
                <w:noProof/>
              </w:rPr>
              <w:t>IV PRAĆENJE SPROVOĐENJA, IZVJEŠTAVANJE I EVALUACIJA</w:t>
            </w:r>
            <w:r w:rsidR="00462475">
              <w:rPr>
                <w:noProof/>
                <w:webHidden/>
              </w:rPr>
              <w:tab/>
            </w:r>
            <w:r w:rsidR="00462475">
              <w:rPr>
                <w:noProof/>
                <w:webHidden/>
              </w:rPr>
              <w:fldChar w:fldCharType="begin"/>
            </w:r>
            <w:r w:rsidR="00462475">
              <w:rPr>
                <w:noProof/>
                <w:webHidden/>
              </w:rPr>
              <w:instrText xml:space="preserve"> PAGEREF _Toc156937979 \h </w:instrText>
            </w:r>
            <w:r w:rsidR="00462475">
              <w:rPr>
                <w:noProof/>
                <w:webHidden/>
              </w:rPr>
            </w:r>
            <w:r w:rsidR="00462475">
              <w:rPr>
                <w:noProof/>
                <w:webHidden/>
              </w:rPr>
              <w:fldChar w:fldCharType="separate"/>
            </w:r>
            <w:r w:rsidR="00462475">
              <w:rPr>
                <w:noProof/>
                <w:webHidden/>
              </w:rPr>
              <w:t>49</w:t>
            </w:r>
            <w:r w:rsidR="00462475">
              <w:rPr>
                <w:noProof/>
                <w:webHidden/>
              </w:rPr>
              <w:fldChar w:fldCharType="end"/>
            </w:r>
          </w:hyperlink>
        </w:p>
        <w:p w14:paraId="45120C05" w14:textId="554538E7" w:rsidR="00462475" w:rsidRDefault="004367AB">
          <w:pPr>
            <w:pStyle w:val="TOC1"/>
            <w:tabs>
              <w:tab w:val="right" w:leader="dot" w:pos="9350"/>
            </w:tabs>
            <w:rPr>
              <w:rFonts w:eastAsiaTheme="minorEastAsia"/>
              <w:noProof/>
              <w:lang w:val="en-GB" w:eastAsia="en-GB"/>
            </w:rPr>
          </w:pPr>
          <w:hyperlink w:anchor="_Toc156937980" w:history="1">
            <w:r w:rsidR="00462475" w:rsidRPr="00B000B4">
              <w:rPr>
                <w:rStyle w:val="Hyperlink"/>
                <w:noProof/>
              </w:rPr>
              <w:t>V INFORMACIJE O SPROVEDENIM KONSULTACIJAMA SA ZAINTERESOVANIM STRANAMA</w:t>
            </w:r>
            <w:r w:rsidR="00462475">
              <w:rPr>
                <w:noProof/>
                <w:webHidden/>
              </w:rPr>
              <w:tab/>
            </w:r>
            <w:r w:rsidR="00462475">
              <w:rPr>
                <w:noProof/>
                <w:webHidden/>
              </w:rPr>
              <w:fldChar w:fldCharType="begin"/>
            </w:r>
            <w:r w:rsidR="00462475">
              <w:rPr>
                <w:noProof/>
                <w:webHidden/>
              </w:rPr>
              <w:instrText xml:space="preserve"> PAGEREF _Toc156937980 \h </w:instrText>
            </w:r>
            <w:r w:rsidR="00462475">
              <w:rPr>
                <w:noProof/>
                <w:webHidden/>
              </w:rPr>
            </w:r>
            <w:r w:rsidR="00462475">
              <w:rPr>
                <w:noProof/>
                <w:webHidden/>
              </w:rPr>
              <w:fldChar w:fldCharType="separate"/>
            </w:r>
            <w:r w:rsidR="00462475">
              <w:rPr>
                <w:noProof/>
                <w:webHidden/>
              </w:rPr>
              <w:t>50</w:t>
            </w:r>
            <w:r w:rsidR="00462475">
              <w:rPr>
                <w:noProof/>
                <w:webHidden/>
              </w:rPr>
              <w:fldChar w:fldCharType="end"/>
            </w:r>
          </w:hyperlink>
        </w:p>
        <w:p w14:paraId="6064035E" w14:textId="443C17BB" w:rsidR="00462475" w:rsidRDefault="004367AB">
          <w:pPr>
            <w:pStyle w:val="TOC1"/>
            <w:tabs>
              <w:tab w:val="right" w:leader="dot" w:pos="9350"/>
            </w:tabs>
            <w:rPr>
              <w:rFonts w:eastAsiaTheme="minorEastAsia"/>
              <w:noProof/>
              <w:lang w:val="en-GB" w:eastAsia="en-GB"/>
            </w:rPr>
          </w:pPr>
          <w:hyperlink w:anchor="_Toc156937981" w:history="1">
            <w:r w:rsidR="00462475" w:rsidRPr="00B000B4">
              <w:rPr>
                <w:rStyle w:val="Hyperlink"/>
                <w:noProof/>
              </w:rPr>
              <w:t>VI PROCJENA FINANSIJSKIH SREDSTAVA POTREBNIH ZA SPROVOĐENJE STRATEGIJE</w:t>
            </w:r>
            <w:r w:rsidR="00462475">
              <w:rPr>
                <w:noProof/>
                <w:webHidden/>
              </w:rPr>
              <w:tab/>
            </w:r>
            <w:r w:rsidR="00462475">
              <w:rPr>
                <w:noProof/>
                <w:webHidden/>
              </w:rPr>
              <w:fldChar w:fldCharType="begin"/>
            </w:r>
            <w:r w:rsidR="00462475">
              <w:rPr>
                <w:noProof/>
                <w:webHidden/>
              </w:rPr>
              <w:instrText xml:space="preserve"> PAGEREF _Toc156937981 \h </w:instrText>
            </w:r>
            <w:r w:rsidR="00462475">
              <w:rPr>
                <w:noProof/>
                <w:webHidden/>
              </w:rPr>
            </w:r>
            <w:r w:rsidR="00462475">
              <w:rPr>
                <w:noProof/>
                <w:webHidden/>
              </w:rPr>
              <w:fldChar w:fldCharType="separate"/>
            </w:r>
            <w:r w:rsidR="00462475">
              <w:rPr>
                <w:noProof/>
                <w:webHidden/>
              </w:rPr>
              <w:t>52</w:t>
            </w:r>
            <w:r w:rsidR="00462475">
              <w:rPr>
                <w:noProof/>
                <w:webHidden/>
              </w:rPr>
              <w:fldChar w:fldCharType="end"/>
            </w:r>
          </w:hyperlink>
        </w:p>
        <w:p w14:paraId="77E20809" w14:textId="5E3AF8E7" w:rsidR="00462475" w:rsidRDefault="004367AB">
          <w:pPr>
            <w:pStyle w:val="TOC1"/>
            <w:tabs>
              <w:tab w:val="right" w:leader="dot" w:pos="9350"/>
            </w:tabs>
            <w:rPr>
              <w:rFonts w:eastAsiaTheme="minorEastAsia"/>
              <w:noProof/>
              <w:lang w:val="en-GB" w:eastAsia="en-GB"/>
            </w:rPr>
          </w:pPr>
          <w:hyperlink w:anchor="_Toc156937982" w:history="1">
            <w:r w:rsidR="00462475" w:rsidRPr="00B000B4">
              <w:rPr>
                <w:rStyle w:val="Hyperlink"/>
                <w:noProof/>
              </w:rPr>
              <w:t>VII AKCIONI PLAN</w:t>
            </w:r>
            <w:r w:rsidR="00462475">
              <w:rPr>
                <w:noProof/>
                <w:webHidden/>
              </w:rPr>
              <w:tab/>
            </w:r>
            <w:r w:rsidR="00462475">
              <w:rPr>
                <w:noProof/>
                <w:webHidden/>
              </w:rPr>
              <w:fldChar w:fldCharType="begin"/>
            </w:r>
            <w:r w:rsidR="00462475">
              <w:rPr>
                <w:noProof/>
                <w:webHidden/>
              </w:rPr>
              <w:instrText xml:space="preserve"> PAGEREF _Toc156937982 \h </w:instrText>
            </w:r>
            <w:r w:rsidR="00462475">
              <w:rPr>
                <w:noProof/>
                <w:webHidden/>
              </w:rPr>
            </w:r>
            <w:r w:rsidR="00462475">
              <w:rPr>
                <w:noProof/>
                <w:webHidden/>
              </w:rPr>
              <w:fldChar w:fldCharType="separate"/>
            </w:r>
            <w:r w:rsidR="00462475">
              <w:rPr>
                <w:noProof/>
                <w:webHidden/>
              </w:rPr>
              <w:t>52</w:t>
            </w:r>
            <w:r w:rsidR="00462475">
              <w:rPr>
                <w:noProof/>
                <w:webHidden/>
              </w:rPr>
              <w:fldChar w:fldCharType="end"/>
            </w:r>
          </w:hyperlink>
        </w:p>
        <w:p w14:paraId="355B27C6" w14:textId="31B25122" w:rsidR="00462475" w:rsidRDefault="004367AB">
          <w:pPr>
            <w:pStyle w:val="TOC1"/>
            <w:tabs>
              <w:tab w:val="right" w:leader="dot" w:pos="9350"/>
            </w:tabs>
            <w:rPr>
              <w:rFonts w:eastAsiaTheme="minorEastAsia"/>
              <w:noProof/>
              <w:lang w:val="en-GB" w:eastAsia="en-GB"/>
            </w:rPr>
          </w:pPr>
          <w:hyperlink w:anchor="_Toc156937983" w:history="1">
            <w:r w:rsidR="00462475" w:rsidRPr="00B000B4">
              <w:rPr>
                <w:rStyle w:val="Hyperlink"/>
                <w:noProof/>
              </w:rPr>
              <w:t>VIII OBJAVLJIVANJE</w:t>
            </w:r>
            <w:r w:rsidR="00462475">
              <w:rPr>
                <w:noProof/>
                <w:webHidden/>
              </w:rPr>
              <w:tab/>
            </w:r>
            <w:r w:rsidR="00462475">
              <w:rPr>
                <w:noProof/>
                <w:webHidden/>
              </w:rPr>
              <w:fldChar w:fldCharType="begin"/>
            </w:r>
            <w:r w:rsidR="00462475">
              <w:rPr>
                <w:noProof/>
                <w:webHidden/>
              </w:rPr>
              <w:instrText xml:space="preserve"> PAGEREF _Toc156937983 \h </w:instrText>
            </w:r>
            <w:r w:rsidR="00462475">
              <w:rPr>
                <w:noProof/>
                <w:webHidden/>
              </w:rPr>
            </w:r>
            <w:r w:rsidR="00462475">
              <w:rPr>
                <w:noProof/>
                <w:webHidden/>
              </w:rPr>
              <w:fldChar w:fldCharType="separate"/>
            </w:r>
            <w:r w:rsidR="00462475">
              <w:rPr>
                <w:noProof/>
                <w:webHidden/>
              </w:rPr>
              <w:t>52</w:t>
            </w:r>
            <w:r w:rsidR="00462475">
              <w:rPr>
                <w:noProof/>
                <w:webHidden/>
              </w:rPr>
              <w:fldChar w:fldCharType="end"/>
            </w:r>
          </w:hyperlink>
        </w:p>
        <w:p w14:paraId="05119CFE" w14:textId="3E84AF80" w:rsidR="00462475" w:rsidRDefault="004367AB">
          <w:pPr>
            <w:pStyle w:val="TOC1"/>
            <w:tabs>
              <w:tab w:val="right" w:leader="dot" w:pos="9350"/>
            </w:tabs>
            <w:rPr>
              <w:rFonts w:eastAsiaTheme="minorEastAsia"/>
              <w:noProof/>
              <w:lang w:val="en-GB" w:eastAsia="en-GB"/>
            </w:rPr>
          </w:pPr>
          <w:hyperlink w:anchor="_Toc156937984" w:history="1">
            <w:r w:rsidR="00462475" w:rsidRPr="00B000B4">
              <w:rPr>
                <w:rStyle w:val="Hyperlink"/>
                <w:noProof/>
              </w:rPr>
              <w:t>ANNEX I</w:t>
            </w:r>
            <w:r w:rsidR="00462475">
              <w:rPr>
                <w:noProof/>
                <w:webHidden/>
              </w:rPr>
              <w:tab/>
            </w:r>
            <w:r w:rsidR="00462475">
              <w:rPr>
                <w:noProof/>
                <w:webHidden/>
              </w:rPr>
              <w:fldChar w:fldCharType="begin"/>
            </w:r>
            <w:r w:rsidR="00462475">
              <w:rPr>
                <w:noProof/>
                <w:webHidden/>
              </w:rPr>
              <w:instrText xml:space="preserve"> PAGEREF _Toc156937984 \h </w:instrText>
            </w:r>
            <w:r w:rsidR="00462475">
              <w:rPr>
                <w:noProof/>
                <w:webHidden/>
              </w:rPr>
            </w:r>
            <w:r w:rsidR="00462475">
              <w:rPr>
                <w:noProof/>
                <w:webHidden/>
              </w:rPr>
              <w:fldChar w:fldCharType="separate"/>
            </w:r>
            <w:r w:rsidR="00462475">
              <w:rPr>
                <w:noProof/>
                <w:webHidden/>
              </w:rPr>
              <w:t>53</w:t>
            </w:r>
            <w:r w:rsidR="00462475">
              <w:rPr>
                <w:noProof/>
                <w:webHidden/>
              </w:rPr>
              <w:fldChar w:fldCharType="end"/>
            </w:r>
          </w:hyperlink>
        </w:p>
        <w:p w14:paraId="0FC06962" w14:textId="271F249D" w:rsidR="00462475" w:rsidRDefault="004367AB">
          <w:pPr>
            <w:pStyle w:val="TOC1"/>
            <w:tabs>
              <w:tab w:val="right" w:leader="dot" w:pos="9350"/>
            </w:tabs>
            <w:rPr>
              <w:rFonts w:eastAsiaTheme="minorEastAsia"/>
              <w:noProof/>
              <w:lang w:val="en-GB" w:eastAsia="en-GB"/>
            </w:rPr>
          </w:pPr>
          <w:hyperlink w:anchor="_Toc156937985" w:history="1">
            <w:r w:rsidR="00462475" w:rsidRPr="00B000B4">
              <w:rPr>
                <w:rStyle w:val="Hyperlink"/>
                <w:noProof/>
              </w:rPr>
              <w:t>Izvori i literatura</w:t>
            </w:r>
            <w:r w:rsidR="00462475">
              <w:rPr>
                <w:noProof/>
                <w:webHidden/>
              </w:rPr>
              <w:tab/>
            </w:r>
            <w:r w:rsidR="00462475">
              <w:rPr>
                <w:noProof/>
                <w:webHidden/>
              </w:rPr>
              <w:fldChar w:fldCharType="begin"/>
            </w:r>
            <w:r w:rsidR="00462475">
              <w:rPr>
                <w:noProof/>
                <w:webHidden/>
              </w:rPr>
              <w:instrText xml:space="preserve"> PAGEREF _Toc156937985 \h </w:instrText>
            </w:r>
            <w:r w:rsidR="00462475">
              <w:rPr>
                <w:noProof/>
                <w:webHidden/>
              </w:rPr>
            </w:r>
            <w:r w:rsidR="00462475">
              <w:rPr>
                <w:noProof/>
                <w:webHidden/>
              </w:rPr>
              <w:fldChar w:fldCharType="separate"/>
            </w:r>
            <w:r w:rsidR="00462475">
              <w:rPr>
                <w:noProof/>
                <w:webHidden/>
              </w:rPr>
              <w:t>53</w:t>
            </w:r>
            <w:r w:rsidR="00462475">
              <w:rPr>
                <w:noProof/>
                <w:webHidden/>
              </w:rPr>
              <w:fldChar w:fldCharType="end"/>
            </w:r>
          </w:hyperlink>
        </w:p>
        <w:p w14:paraId="63C75BD4" w14:textId="2192C352" w:rsidR="00A8182E" w:rsidRPr="009A613C" w:rsidRDefault="00A8182E">
          <w:r w:rsidRPr="009A613C">
            <w:rPr>
              <w:b/>
              <w:bCs/>
            </w:rPr>
            <w:fldChar w:fldCharType="end"/>
          </w:r>
        </w:p>
      </w:sdtContent>
    </w:sdt>
    <w:p w14:paraId="0679E2FF" w14:textId="3F9A8052" w:rsidR="00A8182E" w:rsidRPr="009A613C" w:rsidRDefault="00A8182E">
      <w:pPr>
        <w:rPr>
          <w:rFonts w:ascii="Times New Roman" w:hAnsi="Times New Roman" w:cs="Times New Roman"/>
        </w:rPr>
      </w:pPr>
      <w:r w:rsidRPr="009A613C">
        <w:rPr>
          <w:rFonts w:ascii="Times New Roman" w:hAnsi="Times New Roman" w:cs="Times New Roman"/>
        </w:rPr>
        <w:br w:type="page"/>
      </w:r>
    </w:p>
    <w:p w14:paraId="647088ED" w14:textId="77777777" w:rsidR="00664A8B" w:rsidRPr="009A613C" w:rsidRDefault="00664A8B" w:rsidP="00664A8B">
      <w:pPr>
        <w:spacing w:after="0" w:line="240" w:lineRule="auto"/>
        <w:rPr>
          <w:rStyle w:val="Heading1Char"/>
        </w:rPr>
      </w:pPr>
      <w:bookmarkStart w:id="4" w:name="_Toc98418392"/>
      <w:bookmarkStart w:id="5" w:name="_Toc137464837"/>
      <w:bookmarkStart w:id="6" w:name="_Toc156937935"/>
      <w:r w:rsidRPr="009A613C">
        <w:rPr>
          <w:rStyle w:val="Heading1Char"/>
        </w:rPr>
        <w:lastRenderedPageBreak/>
        <w:t>Legenda</w:t>
      </w:r>
      <w:bookmarkEnd w:id="4"/>
      <w:bookmarkEnd w:id="5"/>
      <w:bookmarkEnd w:id="6"/>
    </w:p>
    <w:p w14:paraId="4C41E422" w14:textId="77777777" w:rsidR="00664A8B" w:rsidRPr="009A613C" w:rsidRDefault="00664A8B" w:rsidP="00664A8B"/>
    <w:tbl>
      <w:tblPr>
        <w:tblStyle w:val="GridTable2-Accent1"/>
        <w:tblW w:w="0" w:type="auto"/>
        <w:tblLook w:val="04A0" w:firstRow="1" w:lastRow="0" w:firstColumn="1" w:lastColumn="0" w:noHBand="0" w:noVBand="1"/>
      </w:tblPr>
      <w:tblGrid>
        <w:gridCol w:w="1984"/>
        <w:gridCol w:w="7371"/>
      </w:tblGrid>
      <w:tr w:rsidR="00664A8B" w:rsidRPr="009A613C" w14:paraId="4C0BDB01" w14:textId="77777777" w:rsidTr="00BE13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6D9C5BE" w14:textId="77777777" w:rsidR="00664A8B" w:rsidRPr="009A613C" w:rsidRDefault="00664A8B" w:rsidP="00BE13A3">
            <w:pPr>
              <w:rPr>
                <w:b w:val="0"/>
                <w:bCs w:val="0"/>
              </w:rPr>
            </w:pPr>
          </w:p>
        </w:tc>
        <w:tc>
          <w:tcPr>
            <w:tcW w:w="7371" w:type="dxa"/>
          </w:tcPr>
          <w:p w14:paraId="3B83D840" w14:textId="77777777" w:rsidR="00664A8B" w:rsidRPr="009A613C" w:rsidRDefault="00664A8B" w:rsidP="00BE13A3">
            <w:pPr>
              <w:cnfStyle w:val="100000000000" w:firstRow="1" w:lastRow="0" w:firstColumn="0" w:lastColumn="0" w:oddVBand="0" w:evenVBand="0" w:oddHBand="0" w:evenHBand="0" w:firstRowFirstColumn="0" w:firstRowLastColumn="0" w:lastRowFirstColumn="0" w:lastRowLastColumn="0"/>
              <w:rPr>
                <w:b w:val="0"/>
                <w:bCs w:val="0"/>
              </w:rPr>
            </w:pPr>
          </w:p>
        </w:tc>
      </w:tr>
      <w:tr w:rsidR="00664A8B" w:rsidRPr="009A613C" w14:paraId="666CDB01"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7DDD8156" w14:textId="3B37AA9D" w:rsidR="00664A8B" w:rsidRPr="009A613C" w:rsidRDefault="001C3F86" w:rsidP="00BE13A3">
            <w:r>
              <w:t>AP 2024-2025</w:t>
            </w:r>
            <w:r w:rsidR="006F00AD">
              <w:t>.</w:t>
            </w:r>
          </w:p>
        </w:tc>
        <w:tc>
          <w:tcPr>
            <w:tcW w:w="7371" w:type="dxa"/>
          </w:tcPr>
          <w:p w14:paraId="35B7C77D" w14:textId="7F02CB6A" w:rsidR="00664A8B" w:rsidRPr="009A613C" w:rsidRDefault="001C3F86" w:rsidP="00BE13A3">
            <w:pPr>
              <w:cnfStyle w:val="000000100000" w:firstRow="0" w:lastRow="0" w:firstColumn="0" w:lastColumn="0" w:oddVBand="0" w:evenVBand="0" w:oddHBand="1" w:evenHBand="0" w:firstRowFirstColumn="0" w:firstRowLastColumn="0" w:lastRowFirstColumn="0" w:lastRowLastColumn="0"/>
            </w:pPr>
            <w:r w:rsidRPr="009A613C">
              <w:t xml:space="preserve">Akcioni plan za </w:t>
            </w:r>
            <w:r w:rsidR="007516FB">
              <w:t>sprovođenje</w:t>
            </w:r>
            <w:r w:rsidRPr="009A613C">
              <w:t xml:space="preserve"> Strategije reforme pravosuđa 20</w:t>
            </w:r>
            <w:r>
              <w:t>24</w:t>
            </w:r>
            <w:r w:rsidRPr="009A613C">
              <w:t>-202</w:t>
            </w:r>
            <w:r>
              <w:t>7</w:t>
            </w:r>
            <w:r w:rsidRPr="009A613C">
              <w:t>. (za period 20</w:t>
            </w:r>
            <w:r>
              <w:t>24</w:t>
            </w:r>
            <w:r w:rsidRPr="009A613C">
              <w:t>-202</w:t>
            </w:r>
            <w:r>
              <w:t>5</w:t>
            </w:r>
            <w:r w:rsidRPr="009A613C">
              <w:t>)</w:t>
            </w:r>
          </w:p>
        </w:tc>
      </w:tr>
      <w:tr w:rsidR="00664A8B" w:rsidRPr="009A613C" w14:paraId="5361AEBB"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791A91F9" w14:textId="77777777" w:rsidR="00664A8B" w:rsidRPr="009A613C" w:rsidRDefault="00664A8B" w:rsidP="00BE13A3">
            <w:r w:rsidRPr="009A613C">
              <w:t>AP 2019-2020.</w:t>
            </w:r>
          </w:p>
        </w:tc>
        <w:tc>
          <w:tcPr>
            <w:tcW w:w="7371" w:type="dxa"/>
          </w:tcPr>
          <w:p w14:paraId="0B5EEAC8"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Akcioni plan za implementaciju Strategije reforme pravosuđa 2019-2022. (za period 2019-2020)</w:t>
            </w:r>
          </w:p>
        </w:tc>
      </w:tr>
      <w:tr w:rsidR="00664A8B" w:rsidRPr="009A613C" w14:paraId="7F88B3E2"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5791EFD" w14:textId="77777777" w:rsidR="00664A8B" w:rsidRPr="009A613C" w:rsidRDefault="00664A8B" w:rsidP="00BE13A3">
            <w:r w:rsidRPr="009A613C">
              <w:t>AP 2021-2022.</w:t>
            </w:r>
          </w:p>
        </w:tc>
        <w:tc>
          <w:tcPr>
            <w:tcW w:w="7371" w:type="dxa"/>
          </w:tcPr>
          <w:p w14:paraId="72A6AEB1"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rPr>
                <w:b/>
                <w:bCs/>
              </w:rPr>
            </w:pPr>
            <w:r w:rsidRPr="009A613C">
              <w:t>Akcioni plan za implementaciju Strategije reforme pravosuđa 2019-2022. (za period 2021-2022)</w:t>
            </w:r>
          </w:p>
        </w:tc>
      </w:tr>
      <w:tr w:rsidR="00664A8B" w:rsidRPr="009A613C" w14:paraId="162B8AAD"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3A69E169" w14:textId="77777777" w:rsidR="00664A8B" w:rsidRPr="009A613C" w:rsidRDefault="00664A8B" w:rsidP="00BE13A3">
            <w:r w:rsidRPr="009A613C">
              <w:t>CeMI</w:t>
            </w:r>
          </w:p>
        </w:tc>
        <w:tc>
          <w:tcPr>
            <w:tcW w:w="7371" w:type="dxa"/>
          </w:tcPr>
          <w:p w14:paraId="0AF939D0"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Centar za monitoring i istraživanja</w:t>
            </w:r>
          </w:p>
        </w:tc>
      </w:tr>
      <w:tr w:rsidR="00664A8B" w:rsidRPr="009A613C" w14:paraId="30A9C673"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F73C579" w14:textId="77777777" w:rsidR="00664A8B" w:rsidRPr="009A613C" w:rsidRDefault="00664A8B" w:rsidP="00BE13A3">
            <w:r w:rsidRPr="009A613C">
              <w:t>CEDAW</w:t>
            </w:r>
          </w:p>
        </w:tc>
        <w:tc>
          <w:tcPr>
            <w:tcW w:w="7371" w:type="dxa"/>
          </w:tcPr>
          <w:p w14:paraId="376B7665"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rPr>
                <w:rFonts w:ascii="MyriadPro-Regular" w:hAnsi="MyriadPro-Regular" w:cs="MyriadPro-Regular"/>
              </w:rPr>
              <w:t xml:space="preserve">Komitet za eliminaciju svih oblika diskriminacije žena </w:t>
            </w:r>
          </w:p>
        </w:tc>
      </w:tr>
      <w:tr w:rsidR="00664A8B" w:rsidRPr="009A613C" w14:paraId="066CC9FE"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7C2F07BC" w14:textId="77777777" w:rsidR="00664A8B" w:rsidRPr="009A613C" w:rsidRDefault="00664A8B" w:rsidP="00BE13A3">
            <w:r w:rsidRPr="009A613C">
              <w:t>CEPEJ</w:t>
            </w:r>
          </w:p>
        </w:tc>
        <w:tc>
          <w:tcPr>
            <w:tcW w:w="7371" w:type="dxa"/>
          </w:tcPr>
          <w:p w14:paraId="3348AEF5"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 xml:space="preserve">Evropska komisija za efikasnost pravosuđa </w:t>
            </w:r>
            <w:r w:rsidRPr="009A613C">
              <w:rPr>
                <w:i/>
                <w:iCs/>
              </w:rPr>
              <w:t>(Council of Europe European Commission for the efficiency of Justice)</w:t>
            </w:r>
          </w:p>
        </w:tc>
      </w:tr>
      <w:tr w:rsidR="00664A8B" w:rsidRPr="009A613C" w14:paraId="00330657"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168DD8B6" w14:textId="77777777" w:rsidR="00664A8B" w:rsidRPr="009A613C" w:rsidRDefault="00664A8B" w:rsidP="00BE13A3">
            <w:r w:rsidRPr="009A613C">
              <w:t>COSDT</w:t>
            </w:r>
          </w:p>
        </w:tc>
        <w:tc>
          <w:tcPr>
            <w:tcW w:w="7371" w:type="dxa"/>
          </w:tcPr>
          <w:p w14:paraId="5ABF83E0"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Centar za obuku u sudstvu i državnom tužilaštvu</w:t>
            </w:r>
          </w:p>
        </w:tc>
      </w:tr>
      <w:tr w:rsidR="00664A8B" w:rsidRPr="009A613C" w14:paraId="4DA18836"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4086E28A" w14:textId="77777777" w:rsidR="00664A8B" w:rsidRPr="009A613C" w:rsidRDefault="00664A8B" w:rsidP="00BE13A3">
            <w:r w:rsidRPr="009A613C">
              <w:t>EK</w:t>
            </w:r>
          </w:p>
        </w:tc>
        <w:tc>
          <w:tcPr>
            <w:tcW w:w="7371" w:type="dxa"/>
          </w:tcPr>
          <w:p w14:paraId="11ADA50C"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Evropska komisija</w:t>
            </w:r>
          </w:p>
        </w:tc>
      </w:tr>
      <w:tr w:rsidR="00664A8B" w:rsidRPr="009A613C" w14:paraId="07DF5F0C"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8F36B10" w14:textId="77777777" w:rsidR="00664A8B" w:rsidRPr="009A613C" w:rsidRDefault="00664A8B" w:rsidP="00BE13A3">
            <w:r w:rsidRPr="009A613C">
              <w:t>EU</w:t>
            </w:r>
          </w:p>
        </w:tc>
        <w:tc>
          <w:tcPr>
            <w:tcW w:w="7371" w:type="dxa"/>
          </w:tcPr>
          <w:p w14:paraId="3D5F30C9"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rPr>
                <w:b/>
                <w:bCs/>
              </w:rPr>
            </w:pPr>
            <w:r w:rsidRPr="009A613C">
              <w:t>Evropska unija</w:t>
            </w:r>
          </w:p>
        </w:tc>
      </w:tr>
      <w:tr w:rsidR="00664A8B" w:rsidRPr="009A613C" w14:paraId="14BD1D56"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1F4E028A" w14:textId="77777777" w:rsidR="00664A8B" w:rsidRPr="009A613C" w:rsidRDefault="00664A8B" w:rsidP="00BE13A3">
            <w:r w:rsidRPr="009A613C">
              <w:t>GRECO</w:t>
            </w:r>
          </w:p>
        </w:tc>
        <w:tc>
          <w:tcPr>
            <w:tcW w:w="7371" w:type="dxa"/>
          </w:tcPr>
          <w:p w14:paraId="0EC41DEF"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 xml:space="preserve">Grupa država za borbu protiv korupcije </w:t>
            </w:r>
            <w:r w:rsidRPr="009A613C">
              <w:rPr>
                <w:i/>
                <w:iCs/>
              </w:rPr>
              <w:t>(Group of States against Corruption)</w:t>
            </w:r>
          </w:p>
        </w:tc>
      </w:tr>
      <w:tr w:rsidR="007A1451" w:rsidRPr="009A613C" w14:paraId="6ED150B3"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387FF35" w14:textId="781F928F" w:rsidR="007A1451" w:rsidRPr="009A613C" w:rsidRDefault="007A1451" w:rsidP="00BE13A3">
            <w:r>
              <w:t>GRETA</w:t>
            </w:r>
          </w:p>
        </w:tc>
        <w:tc>
          <w:tcPr>
            <w:tcW w:w="7371" w:type="dxa"/>
          </w:tcPr>
          <w:p w14:paraId="13563F91" w14:textId="218DF7D5" w:rsidR="007A1451" w:rsidRPr="007A1451" w:rsidRDefault="007E19EA" w:rsidP="007A1451">
            <w:pPr>
              <w:spacing w:after="160" w:line="259"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r>
              <w:t>Grupa eksperata za akciju protiv trgovine ljudima (</w:t>
            </w:r>
            <w:r w:rsidR="007A1451" w:rsidRPr="00F5656C">
              <w:rPr>
                <w:i/>
                <w:iCs/>
              </w:rPr>
              <w:t>Group of Experts on Action against Trafficking in Human Beings</w:t>
            </w:r>
            <w:r w:rsidRPr="00F5656C">
              <w:rPr>
                <w:i/>
                <w:iCs/>
              </w:rPr>
              <w:t>)</w:t>
            </w:r>
          </w:p>
        </w:tc>
      </w:tr>
      <w:tr w:rsidR="007A1451" w:rsidRPr="009A613C" w14:paraId="5ECF999C"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61EF9625" w14:textId="7CE1C250" w:rsidR="007A1451" w:rsidRDefault="007A1451" w:rsidP="00BE13A3">
            <w:r>
              <w:t>GREVIO</w:t>
            </w:r>
          </w:p>
        </w:tc>
        <w:tc>
          <w:tcPr>
            <w:tcW w:w="7371" w:type="dxa"/>
          </w:tcPr>
          <w:p w14:paraId="3F5FF1E4" w14:textId="2EEF89B9" w:rsidR="007A1451" w:rsidRPr="007A1451" w:rsidRDefault="00132F49" w:rsidP="007A1451">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r>
              <w:t xml:space="preserve">Grupa eksperata za akciju protiv nasilja nad ženama i porodičnog nasilja </w:t>
            </w:r>
            <w:r w:rsidRPr="00F5656C">
              <w:rPr>
                <w:i/>
                <w:iCs/>
              </w:rPr>
              <w:t>(</w:t>
            </w:r>
            <w:r w:rsidR="007A1451" w:rsidRPr="00F5656C">
              <w:rPr>
                <w:i/>
                <w:iCs/>
              </w:rPr>
              <w:t>Group of Experts on Action against Violence against Women and Domestic Violence</w:t>
            </w:r>
            <w:r w:rsidRPr="00F5656C">
              <w:rPr>
                <w:i/>
                <w:iCs/>
              </w:rPr>
              <w:t>)</w:t>
            </w:r>
          </w:p>
        </w:tc>
      </w:tr>
      <w:tr w:rsidR="00664A8B" w:rsidRPr="009A613C" w14:paraId="4484B17F"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61B38F8" w14:textId="77777777" w:rsidR="00664A8B" w:rsidRPr="009A613C" w:rsidRDefault="00664A8B" w:rsidP="00BE13A3">
            <w:r w:rsidRPr="009A613C">
              <w:t>HRA</w:t>
            </w:r>
          </w:p>
        </w:tc>
        <w:tc>
          <w:tcPr>
            <w:tcW w:w="7371" w:type="dxa"/>
          </w:tcPr>
          <w:p w14:paraId="4D655BEF"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Akcija za ljudska prava</w:t>
            </w:r>
          </w:p>
        </w:tc>
      </w:tr>
      <w:tr w:rsidR="00664A8B" w:rsidRPr="009A613C" w14:paraId="757185D1"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319A2E87" w14:textId="77777777" w:rsidR="00664A8B" w:rsidRPr="009A613C" w:rsidRDefault="00664A8B" w:rsidP="00BE13A3">
            <w:r w:rsidRPr="009A613C">
              <w:t>KZ</w:t>
            </w:r>
          </w:p>
        </w:tc>
        <w:tc>
          <w:tcPr>
            <w:tcW w:w="7371" w:type="dxa"/>
          </w:tcPr>
          <w:p w14:paraId="02F7BF46"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Krivični zakonik Crne Gore</w:t>
            </w:r>
          </w:p>
        </w:tc>
      </w:tr>
      <w:tr w:rsidR="007A1451" w:rsidRPr="009A613C" w14:paraId="6A9C105D"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BD17E76" w14:textId="53C29F9E" w:rsidR="007A1451" w:rsidRPr="009A613C" w:rsidRDefault="007A1451" w:rsidP="00BE13A3">
            <w:r>
              <w:t>MONEYVAL</w:t>
            </w:r>
          </w:p>
        </w:tc>
        <w:tc>
          <w:tcPr>
            <w:tcW w:w="7371" w:type="dxa"/>
          </w:tcPr>
          <w:p w14:paraId="7EED2471" w14:textId="27A0A847" w:rsidR="007A1451" w:rsidRPr="007A1451" w:rsidRDefault="00132F49" w:rsidP="007A1451">
            <w:pPr>
              <w:cnfStyle w:val="000000100000" w:firstRow="0" w:lastRow="0" w:firstColumn="0" w:lastColumn="0" w:oddVBand="0" w:evenVBand="0" w:oddHBand="1" w:evenHBand="0" w:firstRowFirstColumn="0" w:firstRowLastColumn="0" w:lastRowFirstColumn="0" w:lastRowLastColumn="0"/>
            </w:pPr>
            <w:r>
              <w:t>Komitet eksperata za evaluaciju m</w:t>
            </w:r>
            <w:r w:rsidR="004E2978">
              <w:t>jera</w:t>
            </w:r>
            <w:r>
              <w:t xml:space="preserve"> protiv pranj</w:t>
            </w:r>
            <w:r w:rsidR="004E2978">
              <w:t>a</w:t>
            </w:r>
            <w:r>
              <w:t xml:space="preserve"> novca i finansiranja </w:t>
            </w:r>
            <w:r w:rsidRPr="00F5656C">
              <w:t xml:space="preserve">terorizma </w:t>
            </w:r>
            <w:r w:rsidRPr="00F5656C">
              <w:rPr>
                <w:i/>
                <w:iCs/>
              </w:rPr>
              <w:t>(T</w:t>
            </w:r>
            <w:r w:rsidRPr="00F5656C">
              <w:rPr>
                <w:rFonts w:asciiTheme="minorHAnsi" w:hAnsiTheme="minorHAnsi" w:cstheme="minorBidi"/>
                <w:i/>
                <w:iCs/>
              </w:rPr>
              <w:t>he Committee of Experts on the Evaluation of Anti-</w:t>
            </w:r>
            <w:r w:rsidR="007A1451" w:rsidRPr="00F5656C">
              <w:rPr>
                <w:i/>
                <w:iCs/>
              </w:rPr>
              <w:t>Money Laundering Measures and the Financing of Terrorism</w:t>
            </w:r>
            <w:r w:rsidRPr="00F5656C">
              <w:rPr>
                <w:i/>
                <w:iCs/>
              </w:rPr>
              <w:t>)</w:t>
            </w:r>
            <w:r w:rsidR="007A1451" w:rsidRPr="007A1451">
              <w:t> </w:t>
            </w:r>
          </w:p>
        </w:tc>
      </w:tr>
      <w:tr w:rsidR="00664A8B" w:rsidRPr="009A613C" w14:paraId="3C94D12E"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1F279545" w14:textId="77777777" w:rsidR="00664A8B" w:rsidRPr="009A613C" w:rsidRDefault="00664A8B" w:rsidP="00BE13A3">
            <w:pPr>
              <w:rPr>
                <w:bCs w:val="0"/>
              </w:rPr>
            </w:pPr>
            <w:r w:rsidRPr="009A613C">
              <w:rPr>
                <w:bCs w:val="0"/>
              </w:rPr>
              <w:t>NVO</w:t>
            </w:r>
          </w:p>
        </w:tc>
        <w:tc>
          <w:tcPr>
            <w:tcW w:w="7371" w:type="dxa"/>
          </w:tcPr>
          <w:p w14:paraId="4C9649AA"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Nevladine organizacije</w:t>
            </w:r>
          </w:p>
        </w:tc>
      </w:tr>
      <w:tr w:rsidR="00664A8B" w:rsidRPr="009A613C" w14:paraId="39E4FA84"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3429A40F" w14:textId="77777777" w:rsidR="00664A8B" w:rsidRPr="009A613C" w:rsidRDefault="00664A8B" w:rsidP="00BE13A3">
            <w:pPr>
              <w:rPr>
                <w:bCs w:val="0"/>
              </w:rPr>
            </w:pPr>
            <w:r w:rsidRPr="009A613C">
              <w:rPr>
                <w:bCs w:val="0"/>
                <w:color w:val="000000"/>
              </w:rPr>
              <w:t>OCD</w:t>
            </w:r>
          </w:p>
        </w:tc>
        <w:tc>
          <w:tcPr>
            <w:tcW w:w="7371" w:type="dxa"/>
          </w:tcPr>
          <w:p w14:paraId="3C879ED4"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Organizacije civilnog društva</w:t>
            </w:r>
          </w:p>
        </w:tc>
      </w:tr>
      <w:tr w:rsidR="00664A8B" w:rsidRPr="009A613C" w14:paraId="60CF2FE5"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206B6914" w14:textId="77777777" w:rsidR="00664A8B" w:rsidRPr="009A613C" w:rsidRDefault="00664A8B" w:rsidP="00BE13A3">
            <w:pPr>
              <w:rPr>
                <w:bCs w:val="0"/>
              </w:rPr>
            </w:pPr>
            <w:r w:rsidRPr="009A613C">
              <w:rPr>
                <w:bCs w:val="0"/>
              </w:rPr>
              <w:t>PG. 23</w:t>
            </w:r>
          </w:p>
        </w:tc>
        <w:tc>
          <w:tcPr>
            <w:tcW w:w="7371" w:type="dxa"/>
          </w:tcPr>
          <w:p w14:paraId="53AAF6E9"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Poglavlje 23</w:t>
            </w:r>
          </w:p>
        </w:tc>
      </w:tr>
      <w:tr w:rsidR="00664A8B" w:rsidRPr="009A613C" w14:paraId="17B9DC52"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76D4993" w14:textId="77777777" w:rsidR="00664A8B" w:rsidRPr="009A613C" w:rsidRDefault="00664A8B" w:rsidP="00BE13A3">
            <w:r w:rsidRPr="009A613C">
              <w:t>Savjet za SRP 2019-2022.</w:t>
            </w:r>
          </w:p>
        </w:tc>
        <w:tc>
          <w:tcPr>
            <w:tcW w:w="7371" w:type="dxa"/>
          </w:tcPr>
          <w:p w14:paraId="06AC36AA"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rPr>
                <w:rFonts w:cs="Calibri"/>
                <w:color w:val="000000"/>
              </w:rPr>
              <w:t>Savjet za praćenje sprovođenja Strategije reforme pravosuđa</w:t>
            </w:r>
            <w:r w:rsidRPr="009A613C">
              <w:rPr>
                <w:rFonts w:cs="Calibri"/>
              </w:rPr>
              <w:t xml:space="preserve"> </w:t>
            </w:r>
            <w:r w:rsidRPr="009A613C">
              <w:rPr>
                <w:rFonts w:cs="Calibri"/>
                <w:color w:val="000000"/>
              </w:rPr>
              <w:t>2019-2022. godine</w:t>
            </w:r>
          </w:p>
        </w:tc>
      </w:tr>
      <w:tr w:rsidR="00664A8B" w:rsidRPr="009A613C" w14:paraId="36008201"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5045F0FB" w14:textId="77777777" w:rsidR="00664A8B" w:rsidRPr="009A613C" w:rsidRDefault="00664A8B" w:rsidP="00BE13A3">
            <w:r w:rsidRPr="009A613C">
              <w:t>SRP 2014-2018.</w:t>
            </w:r>
          </w:p>
        </w:tc>
        <w:tc>
          <w:tcPr>
            <w:tcW w:w="7371" w:type="dxa"/>
          </w:tcPr>
          <w:p w14:paraId="263ABA0E"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Strategija reforme pravosuđa 2014-2018.</w:t>
            </w:r>
          </w:p>
        </w:tc>
      </w:tr>
      <w:tr w:rsidR="00664A8B" w:rsidRPr="009A613C" w14:paraId="76BFC451"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4C882ED0" w14:textId="77777777" w:rsidR="00664A8B" w:rsidRPr="009A613C" w:rsidRDefault="00664A8B" w:rsidP="00BE13A3">
            <w:r w:rsidRPr="009A613C">
              <w:t>SRP 2019-2022.</w:t>
            </w:r>
          </w:p>
        </w:tc>
        <w:tc>
          <w:tcPr>
            <w:tcW w:w="7371" w:type="dxa"/>
          </w:tcPr>
          <w:p w14:paraId="1F78C239"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 xml:space="preserve">Strategija reforme pravosuđa 2019-2022. </w:t>
            </w:r>
          </w:p>
        </w:tc>
      </w:tr>
      <w:tr w:rsidR="00664A8B" w:rsidRPr="009A613C" w14:paraId="08D84D5F"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35DB5FCC" w14:textId="77777777" w:rsidR="00664A8B" w:rsidRPr="009A613C" w:rsidRDefault="00664A8B" w:rsidP="00BE13A3">
            <w:r w:rsidRPr="009A613C">
              <w:t>SS</w:t>
            </w:r>
          </w:p>
        </w:tc>
        <w:tc>
          <w:tcPr>
            <w:tcW w:w="7371" w:type="dxa"/>
          </w:tcPr>
          <w:p w14:paraId="3BF6DF10" w14:textId="59646E41"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 xml:space="preserve">Sudski savjet </w:t>
            </w:r>
          </w:p>
        </w:tc>
      </w:tr>
      <w:tr w:rsidR="00664A8B" w:rsidRPr="009A613C" w14:paraId="11BECDDC"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6D1CDFD8" w14:textId="77777777" w:rsidR="00664A8B" w:rsidRPr="009A613C" w:rsidRDefault="00664A8B" w:rsidP="00BE13A3">
            <w:r w:rsidRPr="009A613C">
              <w:t>SSP</w:t>
            </w:r>
          </w:p>
        </w:tc>
        <w:tc>
          <w:tcPr>
            <w:tcW w:w="7371" w:type="dxa"/>
          </w:tcPr>
          <w:p w14:paraId="07C4535D"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Sporazum o stabilizaciji i pridruživanju</w:t>
            </w:r>
          </w:p>
        </w:tc>
      </w:tr>
      <w:tr w:rsidR="00664A8B" w:rsidRPr="009A613C" w14:paraId="347390A4"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5FEC37CD" w14:textId="77777777" w:rsidR="00664A8B" w:rsidRPr="009A613C" w:rsidRDefault="00664A8B" w:rsidP="00BE13A3">
            <w:r w:rsidRPr="009A613C">
              <w:t>TS</w:t>
            </w:r>
          </w:p>
        </w:tc>
        <w:tc>
          <w:tcPr>
            <w:tcW w:w="7371" w:type="dxa"/>
          </w:tcPr>
          <w:p w14:paraId="0425AD3C" w14:textId="7CE69D5F"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 xml:space="preserve">Tužilački savjet </w:t>
            </w:r>
          </w:p>
        </w:tc>
      </w:tr>
      <w:tr w:rsidR="00664A8B" w:rsidRPr="009A613C" w14:paraId="787E4033"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5080C61C" w14:textId="77777777" w:rsidR="00664A8B" w:rsidRPr="009A613C" w:rsidRDefault="00664A8B" w:rsidP="00BE13A3">
            <w:r w:rsidRPr="009A613C">
              <w:t>UN</w:t>
            </w:r>
          </w:p>
        </w:tc>
        <w:tc>
          <w:tcPr>
            <w:tcW w:w="7371" w:type="dxa"/>
          </w:tcPr>
          <w:p w14:paraId="773CF48A"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Ujedinjene nacije</w:t>
            </w:r>
          </w:p>
        </w:tc>
      </w:tr>
      <w:tr w:rsidR="00664A8B" w:rsidRPr="009A613C" w14:paraId="15FF7FF9"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1E71DE4A" w14:textId="77777777" w:rsidR="00664A8B" w:rsidRPr="009A613C" w:rsidRDefault="00664A8B" w:rsidP="00BE13A3">
            <w:r w:rsidRPr="009A613C">
              <w:t>VDT</w:t>
            </w:r>
          </w:p>
        </w:tc>
        <w:tc>
          <w:tcPr>
            <w:tcW w:w="7371" w:type="dxa"/>
          </w:tcPr>
          <w:p w14:paraId="116976CE" w14:textId="3630414B"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 xml:space="preserve">Vrhovno državno tužilaštvo </w:t>
            </w:r>
          </w:p>
        </w:tc>
      </w:tr>
      <w:tr w:rsidR="00664A8B" w:rsidRPr="009A613C" w14:paraId="5726678A" w14:textId="77777777" w:rsidTr="00BE13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Pr>
          <w:p w14:paraId="05DD43B6" w14:textId="77777777" w:rsidR="00664A8B" w:rsidRPr="009A613C" w:rsidRDefault="00664A8B" w:rsidP="00BE13A3">
            <w:r w:rsidRPr="009A613C">
              <w:t>VS</w:t>
            </w:r>
          </w:p>
        </w:tc>
        <w:tc>
          <w:tcPr>
            <w:tcW w:w="7371" w:type="dxa"/>
          </w:tcPr>
          <w:p w14:paraId="147B3ED7" w14:textId="77777777" w:rsidR="00664A8B" w:rsidRPr="009A613C" w:rsidRDefault="00664A8B" w:rsidP="00BE13A3">
            <w:pPr>
              <w:cnfStyle w:val="000000100000" w:firstRow="0" w:lastRow="0" w:firstColumn="0" w:lastColumn="0" w:oddVBand="0" w:evenVBand="0" w:oddHBand="1" w:evenHBand="0" w:firstRowFirstColumn="0" w:firstRowLastColumn="0" w:lastRowFirstColumn="0" w:lastRowLastColumn="0"/>
            </w:pPr>
            <w:r w:rsidRPr="009A613C">
              <w:t>Vrhovni sud Crne Gore</w:t>
            </w:r>
          </w:p>
        </w:tc>
      </w:tr>
      <w:tr w:rsidR="00664A8B" w:rsidRPr="009A613C" w14:paraId="7286E069" w14:textId="77777777" w:rsidTr="00BE13A3">
        <w:tc>
          <w:tcPr>
            <w:cnfStyle w:val="001000000000" w:firstRow="0" w:lastRow="0" w:firstColumn="1" w:lastColumn="0" w:oddVBand="0" w:evenVBand="0" w:oddHBand="0" w:evenHBand="0" w:firstRowFirstColumn="0" w:firstRowLastColumn="0" w:lastRowFirstColumn="0" w:lastRowLastColumn="0"/>
            <w:tcW w:w="1984" w:type="dxa"/>
          </w:tcPr>
          <w:p w14:paraId="775F0421" w14:textId="77777777" w:rsidR="00664A8B" w:rsidRPr="009A613C" w:rsidRDefault="00664A8B" w:rsidP="00BE13A3">
            <w:r w:rsidRPr="009A613C">
              <w:t>ZKP</w:t>
            </w:r>
          </w:p>
        </w:tc>
        <w:tc>
          <w:tcPr>
            <w:tcW w:w="7371" w:type="dxa"/>
          </w:tcPr>
          <w:p w14:paraId="132E4E84" w14:textId="77777777" w:rsidR="00664A8B" w:rsidRPr="009A613C" w:rsidRDefault="00664A8B" w:rsidP="00BE13A3">
            <w:pPr>
              <w:cnfStyle w:val="000000000000" w:firstRow="0" w:lastRow="0" w:firstColumn="0" w:lastColumn="0" w:oddVBand="0" w:evenVBand="0" w:oddHBand="0" w:evenHBand="0" w:firstRowFirstColumn="0" w:firstRowLastColumn="0" w:lastRowFirstColumn="0" w:lastRowLastColumn="0"/>
            </w:pPr>
            <w:r w:rsidRPr="009A613C">
              <w:t>Zakonik o krivičnom postupku</w:t>
            </w:r>
          </w:p>
        </w:tc>
      </w:tr>
    </w:tbl>
    <w:p w14:paraId="3B5C20C5" w14:textId="77777777" w:rsidR="00664A8B" w:rsidRPr="009A613C" w:rsidRDefault="00664A8B" w:rsidP="00664A8B"/>
    <w:p w14:paraId="693C60FA" w14:textId="29D0799D" w:rsidR="001B0512" w:rsidRPr="00B721EB" w:rsidRDefault="00664A8B" w:rsidP="00B721EB">
      <w:pPr>
        <w:spacing w:after="0" w:line="240" w:lineRule="auto"/>
        <w:rPr>
          <w:rFonts w:eastAsiaTheme="majorEastAsia" w:cstheme="majorBidi"/>
          <w:color w:val="2F5496" w:themeColor="accent1" w:themeShade="BF"/>
          <w:kern w:val="2"/>
          <w:sz w:val="32"/>
          <w:szCs w:val="32"/>
          <w14:ligatures w14:val="standardContextual"/>
        </w:rPr>
      </w:pPr>
      <w:r w:rsidRPr="009A613C">
        <w:rPr>
          <w:rFonts w:eastAsiaTheme="majorEastAsia" w:cstheme="majorBidi"/>
          <w:color w:val="2F5496" w:themeColor="accent1" w:themeShade="BF"/>
          <w:kern w:val="2"/>
          <w:sz w:val="32"/>
          <w:szCs w:val="32"/>
          <w14:ligatures w14:val="standardContextual"/>
        </w:rPr>
        <w:br w:type="page"/>
      </w:r>
    </w:p>
    <w:p w14:paraId="2539A98D" w14:textId="5D111C09" w:rsidR="00A8182E" w:rsidRPr="009A613C" w:rsidRDefault="00A8182E" w:rsidP="00A8182E">
      <w:pPr>
        <w:pStyle w:val="Heading1"/>
      </w:pPr>
      <w:bookmarkStart w:id="7" w:name="_Toc156937936"/>
      <w:r w:rsidRPr="009A613C">
        <w:lastRenderedPageBreak/>
        <w:t>I UVOD</w:t>
      </w:r>
      <w:bookmarkEnd w:id="7"/>
    </w:p>
    <w:p w14:paraId="4065016A" w14:textId="77777777" w:rsidR="008A44F4" w:rsidRPr="009A613C" w:rsidRDefault="008A44F4" w:rsidP="008A44F4"/>
    <w:p w14:paraId="19661288" w14:textId="37E55202" w:rsidR="008A44F4" w:rsidRPr="009A613C" w:rsidRDefault="008A44F4">
      <w:pPr>
        <w:pStyle w:val="Heading2"/>
        <w:numPr>
          <w:ilvl w:val="0"/>
          <w:numId w:val="6"/>
        </w:numPr>
      </w:pPr>
      <w:bookmarkStart w:id="8" w:name="_Toc156937937"/>
      <w:r w:rsidRPr="009A613C">
        <w:t>Svrha donošenja Strategije reforme pravosuđa 2024-2027</w:t>
      </w:r>
      <w:bookmarkEnd w:id="8"/>
    </w:p>
    <w:p w14:paraId="2E4A62B2" w14:textId="77777777" w:rsidR="00DD543D" w:rsidRPr="009A613C" w:rsidRDefault="00DD543D" w:rsidP="00B35331"/>
    <w:p w14:paraId="205D0414" w14:textId="3181FD02" w:rsidR="005A310D" w:rsidRDefault="00DB3BBE" w:rsidP="00506341">
      <w:pPr>
        <w:jc w:val="both"/>
        <w:rPr>
          <w:rFonts w:eastAsia="Calibri" w:cs="Calibri"/>
          <w:szCs w:val="20"/>
        </w:rPr>
      </w:pPr>
      <w:r w:rsidRPr="00506341">
        <w:rPr>
          <w:rFonts w:eastAsia="Calibri" w:cs="Calibri"/>
          <w:szCs w:val="20"/>
        </w:rPr>
        <w:t>Strategija reforme pravosuđa 2024-2027 (u daljem tekstu: SRP 2024-2027) predstavlja sektorski strateški dokument razvijen sa</w:t>
      </w:r>
      <w:r w:rsidR="005A310D" w:rsidRPr="00506341">
        <w:rPr>
          <w:rFonts w:eastAsia="Calibri" w:cs="Calibri"/>
          <w:szCs w:val="20"/>
        </w:rPr>
        <w:t xml:space="preserve"> ciljem da se </w:t>
      </w:r>
      <w:r w:rsidR="00506341" w:rsidRPr="00506341">
        <w:rPr>
          <w:rFonts w:eastAsia="Calibri" w:cs="Calibri"/>
          <w:szCs w:val="20"/>
        </w:rPr>
        <w:t>obezb</w:t>
      </w:r>
      <w:r w:rsidR="004E2978">
        <w:rPr>
          <w:rFonts w:eastAsia="Calibri" w:cs="Calibri"/>
          <w:szCs w:val="20"/>
        </w:rPr>
        <w:t>ij</w:t>
      </w:r>
      <w:r w:rsidR="00506341" w:rsidRPr="00506341">
        <w:rPr>
          <w:rFonts w:eastAsia="Calibri" w:cs="Calibri"/>
          <w:szCs w:val="20"/>
        </w:rPr>
        <w:t>edi</w:t>
      </w:r>
      <w:r w:rsidR="005A310D" w:rsidRPr="00506341">
        <w:rPr>
          <w:rFonts w:eastAsia="Calibri" w:cs="Calibri"/>
          <w:szCs w:val="20"/>
        </w:rPr>
        <w:t xml:space="preserve"> reformski kontinuitet zasnovan na dugoročnom planiranju javnih politika koje je započelo Projektom reforme pravosudnog </w:t>
      </w:r>
      <w:r w:rsidR="008B2CAC">
        <w:rPr>
          <w:rFonts w:eastAsia="Calibri" w:cs="Calibri"/>
          <w:szCs w:val="20"/>
        </w:rPr>
        <w:t>s</w:t>
      </w:r>
      <w:r w:rsidR="005A310D" w:rsidRPr="00506341">
        <w:rPr>
          <w:rFonts w:eastAsia="Calibri" w:cs="Calibri"/>
          <w:szCs w:val="20"/>
        </w:rPr>
        <w:t>istema iz 2000. godine</w:t>
      </w:r>
      <w:r w:rsidR="00506341" w:rsidRPr="00506341">
        <w:rPr>
          <w:rFonts w:eastAsia="Calibri" w:cs="Calibri"/>
          <w:szCs w:val="20"/>
        </w:rPr>
        <w:t>. Ovaj ciklus nastavljen je</w:t>
      </w:r>
      <w:r w:rsidR="005A310D" w:rsidRPr="00506341">
        <w:rPr>
          <w:rFonts w:eastAsia="Calibri" w:cs="Calibri"/>
          <w:szCs w:val="20"/>
        </w:rPr>
        <w:t xml:space="preserve"> Strategijom reforme pravosuđa 2007-2012, a nakon isteka Strategije reforme pravosuđa 2014-2018 (SRP 2014-2018), Vlada Crne Gore je na sjednici od 12. septembra 2019. godine donijela Strategiju reforme pravosuđa 2019-2022 (u daljem tekstu: Strategija, SRP 2019-2022). </w:t>
      </w:r>
    </w:p>
    <w:p w14:paraId="02096DEA" w14:textId="586B316E" w:rsidR="00506341" w:rsidRDefault="008B2CAC" w:rsidP="00506341">
      <w:pPr>
        <w:jc w:val="both"/>
        <w:rPr>
          <w:rFonts w:eastAsia="Calibri" w:cs="Calibri"/>
          <w:szCs w:val="20"/>
        </w:rPr>
      </w:pPr>
      <w:r>
        <w:rPr>
          <w:rFonts w:eastAsia="Calibri" w:cs="Calibri"/>
          <w:szCs w:val="20"/>
        </w:rPr>
        <w:t>Ovako</w:t>
      </w:r>
      <w:r w:rsidR="00506341">
        <w:rPr>
          <w:rFonts w:eastAsia="Calibri" w:cs="Calibri"/>
          <w:szCs w:val="20"/>
        </w:rPr>
        <w:t xml:space="preserve"> osiguran kontinuitet </w:t>
      </w:r>
      <w:r w:rsidR="00072703">
        <w:rPr>
          <w:rFonts w:eastAsia="Calibri" w:cs="Calibri"/>
          <w:szCs w:val="20"/>
        </w:rPr>
        <w:t>reformskih procesa igra višestruku ulogu:</w:t>
      </w:r>
    </w:p>
    <w:p w14:paraId="2C7826EA" w14:textId="5B5C3050" w:rsidR="00072703" w:rsidRDefault="00072703">
      <w:pPr>
        <w:pStyle w:val="ListParagraph"/>
        <w:numPr>
          <w:ilvl w:val="0"/>
          <w:numId w:val="11"/>
        </w:numPr>
        <w:contextualSpacing w:val="0"/>
        <w:jc w:val="both"/>
        <w:rPr>
          <w:rFonts w:ascii="Calibri" w:hAnsi="Calibri" w:cs="Calibri"/>
        </w:rPr>
      </w:pPr>
      <w:r>
        <w:rPr>
          <w:rFonts w:ascii="Calibri" w:hAnsi="Calibri" w:cs="Calibri"/>
        </w:rPr>
        <w:t>S jedne strane, na ovaj način se sistemski i dugoročno pristupa unaprjeđenju organizacije i funkcionisanja pravosuđa Crne Gore i podiže nivo vladavine prava i pristupa pravdi za građane;</w:t>
      </w:r>
    </w:p>
    <w:p w14:paraId="3D2CC4B4" w14:textId="6411DE7B" w:rsidR="00072703" w:rsidRDefault="00072703">
      <w:pPr>
        <w:pStyle w:val="ListParagraph"/>
        <w:numPr>
          <w:ilvl w:val="0"/>
          <w:numId w:val="11"/>
        </w:numPr>
        <w:contextualSpacing w:val="0"/>
        <w:jc w:val="both"/>
        <w:rPr>
          <w:rFonts w:ascii="Calibri" w:hAnsi="Calibri" w:cs="Calibri"/>
        </w:rPr>
      </w:pPr>
      <w:r>
        <w:rPr>
          <w:rFonts w:ascii="Calibri" w:hAnsi="Calibri" w:cs="Calibri"/>
        </w:rPr>
        <w:t>Istovremeno, održava</w:t>
      </w:r>
      <w:r w:rsidR="008B2CAC">
        <w:rPr>
          <w:rFonts w:ascii="Calibri" w:hAnsi="Calibri" w:cs="Calibri"/>
        </w:rPr>
        <w:t xml:space="preserve"> se</w:t>
      </w:r>
      <w:r>
        <w:rPr>
          <w:rFonts w:ascii="Calibri" w:hAnsi="Calibri" w:cs="Calibri"/>
        </w:rPr>
        <w:t xml:space="preserve"> korak </w:t>
      </w:r>
      <w:r w:rsidR="00BA59D5">
        <w:rPr>
          <w:rFonts w:ascii="Calibri" w:hAnsi="Calibri" w:cs="Calibri"/>
        </w:rPr>
        <w:t>sa potrebom usaglašavanja</w:t>
      </w:r>
      <w:r w:rsidR="006B1EFF">
        <w:rPr>
          <w:rFonts w:ascii="Calibri" w:hAnsi="Calibri" w:cs="Calibri"/>
        </w:rPr>
        <w:t xml:space="preserve"> pravosudnog sistema</w:t>
      </w:r>
      <w:r w:rsidR="00BA59D5">
        <w:rPr>
          <w:rFonts w:ascii="Calibri" w:hAnsi="Calibri" w:cs="Calibri"/>
        </w:rPr>
        <w:t xml:space="preserve"> sa relevantnim međunarodnim standardima i preporukama međunarodnih t</w:t>
      </w:r>
      <w:r w:rsidR="004E2978">
        <w:rPr>
          <w:rFonts w:ascii="Calibri" w:hAnsi="Calibri" w:cs="Calibri"/>
        </w:rPr>
        <w:t>ij</w:t>
      </w:r>
      <w:r w:rsidR="00BA59D5">
        <w:rPr>
          <w:rFonts w:ascii="Calibri" w:hAnsi="Calibri" w:cs="Calibri"/>
        </w:rPr>
        <w:t>ela zaduženih za praćenje nivoa usaglašenosti sa tim standardima</w:t>
      </w:r>
      <w:r w:rsidR="004E2978">
        <w:rPr>
          <w:rFonts w:ascii="Calibri" w:hAnsi="Calibri" w:cs="Calibri"/>
        </w:rPr>
        <w:t>.</w:t>
      </w:r>
    </w:p>
    <w:p w14:paraId="44FA0405" w14:textId="4DB280F8" w:rsidR="00BA59D5" w:rsidRPr="00BA59D5" w:rsidRDefault="00BA59D5" w:rsidP="00BA59D5">
      <w:pPr>
        <w:spacing w:after="120"/>
        <w:jc w:val="both"/>
        <w:rPr>
          <w:rFonts w:eastAsia="Calibri" w:cs="Calibri"/>
        </w:rPr>
      </w:pPr>
      <w:r>
        <w:rPr>
          <w:rFonts w:ascii="Calibri" w:hAnsi="Calibri" w:cs="Calibri"/>
        </w:rPr>
        <w:t xml:space="preserve">Najzad, </w:t>
      </w:r>
      <w:r w:rsidR="004E2978">
        <w:rPr>
          <w:rFonts w:ascii="Calibri" w:hAnsi="Calibri" w:cs="Calibri"/>
        </w:rPr>
        <w:t>s</w:t>
      </w:r>
      <w:r>
        <w:rPr>
          <w:rFonts w:ascii="Calibri" w:hAnsi="Calibri" w:cs="Calibri"/>
        </w:rPr>
        <w:t xml:space="preserve">trateški pristup pravosudnoj reformi neodvojivi je dio </w:t>
      </w:r>
      <w:r w:rsidRPr="00BA59D5">
        <w:rPr>
          <w:rFonts w:ascii="Calibri" w:hAnsi="Calibri" w:cs="Calibri"/>
        </w:rPr>
        <w:t xml:space="preserve">procesa adresiranja </w:t>
      </w:r>
      <w:r w:rsidRPr="00BA59D5">
        <w:rPr>
          <w:rFonts w:cs="Calibri"/>
        </w:rPr>
        <w:t xml:space="preserve">prioriteta i </w:t>
      </w:r>
      <w:r w:rsidRPr="00BA59D5">
        <w:rPr>
          <w:rFonts w:ascii="Calibri" w:hAnsi="Calibri" w:cs="Calibri"/>
        </w:rPr>
        <w:t>ispunjavanja mjerila</w:t>
      </w:r>
      <w:r w:rsidRPr="00BA59D5">
        <w:rPr>
          <w:rFonts w:cs="Calibri"/>
        </w:rPr>
        <w:t xml:space="preserve"> utvrđenih</w:t>
      </w:r>
      <w:r w:rsidRPr="00BA59D5">
        <w:t xml:space="preserve"> u pregovaračkom procesu za poglavlje 23 (u daljem tekstu: P</w:t>
      </w:r>
      <w:r w:rsidR="004E2978">
        <w:t>G</w:t>
      </w:r>
      <w:r w:rsidRPr="00BA59D5">
        <w:t>. 23).</w:t>
      </w:r>
      <w:r w:rsidRPr="00BA59D5">
        <w:rPr>
          <w:rStyle w:val="FootnoteReference"/>
        </w:rPr>
        <w:footnoteReference w:id="1"/>
      </w:r>
      <w:r w:rsidRPr="00BA59D5">
        <w:t xml:space="preserve"> </w:t>
      </w:r>
      <w:r w:rsidRPr="00BA59D5">
        <w:rPr>
          <w:rFonts w:ascii="Calibri" w:hAnsi="Calibri" w:cs="Calibri"/>
        </w:rPr>
        <w:t xml:space="preserve"> u okviru pristupnih pregovora sa Evropskom unijom (u daljem tekstu: EU)</w:t>
      </w:r>
      <w:r w:rsidR="00331E8E">
        <w:rPr>
          <w:rFonts w:ascii="Calibri" w:hAnsi="Calibri" w:cs="Calibri"/>
        </w:rPr>
        <w:t>.</w:t>
      </w:r>
    </w:p>
    <w:p w14:paraId="4F128A10" w14:textId="77777777" w:rsidR="008C54EB" w:rsidRPr="009A613C" w:rsidRDefault="008C54EB" w:rsidP="00DD543D">
      <w:pPr>
        <w:autoSpaceDE w:val="0"/>
        <w:autoSpaceDN w:val="0"/>
        <w:adjustRightInd w:val="0"/>
        <w:spacing w:after="120"/>
        <w:jc w:val="both"/>
        <w:rPr>
          <w:rFonts w:cstheme="minorHAnsi"/>
          <w:bCs/>
        </w:rPr>
      </w:pPr>
    </w:p>
    <w:p w14:paraId="51AD24E6" w14:textId="6B219F65" w:rsidR="008A44F4" w:rsidRPr="009A613C" w:rsidRDefault="00F10A68">
      <w:pPr>
        <w:pStyle w:val="Heading2"/>
        <w:numPr>
          <w:ilvl w:val="0"/>
          <w:numId w:val="6"/>
        </w:numPr>
        <w:spacing w:after="240"/>
      </w:pPr>
      <w:bookmarkStart w:id="9" w:name="_Toc156937938"/>
      <w:r w:rsidRPr="009A613C">
        <w:t>Relevantan</w:t>
      </w:r>
      <w:r w:rsidR="008A44F4" w:rsidRPr="009A613C">
        <w:t xml:space="preserve"> stratešk</w:t>
      </w:r>
      <w:r w:rsidRPr="009A613C">
        <w:t>i</w:t>
      </w:r>
      <w:r w:rsidR="008A44F4" w:rsidRPr="009A613C">
        <w:t xml:space="preserve"> okvir Crne Gore i usklađenost sa međunarodnim obavezama</w:t>
      </w:r>
      <w:bookmarkEnd w:id="9"/>
    </w:p>
    <w:p w14:paraId="09050647" w14:textId="2B8EEB29" w:rsidR="008F47D9" w:rsidRDefault="008F47D9" w:rsidP="00565678">
      <w:pPr>
        <w:autoSpaceDE w:val="0"/>
        <w:autoSpaceDN w:val="0"/>
        <w:adjustRightInd w:val="0"/>
        <w:jc w:val="both"/>
        <w:rPr>
          <w:rFonts w:cstheme="minorHAnsi"/>
        </w:rPr>
      </w:pPr>
      <w:r w:rsidRPr="0085006A">
        <w:rPr>
          <w:rFonts w:cstheme="minorHAnsi"/>
        </w:rPr>
        <w:t xml:space="preserve">Kada je riječ o </w:t>
      </w:r>
      <w:r w:rsidRPr="0085006A">
        <w:rPr>
          <w:rFonts w:cstheme="minorHAnsi"/>
          <w:b/>
          <w:bCs/>
        </w:rPr>
        <w:t>međusobnoj usklađenosti Strategije i drugih dokumenata javnih politika koje sprovodi Vlada i institucije pravosuđa</w:t>
      </w:r>
      <w:r w:rsidRPr="0085006A">
        <w:rPr>
          <w:rFonts w:cstheme="minorHAnsi"/>
        </w:rPr>
        <w:t xml:space="preserve">, </w:t>
      </w:r>
      <w:r w:rsidR="0085006A" w:rsidRPr="0085006A">
        <w:rPr>
          <w:rFonts w:cstheme="minorHAnsi"/>
        </w:rPr>
        <w:t>p</w:t>
      </w:r>
      <w:r w:rsidRPr="0085006A">
        <w:rPr>
          <w:rFonts w:cstheme="minorHAnsi"/>
        </w:rPr>
        <w:t xml:space="preserve">otreba da se osigura strateški pristup reformama adresirana i u </w:t>
      </w:r>
      <w:r w:rsidRPr="008C183F">
        <w:rPr>
          <w:rFonts w:cstheme="minorHAnsi"/>
          <w:b/>
          <w:bCs/>
        </w:rPr>
        <w:t>Programu rada Vlade za 2023. godinu</w:t>
      </w:r>
      <w:r w:rsidRPr="0085006A">
        <w:rPr>
          <w:rFonts w:cstheme="minorHAnsi"/>
        </w:rPr>
        <w:t>, koji predviđa obavezu usvajanja Završnog izvještaja o realizaciji Akcionog plana za sprovođenje Strategije reforme pravosuđa 2021-2022 i donošenje Strategije reforme pravosuđa 2024-2027, sa Akcionim planom za period 2024-2025. Imajući ovo u vidu, može se konstatovati da je osigurana koherentnost sistema planiranja u ovoj oblasti.</w:t>
      </w:r>
      <w:r w:rsidRPr="009A613C">
        <w:rPr>
          <w:rFonts w:cstheme="minorHAnsi"/>
        </w:rPr>
        <w:t xml:space="preserve"> </w:t>
      </w:r>
    </w:p>
    <w:p w14:paraId="73F672C2" w14:textId="5A16B338" w:rsidR="00BC7F1D" w:rsidRDefault="00BC7F1D" w:rsidP="00565678">
      <w:pPr>
        <w:autoSpaceDE w:val="0"/>
        <w:autoSpaceDN w:val="0"/>
        <w:adjustRightInd w:val="0"/>
        <w:jc w:val="both"/>
        <w:rPr>
          <w:rFonts w:cstheme="minorHAnsi"/>
        </w:rPr>
      </w:pPr>
      <w:r w:rsidRPr="00BC7F1D">
        <w:rPr>
          <w:b/>
          <w:bCs/>
        </w:rPr>
        <w:t>Nacionalna strategija održivog razvoja do 2030</w:t>
      </w:r>
      <w:r>
        <w:t>. godine</w:t>
      </w:r>
      <w:r>
        <w:rPr>
          <w:rStyle w:val="FootnoteReference"/>
        </w:rPr>
        <w:footnoteReference w:id="2"/>
      </w:r>
      <w:r>
        <w:t xml:space="preserve"> obuhvata Strateški cilj 2.3 „Razvijati državu kao efikasnu vladavinu prava“, koji definiše da kriminal, organizovani kriminal, korupcija, a od skoro i terorizam, predstavljaju ozbiljne izazove i prijetnje za savremene države. Na ove izazove države najčešće </w:t>
      </w:r>
      <w:r>
        <w:lastRenderedPageBreak/>
        <w:t>ne mogu adekvatno da odgovore same; neophodno je šire unutar-društveno, ali i međunarodno partnerstvo, kako bi se ove pojave eliminisale ili barem svele na najmanju moguću mjeru.</w:t>
      </w:r>
    </w:p>
    <w:p w14:paraId="67867B6A" w14:textId="1B76037F" w:rsidR="000D764A" w:rsidRPr="008736D6" w:rsidRDefault="000D764A" w:rsidP="00565678">
      <w:pPr>
        <w:autoSpaceDE w:val="0"/>
        <w:autoSpaceDN w:val="0"/>
        <w:adjustRightInd w:val="0"/>
        <w:jc w:val="both"/>
      </w:pPr>
      <w:r w:rsidRPr="000D764A">
        <w:rPr>
          <w:b/>
          <w:bCs/>
        </w:rPr>
        <w:t>Strategija za borbu protiv trgovine ljudima 2019-2024</w:t>
      </w:r>
      <w:r>
        <w:rPr>
          <w:rStyle w:val="FootnoteReference"/>
        </w:rPr>
        <w:footnoteReference w:id="3"/>
      </w:r>
      <w:r w:rsidR="008736D6">
        <w:rPr>
          <w:b/>
          <w:bCs/>
        </w:rPr>
        <w:t xml:space="preserve"> </w:t>
      </w:r>
      <w:r w:rsidR="008736D6" w:rsidRPr="008736D6">
        <w:t xml:space="preserve">predstavlja dokument koji je neraskidivo vezan sa Strategijom, a naročito u </w:t>
      </w:r>
      <w:r w:rsidR="00A152CC">
        <w:t>okviru strateški</w:t>
      </w:r>
      <w:r w:rsidR="004E2978">
        <w:t>h</w:t>
      </w:r>
      <w:r w:rsidR="00A152CC">
        <w:t xml:space="preserve"> oblasti 2 i 3 koje se odnose na zaštitu trgovine ljudima i odgovor krivičnog pravosuđa, odnosno krivično gonjenje učinilaca trgovine ljudima. U tom smislu, u okviru strateške oblasti 2 posebno se izdvaja potreba da se osigura identifikacij</w:t>
      </w:r>
      <w:r w:rsidR="004E2978">
        <w:t>a</w:t>
      </w:r>
      <w:r w:rsidR="00A152CC">
        <w:t xml:space="preserve"> žrtava i potencijalnih žrtava trgovine ljudima među ranjivim grupama; efikasnije funkcionisanje mehanizama za nadoknadu štete žrtvama; unaprjeđenje kvaliteta zaštite i pomoći žrtvama trgovine ljudima u njihovoj društvenoj reintegraciji, kao i unaprjeđenje zaštite žrtava tokom krivičnog postupka sa posebnim akcentom na djecu. U okviru strateške oblasti 3, od posebnog značaja je dalje usklađivanje krivičnog zakonodavstva sa relevantnim međunarodnim standardima u oblasti borbe protiv trgovine ljudima i efikasna saradnja sa međunarodnim tijelima poput </w:t>
      </w:r>
      <w:r w:rsidR="00A152CC" w:rsidRPr="00A152CC">
        <w:rPr>
          <w:i/>
          <w:iCs/>
        </w:rPr>
        <w:t>Europol</w:t>
      </w:r>
      <w:r w:rsidR="00A152CC">
        <w:t xml:space="preserve"> i </w:t>
      </w:r>
      <w:r w:rsidR="00A152CC" w:rsidRPr="00A152CC">
        <w:rPr>
          <w:i/>
          <w:iCs/>
        </w:rPr>
        <w:t>Eurojust</w:t>
      </w:r>
      <w:r w:rsidR="00A152CC">
        <w:rPr>
          <w:i/>
          <w:iCs/>
        </w:rPr>
        <w:t>.</w:t>
      </w:r>
    </w:p>
    <w:p w14:paraId="1DBD2174" w14:textId="19C98193" w:rsidR="00A012FB" w:rsidRDefault="000D764A" w:rsidP="00565678">
      <w:pPr>
        <w:autoSpaceDE w:val="0"/>
        <w:autoSpaceDN w:val="0"/>
        <w:adjustRightInd w:val="0"/>
        <w:jc w:val="both"/>
      </w:pPr>
      <w:r>
        <w:rPr>
          <w:b/>
          <w:bCs/>
        </w:rPr>
        <w:t>Strategija za izvršenje krivičnih sankcija 2023-2026</w:t>
      </w:r>
      <w:r>
        <w:rPr>
          <w:rStyle w:val="FootnoteReference"/>
          <w:b/>
          <w:bCs/>
        </w:rPr>
        <w:footnoteReference w:id="4"/>
      </w:r>
      <w:r w:rsidR="00A012FB">
        <w:rPr>
          <w:b/>
          <w:bCs/>
        </w:rPr>
        <w:t xml:space="preserve"> - </w:t>
      </w:r>
      <w:r w:rsidR="00A012FB">
        <w:t>reforma sistem</w:t>
      </w:r>
      <w:r w:rsidR="004E2978">
        <w:t>a</w:t>
      </w:r>
      <w:r w:rsidR="00A012FB">
        <w:t xml:space="preserve"> izvršenja krivičnih sankcija ne može funkcionisati na potreban način bez usklađivanja sa reformom pravosuđa, primarno u onim segmentima koji se odnose na nezavisnost i nepristrasnost pravosuđa i njegovu efikasnost, a naročit</w:t>
      </w:r>
      <w:r w:rsidR="004E2978">
        <w:t>o</w:t>
      </w:r>
      <w:r w:rsidR="00A012FB">
        <w:t xml:space="preserve"> u kontekstu usklađivanja kaznenog zakonodavstva sa relevantnim međunarodnim standardima, uključujući tu i maloljetnike u sukobu sa zakonom, kao i mehanizme međunarodne saradnje.</w:t>
      </w:r>
    </w:p>
    <w:p w14:paraId="3D6B4008" w14:textId="6AC817E0" w:rsidR="00EE0F2C" w:rsidRPr="007E1644" w:rsidRDefault="00EE0F2C" w:rsidP="00565678">
      <w:pPr>
        <w:autoSpaceDE w:val="0"/>
        <w:autoSpaceDN w:val="0"/>
        <w:adjustRightInd w:val="0"/>
        <w:jc w:val="both"/>
      </w:pPr>
      <w:r w:rsidRPr="00EE0F2C">
        <w:rPr>
          <w:b/>
          <w:bCs/>
        </w:rPr>
        <w:t>Strategija za prevenciju i suzbijanje terorizma, pranja novca i finansiranja terorizma za 2022-2025</w:t>
      </w:r>
      <w:r>
        <w:rPr>
          <w:rStyle w:val="FootnoteReference"/>
          <w:b/>
          <w:bCs/>
        </w:rPr>
        <w:footnoteReference w:id="5"/>
      </w:r>
      <w:r w:rsidR="007E1644">
        <w:rPr>
          <w:b/>
          <w:bCs/>
        </w:rPr>
        <w:t xml:space="preserve"> </w:t>
      </w:r>
      <w:r w:rsidR="007E1644" w:rsidRPr="007E1644">
        <w:t>relevantna je za ovu Strategiju prvenstveno u okviru jačanja preventivnih mehanizama za suzbijanje pranja novca i sprječavanja terorizma, u pogledu prepoznavanja rizika, ali i u odnosu na operativne ciljeve 2, 3 i 4 koji predviđaju jačanje kapaciteta pravosuđa za procesuiranje ove vrste krivičnih djela i unaprjeđenje efikasnosti krivičnog gonjenja.</w:t>
      </w:r>
    </w:p>
    <w:p w14:paraId="36226DF1" w14:textId="2E4E2FE1" w:rsidR="008C183F" w:rsidRDefault="008C183F" w:rsidP="00565678">
      <w:pPr>
        <w:autoSpaceDE w:val="0"/>
        <w:autoSpaceDN w:val="0"/>
        <w:adjustRightInd w:val="0"/>
        <w:jc w:val="both"/>
        <w:rPr>
          <w:b/>
          <w:bCs/>
        </w:rPr>
      </w:pPr>
      <w:r w:rsidRPr="00863FC2">
        <w:rPr>
          <w:b/>
          <w:bCs/>
        </w:rPr>
        <w:t>Nacionalna strategija rodne ravnopravnosti 2021-2025</w:t>
      </w:r>
      <w:r>
        <w:rPr>
          <w:rStyle w:val="FootnoteReference"/>
        </w:rPr>
        <w:footnoteReference w:id="6"/>
      </w:r>
      <w:r w:rsidR="00863FC2">
        <w:rPr>
          <w:b/>
          <w:bCs/>
        </w:rPr>
        <w:t xml:space="preserve"> </w:t>
      </w:r>
      <w:r w:rsidR="00863FC2" w:rsidRPr="004E2978">
        <w:rPr>
          <w:bCs/>
        </w:rPr>
        <w:t>dotiče se pitanja pravosudne reforme iz ugla unaprjeđenja naplate alimentacije, potom iz ugla</w:t>
      </w:r>
      <w:r w:rsidR="00863FC2">
        <w:rPr>
          <w:b/>
          <w:bCs/>
        </w:rPr>
        <w:t xml:space="preserve"> </w:t>
      </w:r>
      <w:r w:rsidR="00863FC2">
        <w:t xml:space="preserve">hitne potrebe da se državne institucije što prije osposobe da proizvode, sakupljaju i analiziraju rodno desegregirane podatke, kako bi se omogućilo planiranje javnih politika na bazi stvarnog stanja, kao i redovno praćenje pomaka i dostignuća tih javnih politika na osnovu kvantitativnih pokazatelja. Najzad, ovaj strateški </w:t>
      </w:r>
      <w:r w:rsidR="00C714A8">
        <w:t>dokument</w:t>
      </w:r>
      <w:r w:rsidR="00863FC2">
        <w:t xml:space="preserve"> prepoznaje potrebu uključivanja pravosudne grane vlasti u orodnjavanje javnih politika.</w:t>
      </w:r>
    </w:p>
    <w:p w14:paraId="15E1E33E" w14:textId="77777777" w:rsidR="00B721EB" w:rsidRDefault="00B721EB" w:rsidP="008B2CAC">
      <w:pPr>
        <w:autoSpaceDE w:val="0"/>
        <w:autoSpaceDN w:val="0"/>
        <w:adjustRightInd w:val="0"/>
        <w:spacing w:line="276" w:lineRule="auto"/>
        <w:jc w:val="both"/>
        <w:rPr>
          <w:b/>
          <w:bCs/>
        </w:rPr>
      </w:pPr>
    </w:p>
    <w:p w14:paraId="34AAEB8C" w14:textId="77777777" w:rsidR="00B721EB" w:rsidRDefault="00B721EB" w:rsidP="008B2CAC">
      <w:pPr>
        <w:autoSpaceDE w:val="0"/>
        <w:autoSpaceDN w:val="0"/>
        <w:adjustRightInd w:val="0"/>
        <w:spacing w:line="276" w:lineRule="auto"/>
        <w:jc w:val="both"/>
        <w:rPr>
          <w:b/>
          <w:bCs/>
        </w:rPr>
      </w:pPr>
    </w:p>
    <w:p w14:paraId="4249008C" w14:textId="561D1491" w:rsidR="008C183F" w:rsidRDefault="008C183F" w:rsidP="008B2CAC">
      <w:pPr>
        <w:autoSpaceDE w:val="0"/>
        <w:autoSpaceDN w:val="0"/>
        <w:adjustRightInd w:val="0"/>
        <w:spacing w:line="276" w:lineRule="auto"/>
        <w:jc w:val="both"/>
      </w:pPr>
      <w:r w:rsidRPr="008C183F">
        <w:rPr>
          <w:b/>
          <w:bCs/>
        </w:rPr>
        <w:lastRenderedPageBreak/>
        <w:t>Strategija digitalne transformacije Crne Gore 2022-2026</w:t>
      </w:r>
      <w:r>
        <w:rPr>
          <w:rStyle w:val="FootnoteReference"/>
        </w:rPr>
        <w:footnoteReference w:id="7"/>
      </w:r>
      <w:r>
        <w:t xml:space="preserve"> - Usklađenost sa predmetnim strateškim dokumentom se posebno ističe u dijelu koji se odnosi na korišćenje elektronskog potpisa, elektronskog pečata, elektronskog vremenskog pečata i usluge elektronske preporučene dostave u pravnom prometu, upravnim, sudskim i drugim postupcima.</w:t>
      </w:r>
    </w:p>
    <w:p w14:paraId="1370B59C" w14:textId="421F4D64" w:rsidR="008C183F" w:rsidRPr="008B2CAC" w:rsidRDefault="008C183F" w:rsidP="00A3168F">
      <w:pPr>
        <w:pStyle w:val="Default"/>
        <w:spacing w:after="240" w:line="276" w:lineRule="auto"/>
        <w:jc w:val="both"/>
        <w:rPr>
          <w:sz w:val="22"/>
          <w:szCs w:val="22"/>
          <w:lang w:val="sr-Latn-ME"/>
        </w:rPr>
      </w:pPr>
      <w:r w:rsidRPr="00ED323C">
        <w:rPr>
          <w:b/>
          <w:bCs/>
          <w:sz w:val="22"/>
          <w:szCs w:val="22"/>
        </w:rPr>
        <w:t>Program</w:t>
      </w:r>
      <w:r w:rsidRPr="00ED323C">
        <w:rPr>
          <w:b/>
          <w:bCs/>
          <w:sz w:val="22"/>
          <w:szCs w:val="22"/>
          <w:lang w:val="sr-Latn-ME"/>
        </w:rPr>
        <w:t xml:space="preserve"> </w:t>
      </w:r>
      <w:r w:rsidRPr="00ED323C">
        <w:rPr>
          <w:b/>
          <w:bCs/>
          <w:sz w:val="22"/>
          <w:szCs w:val="22"/>
        </w:rPr>
        <w:t>razvoja</w:t>
      </w:r>
      <w:r w:rsidRPr="00ED323C">
        <w:rPr>
          <w:b/>
          <w:bCs/>
          <w:sz w:val="22"/>
          <w:szCs w:val="22"/>
          <w:lang w:val="sr-Latn-ME"/>
        </w:rPr>
        <w:t xml:space="preserve"> </w:t>
      </w:r>
      <w:r w:rsidRPr="00ED323C">
        <w:rPr>
          <w:b/>
          <w:bCs/>
          <w:sz w:val="22"/>
          <w:szCs w:val="22"/>
        </w:rPr>
        <w:t>informaciono</w:t>
      </w:r>
      <w:r w:rsidRPr="00ED323C">
        <w:rPr>
          <w:b/>
          <w:bCs/>
          <w:sz w:val="22"/>
          <w:szCs w:val="22"/>
          <w:lang w:val="sr-Latn-ME"/>
        </w:rPr>
        <w:t>-</w:t>
      </w:r>
      <w:r w:rsidRPr="00ED323C">
        <w:rPr>
          <w:b/>
          <w:bCs/>
          <w:sz w:val="22"/>
          <w:szCs w:val="22"/>
        </w:rPr>
        <w:t>komunikacionih</w:t>
      </w:r>
      <w:r w:rsidRPr="00ED323C">
        <w:rPr>
          <w:b/>
          <w:bCs/>
          <w:sz w:val="22"/>
          <w:szCs w:val="22"/>
          <w:lang w:val="sr-Latn-ME"/>
        </w:rPr>
        <w:t xml:space="preserve"> </w:t>
      </w:r>
      <w:r w:rsidRPr="00ED323C">
        <w:rPr>
          <w:b/>
          <w:bCs/>
          <w:sz w:val="22"/>
          <w:szCs w:val="22"/>
        </w:rPr>
        <w:t>tehnologija</w:t>
      </w:r>
      <w:r w:rsidRPr="00ED323C">
        <w:rPr>
          <w:b/>
          <w:bCs/>
          <w:sz w:val="22"/>
          <w:szCs w:val="22"/>
          <w:lang w:val="sr-Latn-ME"/>
        </w:rPr>
        <w:t xml:space="preserve"> </w:t>
      </w:r>
      <w:r w:rsidRPr="00ED323C">
        <w:rPr>
          <w:b/>
          <w:bCs/>
          <w:sz w:val="22"/>
          <w:szCs w:val="22"/>
        </w:rPr>
        <w:t>pravosu</w:t>
      </w:r>
      <w:r w:rsidRPr="00ED323C">
        <w:rPr>
          <w:b/>
          <w:bCs/>
          <w:sz w:val="22"/>
          <w:szCs w:val="22"/>
          <w:lang w:val="sr-Latn-ME"/>
        </w:rPr>
        <w:t>đ</w:t>
      </w:r>
      <w:r w:rsidRPr="00ED323C">
        <w:rPr>
          <w:b/>
          <w:bCs/>
          <w:sz w:val="22"/>
          <w:szCs w:val="22"/>
        </w:rPr>
        <w:t>a</w:t>
      </w:r>
      <w:r w:rsidRPr="00ED323C">
        <w:rPr>
          <w:b/>
          <w:bCs/>
          <w:sz w:val="22"/>
          <w:szCs w:val="22"/>
          <w:lang w:val="sr-Latn-ME"/>
        </w:rPr>
        <w:t xml:space="preserve"> 2021-2023</w:t>
      </w:r>
      <w:r>
        <w:rPr>
          <w:rStyle w:val="FootnoteReference"/>
        </w:rPr>
        <w:footnoteReference w:id="8"/>
      </w:r>
      <w:r w:rsidRPr="00A3168F">
        <w:rPr>
          <w:b/>
          <w:bCs/>
          <w:lang w:val="sr-Latn-ME"/>
        </w:rPr>
        <w:t xml:space="preserve"> -</w:t>
      </w:r>
      <w:r w:rsidR="00A3168F">
        <w:rPr>
          <w:b/>
          <w:bCs/>
          <w:lang w:val="sr-Latn-ME"/>
        </w:rPr>
        <w:t xml:space="preserve"> </w:t>
      </w:r>
      <w:r w:rsidR="00A3168F" w:rsidRPr="009A613C">
        <w:rPr>
          <w:sz w:val="23"/>
          <w:szCs w:val="23"/>
          <w:lang w:val="sr-Latn-ME"/>
        </w:rPr>
        <w:t xml:space="preserve">predstavlja treći u nizu strateški dokument koji adresira predmetnu oblast. Njemu su prethodile Strategija informaciono-komunikacionih tehnologija pravosuđa 2016-2020, kao i IKT Strategija u oblasti pravosuđa, za period 2011-2014 godina. IKT Program je primarno posvećen razvoju i unaprjeđenju pravosudnog informacionog sistema, kao jedinstvenog sistema sudova, državnih tužilaštava, Uprave za izvršenje krivičnih sankcija i Ministarstva </w:t>
      </w:r>
      <w:r w:rsidR="00A3168F" w:rsidRPr="008B2CAC">
        <w:rPr>
          <w:sz w:val="22"/>
          <w:szCs w:val="22"/>
          <w:lang w:val="sr-Latn-ME"/>
        </w:rPr>
        <w:t xml:space="preserve">pravde. </w:t>
      </w:r>
      <w:r w:rsidR="00A3168F" w:rsidRPr="008B2CAC">
        <w:rPr>
          <w:sz w:val="22"/>
          <w:szCs w:val="22"/>
        </w:rPr>
        <w:t>I</w:t>
      </w:r>
      <w:r w:rsidRPr="008B2CAC">
        <w:rPr>
          <w:sz w:val="22"/>
          <w:szCs w:val="22"/>
        </w:rPr>
        <w:t>ako</w:t>
      </w:r>
      <w:r w:rsidRPr="008B2CAC">
        <w:rPr>
          <w:sz w:val="22"/>
          <w:szCs w:val="22"/>
          <w:lang w:val="sr-Latn-ME"/>
        </w:rPr>
        <w:t xml:space="preserve"> </w:t>
      </w:r>
      <w:r w:rsidRPr="008B2CAC">
        <w:rPr>
          <w:sz w:val="22"/>
          <w:szCs w:val="22"/>
        </w:rPr>
        <w:t>va</w:t>
      </w:r>
      <w:r w:rsidRPr="008B2CAC">
        <w:rPr>
          <w:sz w:val="22"/>
          <w:szCs w:val="22"/>
          <w:lang w:val="sr-Latn-ME"/>
        </w:rPr>
        <w:t>ž</w:t>
      </w:r>
      <w:r w:rsidRPr="008B2CAC">
        <w:rPr>
          <w:sz w:val="22"/>
          <w:szCs w:val="22"/>
        </w:rPr>
        <w:t>enje</w:t>
      </w:r>
      <w:r w:rsidRPr="008B2CAC">
        <w:rPr>
          <w:sz w:val="22"/>
          <w:szCs w:val="22"/>
          <w:lang w:val="sr-Latn-ME"/>
        </w:rPr>
        <w:t xml:space="preserve"> </w:t>
      </w:r>
      <w:r w:rsidRPr="008B2CAC">
        <w:rPr>
          <w:sz w:val="22"/>
          <w:szCs w:val="22"/>
        </w:rPr>
        <w:t>ovog</w:t>
      </w:r>
      <w:r w:rsidRPr="008B2CAC">
        <w:rPr>
          <w:sz w:val="22"/>
          <w:szCs w:val="22"/>
          <w:lang w:val="sr-Latn-ME"/>
        </w:rPr>
        <w:t xml:space="preserve"> </w:t>
      </w:r>
      <w:r w:rsidRPr="008B2CAC">
        <w:rPr>
          <w:sz w:val="22"/>
          <w:szCs w:val="22"/>
        </w:rPr>
        <w:t>dokumenta</w:t>
      </w:r>
      <w:r w:rsidRPr="008B2CAC">
        <w:rPr>
          <w:sz w:val="22"/>
          <w:szCs w:val="22"/>
          <w:lang w:val="sr-Latn-ME"/>
        </w:rPr>
        <w:t xml:space="preserve"> </w:t>
      </w:r>
      <w:r w:rsidRPr="008B2CAC">
        <w:rPr>
          <w:sz w:val="22"/>
          <w:szCs w:val="22"/>
        </w:rPr>
        <w:t>javne</w:t>
      </w:r>
      <w:r w:rsidRPr="008B2CAC">
        <w:rPr>
          <w:sz w:val="22"/>
          <w:szCs w:val="22"/>
          <w:lang w:val="sr-Latn-ME"/>
        </w:rPr>
        <w:t xml:space="preserve"> </w:t>
      </w:r>
      <w:r w:rsidRPr="008B2CAC">
        <w:rPr>
          <w:sz w:val="22"/>
          <w:szCs w:val="22"/>
        </w:rPr>
        <w:t>politike</w:t>
      </w:r>
      <w:r w:rsidRPr="008B2CAC">
        <w:rPr>
          <w:sz w:val="22"/>
          <w:szCs w:val="22"/>
          <w:lang w:val="sr-Latn-ME"/>
        </w:rPr>
        <w:t xml:space="preserve"> </w:t>
      </w:r>
      <w:r w:rsidRPr="008B2CAC">
        <w:rPr>
          <w:sz w:val="22"/>
          <w:szCs w:val="22"/>
        </w:rPr>
        <w:t>isti</w:t>
      </w:r>
      <w:r w:rsidRPr="008B2CAC">
        <w:rPr>
          <w:sz w:val="22"/>
          <w:szCs w:val="22"/>
          <w:lang w:val="sr-Latn-ME"/>
        </w:rPr>
        <w:t>č</w:t>
      </w:r>
      <w:r w:rsidRPr="008B2CAC">
        <w:rPr>
          <w:sz w:val="22"/>
          <w:szCs w:val="22"/>
        </w:rPr>
        <w:t>e</w:t>
      </w:r>
      <w:r w:rsidRPr="008B2CAC">
        <w:rPr>
          <w:sz w:val="22"/>
          <w:szCs w:val="22"/>
          <w:lang w:val="sr-Latn-ME"/>
        </w:rPr>
        <w:t xml:space="preserve"> </w:t>
      </w:r>
      <w:r w:rsidRPr="008B2CAC">
        <w:rPr>
          <w:sz w:val="22"/>
          <w:szCs w:val="22"/>
        </w:rPr>
        <w:t>u</w:t>
      </w:r>
      <w:r w:rsidRPr="008B2CAC">
        <w:rPr>
          <w:sz w:val="22"/>
          <w:szCs w:val="22"/>
          <w:lang w:val="sr-Latn-ME"/>
        </w:rPr>
        <w:t xml:space="preserve"> </w:t>
      </w:r>
      <w:r w:rsidRPr="008B2CAC">
        <w:rPr>
          <w:sz w:val="22"/>
          <w:szCs w:val="22"/>
        </w:rPr>
        <w:t>periodu</w:t>
      </w:r>
      <w:r w:rsidRPr="008B2CAC">
        <w:rPr>
          <w:sz w:val="22"/>
          <w:szCs w:val="22"/>
          <w:lang w:val="sr-Latn-ME"/>
        </w:rPr>
        <w:t xml:space="preserve"> </w:t>
      </w:r>
      <w:r w:rsidRPr="008B2CAC">
        <w:rPr>
          <w:sz w:val="22"/>
          <w:szCs w:val="22"/>
        </w:rPr>
        <w:t>pripreme</w:t>
      </w:r>
      <w:r w:rsidRPr="008B2CAC">
        <w:rPr>
          <w:sz w:val="22"/>
          <w:szCs w:val="22"/>
          <w:lang w:val="sr-Latn-ME"/>
        </w:rPr>
        <w:t xml:space="preserve"> </w:t>
      </w:r>
      <w:r w:rsidRPr="008B2CAC">
        <w:rPr>
          <w:sz w:val="22"/>
          <w:szCs w:val="22"/>
        </w:rPr>
        <w:t>Strategije</w:t>
      </w:r>
      <w:r w:rsidRPr="008B2CAC">
        <w:rPr>
          <w:sz w:val="22"/>
          <w:szCs w:val="22"/>
          <w:lang w:val="sr-Latn-ME"/>
        </w:rPr>
        <w:t>, č</w:t>
      </w:r>
      <w:r w:rsidRPr="008B2CAC">
        <w:rPr>
          <w:sz w:val="22"/>
          <w:szCs w:val="22"/>
        </w:rPr>
        <w:t>injenica</w:t>
      </w:r>
      <w:r w:rsidRPr="008B2CAC">
        <w:rPr>
          <w:sz w:val="22"/>
          <w:szCs w:val="22"/>
          <w:lang w:val="sr-Latn-ME"/>
        </w:rPr>
        <w:t xml:space="preserve"> </w:t>
      </w:r>
      <w:r w:rsidRPr="008B2CAC">
        <w:rPr>
          <w:sz w:val="22"/>
          <w:szCs w:val="22"/>
        </w:rPr>
        <w:t>da</w:t>
      </w:r>
      <w:r w:rsidRPr="008B2CAC">
        <w:rPr>
          <w:sz w:val="22"/>
          <w:szCs w:val="22"/>
          <w:lang w:val="sr-Latn-ME"/>
        </w:rPr>
        <w:t xml:space="preserve"> </w:t>
      </w:r>
      <w:r w:rsidRPr="008B2CAC">
        <w:rPr>
          <w:sz w:val="22"/>
          <w:szCs w:val="22"/>
        </w:rPr>
        <w:t>je</w:t>
      </w:r>
      <w:r w:rsidRPr="008B2CAC">
        <w:rPr>
          <w:sz w:val="22"/>
          <w:szCs w:val="22"/>
          <w:lang w:val="sr-Latn-ME"/>
        </w:rPr>
        <w:t xml:space="preserve"> </w:t>
      </w:r>
      <w:r w:rsidRPr="008B2CAC">
        <w:rPr>
          <w:sz w:val="22"/>
          <w:szCs w:val="22"/>
        </w:rPr>
        <w:t>njime</w:t>
      </w:r>
      <w:r w:rsidRPr="008B2CAC">
        <w:rPr>
          <w:sz w:val="22"/>
          <w:szCs w:val="22"/>
          <w:lang w:val="sr-Latn-ME"/>
        </w:rPr>
        <w:t xml:space="preserve"> </w:t>
      </w:r>
      <w:r w:rsidRPr="008B2CAC">
        <w:rPr>
          <w:sz w:val="22"/>
          <w:szCs w:val="22"/>
        </w:rPr>
        <w:t>detaljn</w:t>
      </w:r>
      <w:r w:rsidR="004E2978">
        <w:rPr>
          <w:sz w:val="22"/>
          <w:szCs w:val="22"/>
        </w:rPr>
        <w:t>o</w:t>
      </w:r>
      <w:r w:rsidRPr="008B2CAC">
        <w:rPr>
          <w:sz w:val="22"/>
          <w:szCs w:val="22"/>
          <w:lang w:val="sr-Latn-ME"/>
        </w:rPr>
        <w:t xml:space="preserve"> </w:t>
      </w:r>
      <w:r w:rsidRPr="008B2CAC">
        <w:rPr>
          <w:sz w:val="22"/>
          <w:szCs w:val="22"/>
        </w:rPr>
        <w:t>ure</w:t>
      </w:r>
      <w:r w:rsidRPr="008B2CAC">
        <w:rPr>
          <w:sz w:val="22"/>
          <w:szCs w:val="22"/>
          <w:lang w:val="sr-Latn-ME"/>
        </w:rPr>
        <w:t>đ</w:t>
      </w:r>
      <w:r w:rsidRPr="008B2CAC">
        <w:rPr>
          <w:sz w:val="22"/>
          <w:szCs w:val="22"/>
        </w:rPr>
        <w:t>eno</w:t>
      </w:r>
      <w:r w:rsidRPr="008B2CAC">
        <w:rPr>
          <w:sz w:val="22"/>
          <w:szCs w:val="22"/>
          <w:lang w:val="sr-Latn-ME"/>
        </w:rPr>
        <w:t xml:space="preserve"> </w:t>
      </w:r>
      <w:r w:rsidRPr="008B2CAC">
        <w:rPr>
          <w:sz w:val="22"/>
          <w:szCs w:val="22"/>
        </w:rPr>
        <w:t>unapre</w:t>
      </w:r>
      <w:r w:rsidRPr="008B2CAC">
        <w:rPr>
          <w:sz w:val="22"/>
          <w:szCs w:val="22"/>
          <w:lang w:val="sr-Latn-ME"/>
        </w:rPr>
        <w:t>đ</w:t>
      </w:r>
      <w:r w:rsidRPr="008B2CAC">
        <w:rPr>
          <w:sz w:val="22"/>
          <w:szCs w:val="22"/>
        </w:rPr>
        <w:t>enje</w:t>
      </w:r>
      <w:r w:rsidRPr="008B2CAC">
        <w:rPr>
          <w:sz w:val="22"/>
          <w:szCs w:val="22"/>
          <w:lang w:val="sr-Latn-ME"/>
        </w:rPr>
        <w:t xml:space="preserve"> </w:t>
      </w:r>
      <w:r w:rsidRPr="008B2CAC">
        <w:rPr>
          <w:sz w:val="22"/>
          <w:szCs w:val="22"/>
        </w:rPr>
        <w:t>IKT</w:t>
      </w:r>
      <w:r w:rsidRPr="008B2CAC">
        <w:rPr>
          <w:sz w:val="22"/>
          <w:szCs w:val="22"/>
          <w:lang w:val="sr-Latn-ME"/>
        </w:rPr>
        <w:t xml:space="preserve"> </w:t>
      </w:r>
      <w:r w:rsidRPr="008B2CAC">
        <w:rPr>
          <w:sz w:val="22"/>
          <w:szCs w:val="22"/>
        </w:rPr>
        <w:t>sistema</w:t>
      </w:r>
      <w:r w:rsidRPr="008B2CAC">
        <w:rPr>
          <w:sz w:val="22"/>
          <w:szCs w:val="22"/>
          <w:lang w:val="sr-Latn-ME"/>
        </w:rPr>
        <w:t xml:space="preserve"> </w:t>
      </w:r>
      <w:r w:rsidRPr="008B2CAC">
        <w:rPr>
          <w:sz w:val="22"/>
          <w:szCs w:val="22"/>
        </w:rPr>
        <w:t>u</w:t>
      </w:r>
      <w:r w:rsidRPr="008B2CAC">
        <w:rPr>
          <w:sz w:val="22"/>
          <w:szCs w:val="22"/>
          <w:lang w:val="sr-Latn-ME"/>
        </w:rPr>
        <w:t xml:space="preserve"> </w:t>
      </w:r>
      <w:r w:rsidRPr="008B2CAC">
        <w:rPr>
          <w:sz w:val="22"/>
          <w:szCs w:val="22"/>
        </w:rPr>
        <w:t>pravosu</w:t>
      </w:r>
      <w:r w:rsidRPr="008B2CAC">
        <w:rPr>
          <w:sz w:val="22"/>
          <w:szCs w:val="22"/>
          <w:lang w:val="sr-Latn-ME"/>
        </w:rPr>
        <w:t>đ</w:t>
      </w:r>
      <w:r w:rsidRPr="008B2CAC">
        <w:rPr>
          <w:sz w:val="22"/>
          <w:szCs w:val="22"/>
        </w:rPr>
        <w:t>u</w:t>
      </w:r>
      <w:r w:rsidRPr="008B2CAC">
        <w:rPr>
          <w:sz w:val="22"/>
          <w:szCs w:val="22"/>
          <w:lang w:val="sr-Latn-ME"/>
        </w:rPr>
        <w:t xml:space="preserve">, </w:t>
      </w:r>
      <w:r w:rsidRPr="008B2CAC">
        <w:rPr>
          <w:sz w:val="22"/>
          <w:szCs w:val="22"/>
        </w:rPr>
        <w:t>kao</w:t>
      </w:r>
      <w:r w:rsidRPr="008B2CAC">
        <w:rPr>
          <w:sz w:val="22"/>
          <w:szCs w:val="22"/>
          <w:lang w:val="sr-Latn-ME"/>
        </w:rPr>
        <w:t xml:space="preserve"> </w:t>
      </w:r>
      <w:r w:rsidRPr="008B2CAC">
        <w:rPr>
          <w:sz w:val="22"/>
          <w:szCs w:val="22"/>
        </w:rPr>
        <w:t>i</w:t>
      </w:r>
      <w:r w:rsidRPr="008B2CAC">
        <w:rPr>
          <w:sz w:val="22"/>
          <w:szCs w:val="22"/>
          <w:lang w:val="sr-Latn-ME"/>
        </w:rPr>
        <w:t xml:space="preserve"> </w:t>
      </w:r>
      <w:r w:rsidRPr="008B2CAC">
        <w:rPr>
          <w:sz w:val="22"/>
          <w:szCs w:val="22"/>
        </w:rPr>
        <w:t>da</w:t>
      </w:r>
      <w:r w:rsidRPr="008B2CAC">
        <w:rPr>
          <w:sz w:val="22"/>
          <w:szCs w:val="22"/>
          <w:lang w:val="sr-Latn-ME"/>
        </w:rPr>
        <w:t xml:space="preserve"> ć</w:t>
      </w:r>
      <w:r w:rsidRPr="008B2CAC">
        <w:rPr>
          <w:sz w:val="22"/>
          <w:szCs w:val="22"/>
        </w:rPr>
        <w:t>e</w:t>
      </w:r>
      <w:r w:rsidRPr="008B2CAC">
        <w:rPr>
          <w:sz w:val="22"/>
          <w:szCs w:val="22"/>
          <w:lang w:val="sr-Latn-ME"/>
        </w:rPr>
        <w:t xml:space="preserve"> </w:t>
      </w:r>
      <w:r w:rsidRPr="008B2CAC">
        <w:rPr>
          <w:sz w:val="22"/>
          <w:szCs w:val="22"/>
        </w:rPr>
        <w:t>na</w:t>
      </w:r>
      <w:r w:rsidRPr="008B2CAC">
        <w:rPr>
          <w:sz w:val="22"/>
          <w:szCs w:val="22"/>
          <w:lang w:val="sr-Latn-ME"/>
        </w:rPr>
        <w:t xml:space="preserve"> </w:t>
      </w:r>
      <w:r w:rsidRPr="008B2CAC">
        <w:rPr>
          <w:sz w:val="22"/>
          <w:szCs w:val="22"/>
        </w:rPr>
        <w:t>osnovama</w:t>
      </w:r>
      <w:r w:rsidRPr="008B2CAC">
        <w:rPr>
          <w:sz w:val="22"/>
          <w:szCs w:val="22"/>
          <w:lang w:val="sr-Latn-ME"/>
        </w:rPr>
        <w:t xml:space="preserve"> </w:t>
      </w:r>
      <w:r w:rsidRPr="008B2CAC">
        <w:rPr>
          <w:sz w:val="22"/>
          <w:szCs w:val="22"/>
        </w:rPr>
        <w:t>ostvarenih</w:t>
      </w:r>
      <w:r w:rsidRPr="008B2CAC">
        <w:rPr>
          <w:sz w:val="22"/>
          <w:szCs w:val="22"/>
          <w:lang w:val="sr-Latn-ME"/>
        </w:rPr>
        <w:t xml:space="preserve"> </w:t>
      </w:r>
      <w:r w:rsidRPr="008B2CAC">
        <w:rPr>
          <w:sz w:val="22"/>
          <w:szCs w:val="22"/>
        </w:rPr>
        <w:t>rezultata</w:t>
      </w:r>
      <w:r w:rsidRPr="008B2CAC">
        <w:rPr>
          <w:sz w:val="22"/>
          <w:szCs w:val="22"/>
          <w:lang w:val="sr-Latn-ME"/>
        </w:rPr>
        <w:t xml:space="preserve"> </w:t>
      </w:r>
      <w:r w:rsidRPr="008B2CAC">
        <w:rPr>
          <w:sz w:val="22"/>
          <w:szCs w:val="22"/>
        </w:rPr>
        <w:t>i</w:t>
      </w:r>
      <w:r w:rsidRPr="008B2CAC">
        <w:rPr>
          <w:sz w:val="22"/>
          <w:szCs w:val="22"/>
          <w:lang w:val="sr-Latn-ME"/>
        </w:rPr>
        <w:t xml:space="preserve"> </w:t>
      </w:r>
      <w:r w:rsidRPr="008B2CAC">
        <w:rPr>
          <w:sz w:val="22"/>
          <w:szCs w:val="22"/>
        </w:rPr>
        <w:t>preostalim</w:t>
      </w:r>
      <w:r w:rsidRPr="008B2CAC">
        <w:rPr>
          <w:sz w:val="22"/>
          <w:szCs w:val="22"/>
          <w:lang w:val="sr-Latn-ME"/>
        </w:rPr>
        <w:t xml:space="preserve"> </w:t>
      </w:r>
      <w:r w:rsidRPr="008B2CAC">
        <w:rPr>
          <w:sz w:val="22"/>
          <w:szCs w:val="22"/>
        </w:rPr>
        <w:t>izazovima</w:t>
      </w:r>
      <w:r w:rsidRPr="008B2CAC">
        <w:rPr>
          <w:sz w:val="22"/>
          <w:szCs w:val="22"/>
          <w:lang w:val="sr-Latn-ME"/>
        </w:rPr>
        <w:t xml:space="preserve"> </w:t>
      </w:r>
      <w:r w:rsidRPr="008B2CAC">
        <w:rPr>
          <w:sz w:val="22"/>
          <w:szCs w:val="22"/>
        </w:rPr>
        <w:t>biti</w:t>
      </w:r>
      <w:r w:rsidRPr="008B2CAC">
        <w:rPr>
          <w:sz w:val="22"/>
          <w:szCs w:val="22"/>
          <w:lang w:val="sr-Latn-ME"/>
        </w:rPr>
        <w:t xml:space="preserve"> </w:t>
      </w:r>
      <w:r w:rsidRPr="008B2CAC">
        <w:rPr>
          <w:sz w:val="22"/>
          <w:szCs w:val="22"/>
        </w:rPr>
        <w:t>izra</w:t>
      </w:r>
      <w:r w:rsidRPr="008B2CAC">
        <w:rPr>
          <w:sz w:val="22"/>
          <w:szCs w:val="22"/>
          <w:lang w:val="sr-Latn-ME"/>
        </w:rPr>
        <w:t>đ</w:t>
      </w:r>
      <w:r w:rsidRPr="008B2CAC">
        <w:rPr>
          <w:sz w:val="22"/>
          <w:szCs w:val="22"/>
        </w:rPr>
        <w:t>en</w:t>
      </w:r>
      <w:r w:rsidRPr="008B2CAC">
        <w:rPr>
          <w:sz w:val="22"/>
          <w:szCs w:val="22"/>
          <w:lang w:val="sr-Latn-ME"/>
        </w:rPr>
        <w:t xml:space="preserve"> </w:t>
      </w:r>
      <w:r w:rsidRPr="008B2CAC">
        <w:rPr>
          <w:sz w:val="22"/>
          <w:szCs w:val="22"/>
        </w:rPr>
        <w:t>novi</w:t>
      </w:r>
      <w:r w:rsidRPr="008B2CAC">
        <w:rPr>
          <w:sz w:val="22"/>
          <w:szCs w:val="22"/>
          <w:lang w:val="sr-Latn-ME"/>
        </w:rPr>
        <w:t xml:space="preserve"> </w:t>
      </w:r>
      <w:r w:rsidRPr="008B2CAC">
        <w:rPr>
          <w:sz w:val="22"/>
          <w:szCs w:val="22"/>
        </w:rPr>
        <w:t>vi</w:t>
      </w:r>
      <w:r w:rsidRPr="008B2CAC">
        <w:rPr>
          <w:sz w:val="22"/>
          <w:szCs w:val="22"/>
          <w:lang w:val="sr-Latn-ME"/>
        </w:rPr>
        <w:t>š</w:t>
      </w:r>
      <w:r w:rsidRPr="008B2CAC">
        <w:rPr>
          <w:sz w:val="22"/>
          <w:szCs w:val="22"/>
        </w:rPr>
        <w:t>egodi</w:t>
      </w:r>
      <w:r w:rsidRPr="008B2CAC">
        <w:rPr>
          <w:sz w:val="22"/>
          <w:szCs w:val="22"/>
          <w:lang w:val="sr-Latn-ME"/>
        </w:rPr>
        <w:t>š</w:t>
      </w:r>
      <w:r w:rsidRPr="008B2CAC">
        <w:rPr>
          <w:sz w:val="22"/>
          <w:szCs w:val="22"/>
        </w:rPr>
        <w:t>nji</w:t>
      </w:r>
      <w:r w:rsidRPr="008B2CAC">
        <w:rPr>
          <w:sz w:val="22"/>
          <w:szCs w:val="22"/>
          <w:lang w:val="sr-Latn-ME"/>
        </w:rPr>
        <w:t xml:space="preserve"> </w:t>
      </w:r>
      <w:r w:rsidRPr="008B2CAC">
        <w:rPr>
          <w:sz w:val="22"/>
          <w:szCs w:val="22"/>
        </w:rPr>
        <w:t>strate</w:t>
      </w:r>
      <w:r w:rsidRPr="008B2CAC">
        <w:rPr>
          <w:sz w:val="22"/>
          <w:szCs w:val="22"/>
          <w:lang w:val="sr-Latn-ME"/>
        </w:rPr>
        <w:t>š</w:t>
      </w:r>
      <w:r w:rsidRPr="008B2CAC">
        <w:rPr>
          <w:sz w:val="22"/>
          <w:szCs w:val="22"/>
        </w:rPr>
        <w:t>ki</w:t>
      </w:r>
      <w:r w:rsidRPr="008B2CAC">
        <w:rPr>
          <w:sz w:val="22"/>
          <w:szCs w:val="22"/>
          <w:lang w:val="sr-Latn-ME"/>
        </w:rPr>
        <w:t xml:space="preserve"> </w:t>
      </w:r>
      <w:r w:rsidRPr="008B2CAC">
        <w:rPr>
          <w:sz w:val="22"/>
          <w:szCs w:val="22"/>
        </w:rPr>
        <w:t>dokument</w:t>
      </w:r>
      <w:r w:rsidRPr="008B2CAC">
        <w:rPr>
          <w:sz w:val="22"/>
          <w:szCs w:val="22"/>
          <w:lang w:val="sr-Latn-ME"/>
        </w:rPr>
        <w:t xml:space="preserve"> </w:t>
      </w:r>
      <w:r w:rsidRPr="008B2CAC">
        <w:rPr>
          <w:sz w:val="22"/>
          <w:szCs w:val="22"/>
        </w:rPr>
        <w:t>koji</w:t>
      </w:r>
      <w:r w:rsidRPr="008B2CAC">
        <w:rPr>
          <w:sz w:val="22"/>
          <w:szCs w:val="22"/>
          <w:lang w:val="sr-Latn-ME"/>
        </w:rPr>
        <w:t xml:space="preserve"> ć</w:t>
      </w:r>
      <w:r w:rsidRPr="008B2CAC">
        <w:rPr>
          <w:sz w:val="22"/>
          <w:szCs w:val="22"/>
        </w:rPr>
        <w:t>e</w:t>
      </w:r>
      <w:r w:rsidRPr="008B2CAC">
        <w:rPr>
          <w:sz w:val="22"/>
          <w:szCs w:val="22"/>
          <w:lang w:val="sr-Latn-ME"/>
        </w:rPr>
        <w:t xml:space="preserve"> </w:t>
      </w:r>
      <w:r w:rsidRPr="008B2CAC">
        <w:rPr>
          <w:sz w:val="22"/>
          <w:szCs w:val="22"/>
        </w:rPr>
        <w:t>detaljn</w:t>
      </w:r>
      <w:r w:rsidR="004E2978">
        <w:rPr>
          <w:sz w:val="22"/>
          <w:szCs w:val="22"/>
        </w:rPr>
        <w:t>o</w:t>
      </w:r>
      <w:r w:rsidRPr="008B2CAC">
        <w:rPr>
          <w:sz w:val="22"/>
          <w:szCs w:val="22"/>
          <w:lang w:val="sr-Latn-ME"/>
        </w:rPr>
        <w:t xml:space="preserve"> </w:t>
      </w:r>
      <w:r w:rsidRPr="008B2CAC">
        <w:rPr>
          <w:sz w:val="22"/>
          <w:szCs w:val="22"/>
        </w:rPr>
        <w:t>razraditi</w:t>
      </w:r>
      <w:r w:rsidRPr="008B2CAC">
        <w:rPr>
          <w:sz w:val="22"/>
          <w:szCs w:val="22"/>
          <w:lang w:val="sr-Latn-ME"/>
        </w:rPr>
        <w:t xml:space="preserve"> </w:t>
      </w:r>
      <w:r w:rsidRPr="008B2CAC">
        <w:rPr>
          <w:sz w:val="22"/>
          <w:szCs w:val="22"/>
        </w:rPr>
        <w:t>adresiranje</w:t>
      </w:r>
      <w:r w:rsidRPr="008B2CAC">
        <w:rPr>
          <w:sz w:val="22"/>
          <w:szCs w:val="22"/>
          <w:lang w:val="sr-Latn-ME"/>
        </w:rPr>
        <w:t xml:space="preserve"> </w:t>
      </w:r>
      <w:r w:rsidRPr="008B2CAC">
        <w:rPr>
          <w:sz w:val="22"/>
          <w:szCs w:val="22"/>
        </w:rPr>
        <w:t>potreba</w:t>
      </w:r>
      <w:r w:rsidRPr="008B2CAC">
        <w:rPr>
          <w:sz w:val="22"/>
          <w:szCs w:val="22"/>
          <w:lang w:val="sr-Latn-ME"/>
        </w:rPr>
        <w:t xml:space="preserve"> </w:t>
      </w:r>
      <w:r w:rsidRPr="008B2CAC">
        <w:rPr>
          <w:sz w:val="22"/>
          <w:szCs w:val="22"/>
        </w:rPr>
        <w:t>osnovne</w:t>
      </w:r>
      <w:r w:rsidRPr="008B2CAC">
        <w:rPr>
          <w:sz w:val="22"/>
          <w:szCs w:val="22"/>
          <w:lang w:val="sr-Latn-ME"/>
        </w:rPr>
        <w:t xml:space="preserve"> </w:t>
      </w:r>
      <w:r w:rsidRPr="008B2CAC">
        <w:rPr>
          <w:sz w:val="22"/>
          <w:szCs w:val="22"/>
        </w:rPr>
        <w:t>pravde</w:t>
      </w:r>
      <w:r w:rsidRPr="008B2CAC">
        <w:rPr>
          <w:sz w:val="22"/>
          <w:szCs w:val="22"/>
          <w:lang w:val="sr-Latn-ME"/>
        </w:rPr>
        <w:t xml:space="preserve"> </w:t>
      </w:r>
      <w:r w:rsidRPr="008B2CAC">
        <w:rPr>
          <w:sz w:val="22"/>
          <w:szCs w:val="22"/>
        </w:rPr>
        <w:t>definis</w:t>
      </w:r>
      <w:r w:rsidR="00A075F3" w:rsidRPr="008B2CAC">
        <w:rPr>
          <w:sz w:val="22"/>
          <w:szCs w:val="22"/>
        </w:rPr>
        <w:t>anih</w:t>
      </w:r>
      <w:r w:rsidR="00A075F3" w:rsidRPr="008B2CAC">
        <w:rPr>
          <w:sz w:val="22"/>
          <w:szCs w:val="22"/>
          <w:lang w:val="sr-Latn-ME"/>
        </w:rPr>
        <w:t xml:space="preserve"> </w:t>
      </w:r>
      <w:r w:rsidR="00A075F3" w:rsidRPr="008B2CAC">
        <w:rPr>
          <w:sz w:val="22"/>
          <w:szCs w:val="22"/>
        </w:rPr>
        <w:t>i</w:t>
      </w:r>
      <w:r w:rsidR="00A075F3" w:rsidRPr="008B2CAC">
        <w:rPr>
          <w:sz w:val="22"/>
          <w:szCs w:val="22"/>
          <w:lang w:val="sr-Latn-ME"/>
        </w:rPr>
        <w:t xml:space="preserve"> </w:t>
      </w:r>
      <w:r w:rsidR="00A075F3" w:rsidRPr="008B2CAC">
        <w:rPr>
          <w:sz w:val="22"/>
          <w:szCs w:val="22"/>
        </w:rPr>
        <w:t>ovom</w:t>
      </w:r>
      <w:r w:rsidR="00A075F3" w:rsidRPr="008B2CAC">
        <w:rPr>
          <w:sz w:val="22"/>
          <w:szCs w:val="22"/>
          <w:lang w:val="sr-Latn-ME"/>
        </w:rPr>
        <w:t xml:space="preserve"> </w:t>
      </w:r>
      <w:r w:rsidR="00A075F3" w:rsidRPr="008B2CAC">
        <w:rPr>
          <w:sz w:val="22"/>
          <w:szCs w:val="22"/>
        </w:rPr>
        <w:t>Strategijom</w:t>
      </w:r>
      <w:r w:rsidR="00A075F3" w:rsidRPr="008B2CAC">
        <w:rPr>
          <w:sz w:val="22"/>
          <w:szCs w:val="22"/>
          <w:lang w:val="sr-Latn-ME"/>
        </w:rPr>
        <w:t>, č</w:t>
      </w:r>
      <w:r w:rsidR="00A075F3" w:rsidRPr="008B2CAC">
        <w:rPr>
          <w:sz w:val="22"/>
          <w:szCs w:val="22"/>
        </w:rPr>
        <w:t>ini</w:t>
      </w:r>
      <w:r w:rsidR="00A075F3" w:rsidRPr="008B2CAC">
        <w:rPr>
          <w:sz w:val="22"/>
          <w:szCs w:val="22"/>
          <w:lang w:val="sr-Latn-ME"/>
        </w:rPr>
        <w:t xml:space="preserve"> </w:t>
      </w:r>
      <w:r w:rsidR="00A075F3" w:rsidRPr="008B2CAC">
        <w:rPr>
          <w:sz w:val="22"/>
          <w:szCs w:val="22"/>
        </w:rPr>
        <w:t>ga</w:t>
      </w:r>
      <w:r w:rsidR="00A075F3" w:rsidRPr="008B2CAC">
        <w:rPr>
          <w:sz w:val="22"/>
          <w:szCs w:val="22"/>
          <w:lang w:val="sr-Latn-ME"/>
        </w:rPr>
        <w:t xml:space="preserve"> </w:t>
      </w:r>
      <w:r w:rsidR="00A075F3" w:rsidRPr="008B2CAC">
        <w:rPr>
          <w:sz w:val="22"/>
          <w:szCs w:val="22"/>
        </w:rPr>
        <w:t>relevantnim</w:t>
      </w:r>
      <w:r w:rsidR="00A075F3" w:rsidRPr="008B2CAC">
        <w:rPr>
          <w:sz w:val="22"/>
          <w:szCs w:val="22"/>
          <w:lang w:val="sr-Latn-ME"/>
        </w:rPr>
        <w:t xml:space="preserve"> </w:t>
      </w:r>
      <w:r w:rsidR="00A075F3" w:rsidRPr="008B2CAC">
        <w:rPr>
          <w:sz w:val="22"/>
          <w:szCs w:val="22"/>
        </w:rPr>
        <w:t>za</w:t>
      </w:r>
      <w:r w:rsidR="00A075F3" w:rsidRPr="008B2CAC">
        <w:rPr>
          <w:sz w:val="22"/>
          <w:szCs w:val="22"/>
          <w:lang w:val="sr-Latn-ME"/>
        </w:rPr>
        <w:t xml:space="preserve"> </w:t>
      </w:r>
      <w:r w:rsidR="00A075F3" w:rsidRPr="008B2CAC">
        <w:rPr>
          <w:sz w:val="22"/>
          <w:szCs w:val="22"/>
        </w:rPr>
        <w:t>sadr</w:t>
      </w:r>
      <w:r w:rsidR="00A075F3" w:rsidRPr="008B2CAC">
        <w:rPr>
          <w:sz w:val="22"/>
          <w:szCs w:val="22"/>
          <w:lang w:val="sr-Latn-ME"/>
        </w:rPr>
        <w:t>ž</w:t>
      </w:r>
      <w:r w:rsidR="00A075F3" w:rsidRPr="008B2CAC">
        <w:rPr>
          <w:sz w:val="22"/>
          <w:szCs w:val="22"/>
        </w:rPr>
        <w:t>inu</w:t>
      </w:r>
      <w:r w:rsidR="00A075F3" w:rsidRPr="008B2CAC">
        <w:rPr>
          <w:sz w:val="22"/>
          <w:szCs w:val="22"/>
          <w:lang w:val="sr-Latn-ME"/>
        </w:rPr>
        <w:t xml:space="preserve"> </w:t>
      </w:r>
      <w:r w:rsidR="00A075F3" w:rsidRPr="008B2CAC">
        <w:rPr>
          <w:sz w:val="22"/>
          <w:szCs w:val="22"/>
        </w:rPr>
        <w:t>Strategije</w:t>
      </w:r>
      <w:r w:rsidR="00A075F3" w:rsidRPr="008B2CAC">
        <w:rPr>
          <w:sz w:val="22"/>
          <w:szCs w:val="22"/>
          <w:lang w:val="sr-Latn-ME"/>
        </w:rPr>
        <w:t>.</w:t>
      </w:r>
    </w:p>
    <w:p w14:paraId="6BAF948E" w14:textId="40149991" w:rsidR="00504104" w:rsidRPr="008B2CAC" w:rsidRDefault="005A310D" w:rsidP="008B2CAC">
      <w:pPr>
        <w:pStyle w:val="Default"/>
        <w:spacing w:after="240" w:line="276" w:lineRule="auto"/>
        <w:jc w:val="both"/>
        <w:rPr>
          <w:rFonts w:asciiTheme="minorHAnsi" w:hAnsiTheme="minorHAnsi" w:cstheme="minorHAnsi"/>
          <w:sz w:val="22"/>
          <w:szCs w:val="22"/>
          <w:lang w:val="sr-Latn-ME"/>
        </w:rPr>
      </w:pPr>
      <w:r w:rsidRPr="008B2CAC">
        <w:rPr>
          <w:rFonts w:asciiTheme="minorHAnsi" w:hAnsiTheme="minorHAnsi" w:cstheme="minorHAnsi"/>
          <w:sz w:val="22"/>
          <w:szCs w:val="22"/>
          <w:lang w:val="sr-Latn-ME"/>
        </w:rPr>
        <w:t xml:space="preserve">Kada je riječ o </w:t>
      </w:r>
      <w:r w:rsidRPr="008B2CAC">
        <w:rPr>
          <w:rFonts w:asciiTheme="minorHAnsi" w:hAnsiTheme="minorHAnsi" w:cstheme="minorHAnsi"/>
          <w:b/>
          <w:bCs/>
          <w:sz w:val="22"/>
          <w:szCs w:val="22"/>
          <w:lang w:val="sr-Latn-ME"/>
        </w:rPr>
        <w:t>usklađenosti Strategije sa procesom evropskih integracija</w:t>
      </w:r>
      <w:r w:rsidR="0085006A" w:rsidRPr="008B2CAC">
        <w:rPr>
          <w:rFonts w:asciiTheme="minorHAnsi" w:hAnsiTheme="minorHAnsi" w:cstheme="minorHAnsi"/>
          <w:b/>
          <w:bCs/>
          <w:sz w:val="22"/>
          <w:szCs w:val="22"/>
          <w:lang w:val="sr-Latn-ME"/>
        </w:rPr>
        <w:t xml:space="preserve"> i dokumentima javnih politika u ovoj oblasti</w:t>
      </w:r>
      <w:r w:rsidRPr="008B2CAC">
        <w:rPr>
          <w:rFonts w:asciiTheme="minorHAnsi" w:hAnsiTheme="minorHAnsi" w:cstheme="minorHAnsi"/>
          <w:sz w:val="22"/>
          <w:szCs w:val="22"/>
          <w:lang w:val="sr-Latn-ME"/>
        </w:rPr>
        <w:t>,</w:t>
      </w:r>
      <w:r w:rsidR="00565678" w:rsidRPr="008B2CAC">
        <w:rPr>
          <w:rFonts w:asciiTheme="minorHAnsi" w:hAnsiTheme="minorHAnsi" w:cstheme="minorHAnsi"/>
          <w:sz w:val="22"/>
          <w:szCs w:val="22"/>
          <w:lang w:val="sr-Latn-ME"/>
        </w:rPr>
        <w:t xml:space="preserve"> </w:t>
      </w:r>
      <w:r w:rsidR="00565678" w:rsidRPr="008B2CAC">
        <w:rPr>
          <w:b/>
          <w:bCs/>
          <w:sz w:val="22"/>
          <w:szCs w:val="22"/>
          <w:lang w:val="sr-Latn-ME"/>
        </w:rPr>
        <w:t>Programom pristupanja Crne Gore Evropskoj uniji 202</w:t>
      </w:r>
      <w:r w:rsidR="007E19EA">
        <w:rPr>
          <w:b/>
          <w:bCs/>
          <w:sz w:val="22"/>
          <w:szCs w:val="22"/>
          <w:lang w:val="sr-Latn-ME"/>
        </w:rPr>
        <w:t>3</w:t>
      </w:r>
      <w:r w:rsidR="00565678" w:rsidRPr="008B2CAC">
        <w:rPr>
          <w:b/>
          <w:bCs/>
          <w:sz w:val="22"/>
          <w:szCs w:val="22"/>
          <w:lang w:val="sr-Latn-ME"/>
        </w:rPr>
        <w:t xml:space="preserve"> – 202</w:t>
      </w:r>
      <w:r w:rsidR="007E19EA">
        <w:rPr>
          <w:b/>
          <w:bCs/>
          <w:sz w:val="22"/>
          <w:szCs w:val="22"/>
          <w:lang w:val="sr-Latn-ME"/>
        </w:rPr>
        <w:t>4</w:t>
      </w:r>
      <w:r w:rsidR="00565678" w:rsidRPr="008B2CAC">
        <w:rPr>
          <w:sz w:val="22"/>
          <w:szCs w:val="22"/>
          <w:lang w:val="sr-Latn-ME"/>
        </w:rPr>
        <w:t>.</w:t>
      </w:r>
      <w:r w:rsidR="00565678" w:rsidRPr="008B2CAC">
        <w:rPr>
          <w:rStyle w:val="FootnoteReference"/>
          <w:sz w:val="22"/>
          <w:szCs w:val="22"/>
          <w:lang w:val="sr-Latn-ME"/>
        </w:rPr>
        <w:footnoteReference w:id="9"/>
      </w:r>
      <w:r w:rsidR="00565678" w:rsidRPr="008B2CAC">
        <w:rPr>
          <w:sz w:val="22"/>
          <w:szCs w:val="22"/>
          <w:lang w:val="sr-Latn-ME"/>
        </w:rPr>
        <w:t xml:space="preserve"> predviđeno </w:t>
      </w:r>
      <w:r w:rsidR="007E19EA">
        <w:rPr>
          <w:sz w:val="22"/>
          <w:szCs w:val="22"/>
          <w:lang w:val="sr-Latn-ME"/>
        </w:rPr>
        <w:t xml:space="preserve">je </w:t>
      </w:r>
      <w:r w:rsidR="00565678" w:rsidRPr="008B2CAC">
        <w:rPr>
          <w:sz w:val="22"/>
          <w:szCs w:val="22"/>
          <w:lang w:val="sr-Latn-ME"/>
        </w:rPr>
        <w:t>usvajanje nove Strategije</w:t>
      </w:r>
      <w:r w:rsidR="007E19EA">
        <w:rPr>
          <w:sz w:val="22"/>
          <w:szCs w:val="22"/>
          <w:lang w:val="sr-Latn-ME"/>
        </w:rPr>
        <w:t xml:space="preserve">. </w:t>
      </w:r>
      <w:r w:rsidR="00565678" w:rsidRPr="008B2CAC">
        <w:rPr>
          <w:sz w:val="22"/>
          <w:szCs w:val="22"/>
          <w:lang w:val="sr-Latn-ME"/>
        </w:rPr>
        <w:t xml:space="preserve"> Programom rada Vlad</w:t>
      </w:r>
      <w:r w:rsidR="001C3F86" w:rsidRPr="008B2CAC">
        <w:rPr>
          <w:sz w:val="22"/>
          <w:szCs w:val="22"/>
          <w:lang w:val="sr-Latn-ME"/>
        </w:rPr>
        <w:t>e</w:t>
      </w:r>
      <w:r w:rsidR="00565678" w:rsidRPr="008B2CAC">
        <w:rPr>
          <w:sz w:val="22"/>
          <w:szCs w:val="22"/>
          <w:lang w:val="sr-Latn-ME"/>
        </w:rPr>
        <w:t xml:space="preserve"> predviđeno da se naredna Strategija usvaja za period počev od 2024. godine. </w:t>
      </w:r>
      <w:r w:rsidR="00565678" w:rsidRPr="008B2CAC">
        <w:rPr>
          <w:rFonts w:asciiTheme="minorHAnsi" w:hAnsiTheme="minorHAnsi" w:cstheme="minorHAnsi"/>
          <w:sz w:val="22"/>
          <w:szCs w:val="22"/>
          <w:lang w:val="sr-Latn-ME"/>
        </w:rPr>
        <w:t>V</w:t>
      </w:r>
      <w:r w:rsidRPr="008B2CAC">
        <w:rPr>
          <w:rFonts w:asciiTheme="minorHAnsi" w:hAnsiTheme="minorHAnsi" w:cstheme="minorHAnsi"/>
          <w:sz w:val="22"/>
          <w:szCs w:val="22"/>
          <w:lang w:val="sr-Latn-ME"/>
        </w:rPr>
        <w:t xml:space="preserve">ažno je naglasiti da ovaj dokument predstavlja jedan od ključnih stubova reformi čije je sprovođenje neophodno radi dostizanja 16 </w:t>
      </w:r>
      <w:r w:rsidRPr="008B2CAC">
        <w:rPr>
          <w:rFonts w:asciiTheme="minorHAnsi" w:hAnsiTheme="minorHAnsi" w:cstheme="minorHAnsi"/>
          <w:b/>
          <w:bCs/>
          <w:sz w:val="22"/>
          <w:szCs w:val="22"/>
          <w:lang w:val="sr-Latn-ME"/>
        </w:rPr>
        <w:t>privremenih mjerila definisanih u okviru Zajedničke pregovaračke pozicije za Poglavlje 23</w:t>
      </w:r>
      <w:r w:rsidRPr="008B2CAC">
        <w:rPr>
          <w:rFonts w:asciiTheme="minorHAnsi" w:hAnsiTheme="minorHAnsi" w:cstheme="minorHAnsi"/>
          <w:sz w:val="22"/>
          <w:szCs w:val="22"/>
          <w:lang w:val="sr-Latn-ME"/>
        </w:rPr>
        <w:t>,</w:t>
      </w:r>
      <w:r w:rsidRPr="008B2CAC">
        <w:rPr>
          <w:rStyle w:val="FootnoteReference"/>
          <w:rFonts w:asciiTheme="minorHAnsi" w:hAnsiTheme="minorHAnsi" w:cstheme="minorHAnsi"/>
          <w:sz w:val="22"/>
          <w:szCs w:val="22"/>
          <w:lang w:val="sr-Latn-ME"/>
        </w:rPr>
        <w:footnoteReference w:id="10"/>
      </w:r>
      <w:r w:rsidRPr="008B2CAC">
        <w:rPr>
          <w:rFonts w:asciiTheme="minorHAnsi" w:hAnsiTheme="minorHAnsi" w:cstheme="minorHAnsi"/>
          <w:sz w:val="22"/>
          <w:szCs w:val="22"/>
          <w:lang w:val="sr-Latn-ME"/>
        </w:rPr>
        <w:t xml:space="preserve"> kojom je ispravno prepoznata potreba za strateškim pristupom i kontinuitetom reformskih procesa u ovoj oblasti.</w:t>
      </w:r>
    </w:p>
    <w:p w14:paraId="48D99786" w14:textId="124A649F" w:rsidR="00004F17" w:rsidRPr="00004F17" w:rsidRDefault="00004F17" w:rsidP="004E2978">
      <w:pPr>
        <w:spacing w:line="276" w:lineRule="auto"/>
        <w:jc w:val="both"/>
        <w:rPr>
          <w:lang w:val="bs-Latn-BA"/>
        </w:rPr>
      </w:pPr>
      <w:r w:rsidRPr="00004F17">
        <w:rPr>
          <w:lang w:val="bs-Latn-BA"/>
        </w:rPr>
        <w:t>Pored toga, za planiranje daljih koraka u ovoj oblasti relevantan je i čitav niz privremenih mjerila predviđenih Zajedničkom pregovaračkom pozicijom za Poglavlje 24.</w:t>
      </w:r>
      <w:r>
        <w:rPr>
          <w:rStyle w:val="FootnoteReference"/>
          <w:lang w:val="bs-Latn-BA"/>
        </w:rPr>
        <w:footnoteReference w:id="11"/>
      </w:r>
    </w:p>
    <w:p w14:paraId="6A14F92A" w14:textId="185C1461" w:rsidR="005A310D" w:rsidRDefault="0085006A" w:rsidP="00210958">
      <w:pPr>
        <w:pStyle w:val="Default"/>
        <w:spacing w:after="240" w:line="276" w:lineRule="auto"/>
        <w:jc w:val="both"/>
        <w:rPr>
          <w:sz w:val="22"/>
          <w:szCs w:val="22"/>
          <w:lang w:val="sr-Latn-ME"/>
        </w:rPr>
      </w:pPr>
      <w:r w:rsidRPr="00565678">
        <w:rPr>
          <w:rFonts w:asciiTheme="minorHAnsi" w:hAnsiTheme="minorHAnsi" w:cstheme="minorHAnsi"/>
          <w:sz w:val="22"/>
          <w:szCs w:val="22"/>
          <w:lang w:val="sr-Latn-ME"/>
        </w:rPr>
        <w:t xml:space="preserve">Imajući ovo u vidu, </w:t>
      </w:r>
      <w:r w:rsidR="005A310D" w:rsidRPr="00565678">
        <w:rPr>
          <w:sz w:val="22"/>
          <w:szCs w:val="22"/>
          <w:lang w:val="sr-Latn-ME"/>
        </w:rPr>
        <w:t xml:space="preserve">ovim dokumentom prepoznati i adresirani ključni izazovi, nalazi i preporuke koji proističu iz integracionog procesa Crne Gore u EU i njenih međunarodnih obaveza u okviru pregovaračkog procesa u Poglavlju 23. U procesu razvoja novog strateškog dokumenta, neophodno je, između ostalog, uzeti u obzir i </w:t>
      </w:r>
      <w:r w:rsidR="005A310D" w:rsidRPr="00504104">
        <w:rPr>
          <w:b/>
          <w:bCs/>
          <w:sz w:val="22"/>
          <w:szCs w:val="22"/>
          <w:lang w:val="sr-Latn-ME"/>
        </w:rPr>
        <w:t>ocjene Evropske komisije o ostvarenom napretku</w:t>
      </w:r>
      <w:r w:rsidR="005A310D" w:rsidRPr="00565678">
        <w:rPr>
          <w:sz w:val="22"/>
          <w:szCs w:val="22"/>
          <w:lang w:val="sr-Latn-ME"/>
        </w:rPr>
        <w:t xml:space="preserve"> u oblasti reforme pravosuđa u okviru Poglavlja 23.</w:t>
      </w:r>
      <w:r w:rsidR="005A310D" w:rsidRPr="00565678">
        <w:rPr>
          <w:rStyle w:val="FootnoteReference"/>
          <w:sz w:val="22"/>
          <w:szCs w:val="22"/>
          <w:lang w:val="sr-Latn-ME"/>
        </w:rPr>
        <w:footnoteReference w:id="12"/>
      </w:r>
      <w:r w:rsidR="005A310D" w:rsidRPr="00565678">
        <w:rPr>
          <w:sz w:val="22"/>
          <w:szCs w:val="22"/>
          <w:lang w:val="sr-Latn-ME"/>
        </w:rPr>
        <w:t xml:space="preserve"> Ipak</w:t>
      </w:r>
      <w:r w:rsidR="00565678" w:rsidRPr="00565678">
        <w:rPr>
          <w:sz w:val="22"/>
          <w:szCs w:val="22"/>
          <w:lang w:val="sr-Latn-ME"/>
        </w:rPr>
        <w:t>,</w:t>
      </w:r>
      <w:r w:rsidR="005A310D" w:rsidRPr="00565678">
        <w:rPr>
          <w:sz w:val="22"/>
          <w:szCs w:val="22"/>
          <w:lang w:val="sr-Latn-ME"/>
        </w:rPr>
        <w:t xml:space="preserve"> ne treba zanemariti činjenicu da uloga nacionalnih strateških dokumenata nije </w:t>
      </w:r>
      <w:r w:rsidR="005A310D" w:rsidRPr="00565678">
        <w:rPr>
          <w:sz w:val="22"/>
          <w:szCs w:val="22"/>
          <w:lang w:val="sr-Latn-ME"/>
        </w:rPr>
        <w:lastRenderedPageBreak/>
        <w:t>adresiranje, isključivo, prioriteta prepoznatih od strane Evropske komisije, već sveobuhvatni pristup unaprjeđenju stanja u pravosuđu, u skladu sa detaljnom procjenom stanja i identifikacijom izazova.</w:t>
      </w:r>
      <w:r w:rsidR="005A310D" w:rsidRPr="009A613C">
        <w:rPr>
          <w:sz w:val="22"/>
          <w:szCs w:val="22"/>
          <w:lang w:val="sr-Latn-ME"/>
        </w:rPr>
        <w:t xml:space="preserve">  </w:t>
      </w:r>
    </w:p>
    <w:p w14:paraId="0C5C9DF3" w14:textId="01B584B5" w:rsidR="00253C34" w:rsidRDefault="00253C34" w:rsidP="00210958">
      <w:pPr>
        <w:pStyle w:val="Default"/>
        <w:spacing w:after="240" w:line="276" w:lineRule="auto"/>
        <w:jc w:val="both"/>
        <w:rPr>
          <w:sz w:val="22"/>
          <w:szCs w:val="22"/>
          <w:lang w:val="sr-Latn-ME"/>
        </w:rPr>
      </w:pPr>
      <w:r>
        <w:rPr>
          <w:sz w:val="22"/>
          <w:szCs w:val="22"/>
          <w:lang w:val="sr-Latn-ME"/>
        </w:rPr>
        <w:t xml:space="preserve">Pored navedenog, reformski prioriteti i ciljevi u ovoj Strategiji u velikoj mjeri su uslovljeni potrebom za punim usaglašavanjem sa relevantnim međunarodnim univerzalnim i regionalnim standardima konkretizovanim kroz preporuke </w:t>
      </w:r>
      <w:r w:rsidRPr="002047E8">
        <w:rPr>
          <w:b/>
          <w:bCs/>
          <w:sz w:val="22"/>
          <w:szCs w:val="22"/>
          <w:lang w:val="sr-Latn-ME"/>
        </w:rPr>
        <w:t>UN ugovornih tijela</w:t>
      </w:r>
      <w:r>
        <w:rPr>
          <w:sz w:val="22"/>
          <w:szCs w:val="22"/>
          <w:lang w:val="sr-Latn-ME"/>
        </w:rPr>
        <w:t xml:space="preserve"> (CRC</w:t>
      </w:r>
      <w:r w:rsidR="002047E8">
        <w:rPr>
          <w:sz w:val="22"/>
          <w:szCs w:val="22"/>
          <w:lang w:val="sr-Latn-ME"/>
        </w:rPr>
        <w:t xml:space="preserve">, </w:t>
      </w:r>
      <w:r w:rsidR="00CD080D">
        <w:rPr>
          <w:sz w:val="22"/>
          <w:szCs w:val="22"/>
          <w:lang w:val="sr-Latn-ME"/>
        </w:rPr>
        <w:t xml:space="preserve">HRCttee, </w:t>
      </w:r>
      <w:r w:rsidR="0068254C">
        <w:rPr>
          <w:sz w:val="22"/>
          <w:szCs w:val="22"/>
          <w:lang w:val="sr-Latn-ME"/>
        </w:rPr>
        <w:t xml:space="preserve">CCPR, </w:t>
      </w:r>
      <w:r>
        <w:rPr>
          <w:sz w:val="22"/>
          <w:szCs w:val="22"/>
          <w:lang w:val="sr-Latn-ME"/>
        </w:rPr>
        <w:t xml:space="preserve">CEDOW, CAT, CED, SPT, CRPD) </w:t>
      </w:r>
      <w:r w:rsidR="002047E8">
        <w:rPr>
          <w:sz w:val="22"/>
          <w:szCs w:val="22"/>
          <w:lang w:val="sr-Latn-ME"/>
        </w:rPr>
        <w:t xml:space="preserve">kao i ugovornih i ekspertskih tijela </w:t>
      </w:r>
      <w:r w:rsidR="004E2978">
        <w:rPr>
          <w:sz w:val="22"/>
          <w:szCs w:val="22"/>
          <w:lang w:val="sr-Latn-ME"/>
        </w:rPr>
        <w:t>S</w:t>
      </w:r>
      <w:r w:rsidR="002047E8">
        <w:rPr>
          <w:sz w:val="22"/>
          <w:szCs w:val="22"/>
          <w:lang w:val="sr-Latn-ME"/>
        </w:rPr>
        <w:t>avjeta Evrope (</w:t>
      </w:r>
      <w:r w:rsidRPr="002047E8">
        <w:rPr>
          <w:b/>
          <w:bCs/>
          <w:sz w:val="22"/>
          <w:szCs w:val="22"/>
          <w:lang w:val="sr-Latn-ME"/>
        </w:rPr>
        <w:t>Venecijansk</w:t>
      </w:r>
      <w:r w:rsidR="002047E8">
        <w:rPr>
          <w:b/>
          <w:bCs/>
          <w:sz w:val="22"/>
          <w:szCs w:val="22"/>
          <w:lang w:val="sr-Latn-ME"/>
        </w:rPr>
        <w:t>a</w:t>
      </w:r>
      <w:r w:rsidRPr="002047E8">
        <w:rPr>
          <w:b/>
          <w:bCs/>
          <w:sz w:val="22"/>
          <w:szCs w:val="22"/>
          <w:lang w:val="sr-Latn-ME"/>
        </w:rPr>
        <w:t xml:space="preserve"> komisij</w:t>
      </w:r>
      <w:r w:rsidR="002047E8">
        <w:rPr>
          <w:b/>
          <w:bCs/>
          <w:sz w:val="22"/>
          <w:szCs w:val="22"/>
          <w:lang w:val="sr-Latn-ME"/>
        </w:rPr>
        <w:t>a</w:t>
      </w:r>
      <w:r w:rsidR="00D33473">
        <w:rPr>
          <w:rStyle w:val="FootnoteReference"/>
          <w:b/>
          <w:bCs/>
          <w:sz w:val="22"/>
          <w:szCs w:val="22"/>
          <w:lang w:val="sr-Latn-ME"/>
        </w:rPr>
        <w:footnoteReference w:id="13"/>
      </w:r>
      <w:r>
        <w:rPr>
          <w:sz w:val="22"/>
          <w:szCs w:val="22"/>
          <w:lang w:val="sr-Latn-ME"/>
        </w:rPr>
        <w:t xml:space="preserve">, </w:t>
      </w:r>
      <w:r w:rsidRPr="002047E8">
        <w:rPr>
          <w:b/>
          <w:bCs/>
          <w:sz w:val="22"/>
          <w:szCs w:val="22"/>
          <w:lang w:val="sr-Latn-ME"/>
        </w:rPr>
        <w:t>GRECO</w:t>
      </w:r>
      <w:r w:rsidR="00B31278">
        <w:rPr>
          <w:rStyle w:val="FootnoteReference"/>
          <w:b/>
          <w:bCs/>
          <w:sz w:val="22"/>
          <w:szCs w:val="22"/>
          <w:lang w:val="sr-Latn-ME"/>
        </w:rPr>
        <w:footnoteReference w:id="14"/>
      </w:r>
      <w:r w:rsidRPr="002047E8">
        <w:rPr>
          <w:b/>
          <w:bCs/>
          <w:sz w:val="22"/>
          <w:szCs w:val="22"/>
          <w:lang w:val="sr-Latn-ME"/>
        </w:rPr>
        <w:t>, GRETA</w:t>
      </w:r>
      <w:r w:rsidR="005727C5">
        <w:rPr>
          <w:rStyle w:val="FootnoteReference"/>
          <w:b/>
          <w:bCs/>
          <w:sz w:val="22"/>
          <w:szCs w:val="22"/>
          <w:lang w:val="sr-Latn-ME"/>
        </w:rPr>
        <w:footnoteReference w:id="15"/>
      </w:r>
      <w:r w:rsidRPr="002047E8">
        <w:rPr>
          <w:b/>
          <w:bCs/>
          <w:sz w:val="22"/>
          <w:szCs w:val="22"/>
          <w:lang w:val="sr-Latn-ME"/>
        </w:rPr>
        <w:t xml:space="preserve">, </w:t>
      </w:r>
      <w:r w:rsidR="001756FA">
        <w:rPr>
          <w:b/>
          <w:bCs/>
          <w:sz w:val="22"/>
          <w:szCs w:val="22"/>
          <w:lang w:val="sr-Latn-ME"/>
        </w:rPr>
        <w:t>GREVIO</w:t>
      </w:r>
      <w:r w:rsidR="001756FA">
        <w:rPr>
          <w:rStyle w:val="FootnoteReference"/>
          <w:b/>
          <w:bCs/>
          <w:sz w:val="22"/>
          <w:szCs w:val="22"/>
          <w:lang w:val="sr-Latn-ME"/>
        </w:rPr>
        <w:footnoteReference w:id="16"/>
      </w:r>
      <w:r w:rsidR="001756FA">
        <w:rPr>
          <w:b/>
          <w:bCs/>
          <w:sz w:val="22"/>
          <w:szCs w:val="22"/>
          <w:lang w:val="sr-Latn-ME"/>
        </w:rPr>
        <w:t xml:space="preserve">, </w:t>
      </w:r>
      <w:r w:rsidR="002047E8" w:rsidRPr="002047E8">
        <w:rPr>
          <w:rFonts w:asciiTheme="minorHAnsi" w:hAnsiTheme="minorHAnsi" w:cstheme="minorHAnsi"/>
          <w:b/>
          <w:bCs/>
          <w:iCs/>
          <w:noProof/>
          <w:sz w:val="22"/>
          <w:szCs w:val="22"/>
          <w:lang w:val="sr-Latn-ME"/>
        </w:rPr>
        <w:t>MONEYVAL</w:t>
      </w:r>
      <w:r w:rsidR="00C50B01">
        <w:rPr>
          <w:rStyle w:val="FootnoteReference"/>
          <w:rFonts w:asciiTheme="minorHAnsi" w:hAnsiTheme="minorHAnsi" w:cstheme="minorHAnsi"/>
          <w:b/>
          <w:bCs/>
          <w:iCs/>
          <w:noProof/>
          <w:sz w:val="22"/>
          <w:szCs w:val="22"/>
          <w:lang w:val="sr-Latn-ME"/>
        </w:rPr>
        <w:footnoteReference w:id="17"/>
      </w:r>
      <w:r w:rsidR="002047E8" w:rsidRPr="002047E8">
        <w:rPr>
          <w:rFonts w:asciiTheme="minorHAnsi" w:hAnsiTheme="minorHAnsi" w:cstheme="minorHAnsi"/>
          <w:b/>
          <w:bCs/>
          <w:iCs/>
          <w:sz w:val="22"/>
          <w:szCs w:val="22"/>
          <w:lang w:val="sr-Latn-ME"/>
        </w:rPr>
        <w:t>,</w:t>
      </w:r>
      <w:r w:rsidR="002047E8" w:rsidRPr="002047E8">
        <w:rPr>
          <w:b/>
          <w:bCs/>
          <w:sz w:val="22"/>
          <w:szCs w:val="22"/>
          <w:lang w:val="sr-Latn-ME"/>
        </w:rPr>
        <w:t xml:space="preserve"> </w:t>
      </w:r>
      <w:r w:rsidRPr="002047E8">
        <w:rPr>
          <w:b/>
          <w:bCs/>
          <w:sz w:val="22"/>
          <w:szCs w:val="22"/>
          <w:lang w:val="sr-Latn-ME"/>
        </w:rPr>
        <w:t>CEPEJ</w:t>
      </w:r>
      <w:r w:rsidR="008E2558">
        <w:rPr>
          <w:rStyle w:val="FootnoteReference"/>
          <w:b/>
          <w:bCs/>
          <w:sz w:val="22"/>
          <w:szCs w:val="22"/>
          <w:lang w:val="sr-Latn-ME"/>
        </w:rPr>
        <w:footnoteReference w:id="18"/>
      </w:r>
      <w:r>
        <w:rPr>
          <w:sz w:val="22"/>
          <w:szCs w:val="22"/>
          <w:lang w:val="sr-Latn-ME"/>
        </w:rPr>
        <w:t xml:space="preserve"> itd</w:t>
      </w:r>
      <w:r w:rsidR="002047E8">
        <w:rPr>
          <w:sz w:val="22"/>
          <w:szCs w:val="22"/>
          <w:lang w:val="sr-Latn-ME"/>
        </w:rPr>
        <w:t>)</w:t>
      </w:r>
      <w:r>
        <w:rPr>
          <w:sz w:val="22"/>
          <w:szCs w:val="22"/>
          <w:lang w:val="sr-Latn-ME"/>
        </w:rPr>
        <w:t>.</w:t>
      </w:r>
    </w:p>
    <w:p w14:paraId="02E925AB" w14:textId="43139FFE" w:rsidR="00E54FB6" w:rsidRDefault="002B345C" w:rsidP="00B11E9C">
      <w:pPr>
        <w:spacing w:after="0" w:line="276" w:lineRule="auto"/>
        <w:jc w:val="both"/>
      </w:pPr>
      <w:r w:rsidRPr="00BD7B02">
        <w:lastRenderedPageBreak/>
        <w:t>Strategija se neposredno oslanja i</w:t>
      </w:r>
      <w:r w:rsidR="00605736" w:rsidRPr="00BD7B02">
        <w:t xml:space="preserve"> </w:t>
      </w:r>
      <w:r w:rsidRPr="00BD7B02">
        <w:t>na UN Ciljeve održivog razvoja, preciznije, Cilj 16. Promovisati miroljubiva i inkluzivna društva za održivi razvoj, obezbijediti pristup pravdi za sve i izgraditi efikasne, pouzdane i inkluzivne institucije na svim nivoima: 16.1 Svuda značajno smanjiti sve oblike nasilja i sa njima povezane stope smrtnih slučajeva</w:t>
      </w:r>
      <w:r w:rsidR="00605736" w:rsidRPr="00BD7B02">
        <w:t xml:space="preserve">; </w:t>
      </w:r>
      <w:r w:rsidRPr="00BD7B02">
        <w:t>Promovisati vladavinu prava na nacionalnom i međunarodnom nivou i svima osigurati jednak pristup pravdi</w:t>
      </w:r>
      <w:r w:rsidR="00605736" w:rsidRPr="00BD7B02">
        <w:t xml:space="preserve">; </w:t>
      </w:r>
      <w:r w:rsidRPr="00BD7B02">
        <w:t>16.5 Značajno smanjiti korupciju i podmićivanje u svim njihovim pojavnim oblicima</w:t>
      </w:r>
      <w:r w:rsidR="00605736" w:rsidRPr="00BD7B02">
        <w:t xml:space="preserve">; </w:t>
      </w:r>
      <w:r w:rsidRPr="00BD7B02">
        <w:t>16.6 Razviti djelotvorne, odgovorne i transparentne institucije na svim nivoima</w:t>
      </w:r>
      <w:r w:rsidR="00605736" w:rsidRPr="00BD7B02">
        <w:t xml:space="preserve">; </w:t>
      </w:r>
      <w:r w:rsidRPr="00BD7B02">
        <w:t>16.7 Osigurati odgovorno, inkluzivno, participativno i reprezentativno donošenje odluka na svim nivoima</w:t>
      </w:r>
      <w:r w:rsidR="00605736" w:rsidRPr="00BD7B02">
        <w:t>;</w:t>
      </w:r>
      <w:r w:rsidRPr="00BD7B02">
        <w:t xml:space="preserve"> 16.10 Osigurati javni pristup informacijama i zaštitu osnovnih sloboda, u skladu sa nacionalnim zakonodavstvom i međunarodnim sporazumima</w:t>
      </w:r>
      <w:r w:rsidR="00605736" w:rsidRPr="00BD7B02">
        <w:t>;</w:t>
      </w:r>
      <w:r w:rsidRPr="00BD7B02">
        <w:t xml:space="preserve"> 16.b Promovisati i sprovoditi nediskriminatorske zakone i politike radi postizanja održivog razvoja</w:t>
      </w:r>
      <w:r w:rsidR="00C622AC" w:rsidRPr="00BD7B02">
        <w:t>.</w:t>
      </w:r>
      <w:r w:rsidR="00BD7B02" w:rsidRPr="00BD7B02">
        <w:t xml:space="preserve"> Od značaja je i cilj 5, preciznije 5.5 Osigurati da žene u potpunosti i </w:t>
      </w:r>
      <w:r w:rsidR="0068254C" w:rsidRPr="00BD7B02">
        <w:t>djelotvorno</w:t>
      </w:r>
      <w:r w:rsidR="00BD7B02" w:rsidRPr="00BD7B02">
        <w:t xml:space="preserve"> učestvuju i imaju jednake mogućnosti da učestvuju u rukovođenju na svim nivoima donošenja odluka u političkom, privrednom i javnom životu.</w:t>
      </w:r>
    </w:p>
    <w:p w14:paraId="676F5A36" w14:textId="77777777" w:rsidR="00E54FB6" w:rsidRPr="009A613C" w:rsidRDefault="00E54FB6" w:rsidP="00E54FB6">
      <w:pPr>
        <w:autoSpaceDE w:val="0"/>
        <w:autoSpaceDN w:val="0"/>
        <w:adjustRightInd w:val="0"/>
        <w:spacing w:after="120"/>
        <w:jc w:val="both"/>
        <w:rPr>
          <w:rFonts w:cstheme="minorHAnsi"/>
        </w:rPr>
      </w:pPr>
    </w:p>
    <w:p w14:paraId="35E4BA9C" w14:textId="77777777" w:rsidR="00E54FB6" w:rsidRDefault="00E54FB6">
      <w:pPr>
        <w:pStyle w:val="Heading2"/>
        <w:numPr>
          <w:ilvl w:val="0"/>
          <w:numId w:val="6"/>
        </w:numPr>
        <w:spacing w:after="240"/>
      </w:pPr>
      <w:bookmarkStart w:id="10" w:name="_Toc156937939"/>
      <w:r w:rsidRPr="009A613C">
        <w:t>Analiza rezultata sprovođenja Strategije reforme pravosuđa za period 2019-2022.</w:t>
      </w:r>
      <w:bookmarkEnd w:id="10"/>
    </w:p>
    <w:p w14:paraId="22D7C937" w14:textId="2BB0D4DE" w:rsidR="00E54FB6" w:rsidRPr="00CD355E" w:rsidRDefault="00E54FB6" w:rsidP="008B2CAC">
      <w:pPr>
        <w:spacing w:line="276" w:lineRule="auto"/>
        <w:jc w:val="both"/>
      </w:pPr>
      <w:r w:rsidRPr="00CD355E">
        <w:t>Vlada Crne Gore je na sjednici od 12. septembra 2019. godine donijela Strategiju reforme pravosuđa 2019-2022</w:t>
      </w:r>
      <w:r w:rsidR="004E2978">
        <w:t>.</w:t>
      </w:r>
      <w:r w:rsidRPr="00CD355E">
        <w:t xml:space="preserve"> godine. Reformske aktivnosti u ovom četvorogodišnjem periodu bile su usmjerene ka ostvarivanju pet strateških ciljeva i to:</w:t>
      </w:r>
    </w:p>
    <w:p w14:paraId="4B4F14F4" w14:textId="77777777" w:rsidR="00E54FB6" w:rsidRPr="00CD355E" w:rsidRDefault="00E54FB6" w:rsidP="008B2CAC">
      <w:pPr>
        <w:spacing w:line="276" w:lineRule="auto"/>
        <w:ind w:left="720"/>
        <w:jc w:val="both"/>
      </w:pPr>
      <w:r w:rsidRPr="00CD355E">
        <w:t xml:space="preserve">- jačanje nezavisnosti, nepristrasnosti i odgovornosti pravosuđa; </w:t>
      </w:r>
    </w:p>
    <w:p w14:paraId="33E3A38B" w14:textId="77777777" w:rsidR="00E54FB6" w:rsidRPr="00CD355E" w:rsidRDefault="00E54FB6" w:rsidP="008B2CAC">
      <w:pPr>
        <w:spacing w:line="276" w:lineRule="auto"/>
        <w:ind w:left="720"/>
        <w:jc w:val="both"/>
      </w:pPr>
      <w:r w:rsidRPr="00CD355E">
        <w:t>- jačanje efikasnosti pravosuđa;</w:t>
      </w:r>
    </w:p>
    <w:p w14:paraId="3F05C93D" w14:textId="77777777" w:rsidR="00E54FB6" w:rsidRPr="00CD355E" w:rsidRDefault="00E54FB6" w:rsidP="008B2CAC">
      <w:pPr>
        <w:spacing w:line="276" w:lineRule="auto"/>
        <w:ind w:left="720"/>
        <w:jc w:val="both"/>
      </w:pPr>
      <w:r w:rsidRPr="00CD355E">
        <w:t>- crnogorsko pravosuđe kao dio evropskog pravosuđa;</w:t>
      </w:r>
    </w:p>
    <w:p w14:paraId="5C05F669" w14:textId="77777777" w:rsidR="00E54FB6" w:rsidRPr="00CD355E" w:rsidRDefault="00E54FB6" w:rsidP="008B2CAC">
      <w:pPr>
        <w:spacing w:line="276" w:lineRule="auto"/>
        <w:ind w:left="720"/>
        <w:jc w:val="both"/>
      </w:pPr>
      <w:r w:rsidRPr="00CD355E">
        <w:t xml:space="preserve">- jačanje dostupnosti, transparentnosti i javnog povjerenja u pravosuđe i </w:t>
      </w:r>
    </w:p>
    <w:p w14:paraId="6BCAFE65" w14:textId="77777777" w:rsidR="00E54FB6" w:rsidRPr="00CD355E" w:rsidRDefault="00E54FB6" w:rsidP="008B2CAC">
      <w:pPr>
        <w:spacing w:line="276" w:lineRule="auto"/>
        <w:ind w:left="720"/>
        <w:jc w:val="both"/>
      </w:pPr>
      <w:r w:rsidRPr="00CD355E">
        <w:t>- razvoj Ministarstva pravde, Centra za obuku, advokature, notarijata, javnih izvršitelja i sudskih vještaka.</w:t>
      </w:r>
    </w:p>
    <w:p w14:paraId="658E6A3E" w14:textId="77777777" w:rsidR="00E54FB6" w:rsidRPr="00CD355E" w:rsidRDefault="00E54FB6" w:rsidP="008B2CAC">
      <w:pPr>
        <w:spacing w:line="276" w:lineRule="auto"/>
        <w:jc w:val="both"/>
        <w:rPr>
          <w:color w:val="000000"/>
          <w:szCs w:val="24"/>
        </w:rPr>
      </w:pPr>
      <w:r w:rsidRPr="00CD355E">
        <w:t xml:space="preserve">Zajedno sa usvajanjem Strategije donijet je i Akcioni plan </w:t>
      </w:r>
      <w:r w:rsidRPr="00CD355E">
        <w:rPr>
          <w:color w:val="000000"/>
          <w:szCs w:val="24"/>
        </w:rPr>
        <w:t xml:space="preserve">za implementaciju Strategije reforme pravosuđa 2019-2020 (u daljem tekstu: AP SRP 2019-2020), nakon čijeg isteka je Vlada 9. decembra 2021. godine donijela novi Akcioni plan za implementaciju Strategije reforme pravosuđa 2021-2022. godine (u daljem tekstu: AP SRP 2021-2022). Ovim dokumentima su </w:t>
      </w:r>
      <w:r w:rsidRPr="00CD355E">
        <w:t xml:space="preserve">utvrđene aktivnosti, indikatori rezultata i učinka, rokovi, nadležne institucije i sredstva planirana za sprovođenje operativnih ciljeva definisanih </w:t>
      </w:r>
      <w:r w:rsidRPr="00CD355E">
        <w:rPr>
          <w:color w:val="000000"/>
          <w:szCs w:val="24"/>
        </w:rPr>
        <w:t>SRP 2019-2022.</w:t>
      </w:r>
    </w:p>
    <w:p w14:paraId="238EA89D" w14:textId="77777777" w:rsidR="00E54FB6" w:rsidRPr="00CD355E" w:rsidRDefault="00E54FB6" w:rsidP="008B2CAC">
      <w:pPr>
        <w:spacing w:line="276" w:lineRule="auto"/>
        <w:jc w:val="both"/>
        <w:rPr>
          <w:color w:val="000000"/>
          <w:szCs w:val="24"/>
          <w:highlight w:val="yellow"/>
        </w:rPr>
      </w:pPr>
      <w:r w:rsidRPr="00CD355E">
        <w:rPr>
          <w:color w:val="000000"/>
          <w:szCs w:val="24"/>
        </w:rPr>
        <w:t>Shodno navedenom strateškom dokumentu, kontrolu sprovođenja SRP 2019-2022 vršio je Savjet za praćenje sprovođenja Strategije reforme pravosuđa</w:t>
      </w:r>
      <w:r w:rsidRPr="00CD355E">
        <w:t xml:space="preserve"> </w:t>
      </w:r>
      <w:r w:rsidRPr="00CD355E">
        <w:rPr>
          <w:color w:val="000000"/>
          <w:szCs w:val="24"/>
        </w:rPr>
        <w:t xml:space="preserve">2019-2022. godine, obrazovan od strane Vlade Crne Gore.  </w:t>
      </w:r>
    </w:p>
    <w:p w14:paraId="32E74B94" w14:textId="77777777" w:rsidR="00E54FB6" w:rsidRPr="00CD355E" w:rsidRDefault="00E54FB6" w:rsidP="008B2CAC">
      <w:pPr>
        <w:spacing w:line="276" w:lineRule="auto"/>
        <w:jc w:val="both"/>
      </w:pPr>
      <w:r w:rsidRPr="00CD355E">
        <w:t xml:space="preserve">U cilju praćenja realizacije aktivnosti Savjet je razmatrao, a Vlada Crne Gore usvojila četiri godišnja izvještaja o sprovođenju navedenih akcionih planova i to za 2019, 2020, 2021. i 2022. godinu. </w:t>
      </w:r>
    </w:p>
    <w:p w14:paraId="6E4B3D9C" w14:textId="77777777" w:rsidR="00E54FB6" w:rsidRPr="00CD355E" w:rsidRDefault="00E54FB6" w:rsidP="00E54FB6"/>
    <w:p w14:paraId="57878980" w14:textId="77777777" w:rsidR="00E54FB6" w:rsidRDefault="00E54FB6">
      <w:pPr>
        <w:pStyle w:val="Heading3"/>
        <w:numPr>
          <w:ilvl w:val="1"/>
          <w:numId w:val="6"/>
        </w:numPr>
        <w:spacing w:after="240"/>
        <w:jc w:val="center"/>
        <w:rPr>
          <w:lang w:eastAsia="en-GB"/>
        </w:rPr>
      </w:pPr>
      <w:bookmarkStart w:id="11" w:name="_Toc156937940"/>
      <w:r>
        <w:rPr>
          <w:lang w:eastAsia="en-GB"/>
        </w:rPr>
        <w:lastRenderedPageBreak/>
        <w:t>Osnov, metodi i obuhvat procjene efekata sprovođenja Strategije reforme pravosuđa za period 2019-2022.</w:t>
      </w:r>
      <w:bookmarkEnd w:id="11"/>
    </w:p>
    <w:p w14:paraId="05B2C8D9" w14:textId="77777777" w:rsidR="00E54FB6" w:rsidRPr="009A613C" w:rsidRDefault="00E54FB6" w:rsidP="00E54FB6">
      <w:pPr>
        <w:autoSpaceDE w:val="0"/>
        <w:autoSpaceDN w:val="0"/>
        <w:adjustRightInd w:val="0"/>
        <w:spacing w:after="120"/>
        <w:jc w:val="both"/>
        <w:rPr>
          <w:rFonts w:cstheme="minorHAnsi"/>
          <w:lang w:eastAsia="en-GB"/>
        </w:rPr>
      </w:pPr>
      <w:r w:rsidRPr="009A613C">
        <w:rPr>
          <w:rFonts w:cstheme="minorHAnsi"/>
          <w:lang w:eastAsia="en-GB"/>
        </w:rPr>
        <w:t>Uredbom o načinu i postupku izrade, usklađivanja i praćenja sprovođenja strateških dokumenata</w:t>
      </w:r>
      <w:r w:rsidRPr="009A613C">
        <w:rPr>
          <w:rStyle w:val="FootnoteReference"/>
          <w:rFonts w:cstheme="minorHAnsi"/>
          <w:lang w:eastAsia="en-GB"/>
        </w:rPr>
        <w:footnoteReference w:id="19"/>
      </w:r>
      <w:r w:rsidRPr="009A613C">
        <w:rPr>
          <w:rFonts w:cstheme="minorHAnsi"/>
          <w:lang w:eastAsia="en-GB"/>
        </w:rPr>
        <w:t>, kao i Metodologijom razvijanja politika, izrade i praćenja sprovođenja strateških dokumenata</w:t>
      </w:r>
      <w:r w:rsidRPr="009A613C">
        <w:rPr>
          <w:rStyle w:val="FootnoteReference"/>
          <w:rFonts w:cstheme="minorHAnsi"/>
          <w:i/>
          <w:iCs/>
          <w:lang w:eastAsia="en-GB"/>
        </w:rPr>
        <w:footnoteReference w:id="20"/>
      </w:r>
      <w:r w:rsidRPr="009A613C">
        <w:rPr>
          <w:rFonts w:cstheme="minorHAnsi"/>
          <w:i/>
          <w:iCs/>
          <w:lang w:eastAsia="en-GB"/>
        </w:rPr>
        <w:t xml:space="preserve"> </w:t>
      </w:r>
      <w:r w:rsidRPr="009A613C">
        <w:rPr>
          <w:rFonts w:cstheme="minorHAnsi"/>
          <w:lang w:eastAsia="en-GB"/>
        </w:rPr>
        <w:t xml:space="preserve">uspostavljen je </w:t>
      </w:r>
      <w:r w:rsidRPr="00C97EB4">
        <w:rPr>
          <w:rFonts w:cstheme="minorHAnsi"/>
          <w:lang w:eastAsia="en-GB"/>
        </w:rPr>
        <w:t>pravni osnov</w:t>
      </w:r>
      <w:r w:rsidRPr="009A613C">
        <w:rPr>
          <w:rFonts w:cstheme="minorHAnsi"/>
          <w:lang w:eastAsia="en-GB"/>
        </w:rPr>
        <w:t xml:space="preserve"> za evaluacije strategija i programa u crnogorskom sistemu planiranja. </w:t>
      </w:r>
    </w:p>
    <w:p w14:paraId="36CFDC0A" w14:textId="77777777" w:rsidR="00E54FB6" w:rsidRDefault="00E54FB6" w:rsidP="00E54FB6">
      <w:pPr>
        <w:autoSpaceDE w:val="0"/>
        <w:autoSpaceDN w:val="0"/>
        <w:adjustRightInd w:val="0"/>
        <w:spacing w:after="120"/>
        <w:jc w:val="both"/>
        <w:rPr>
          <w:rFonts w:eastAsia="Calibri" w:cstheme="minorHAnsi"/>
        </w:rPr>
      </w:pPr>
      <w:r w:rsidRPr="009A613C">
        <w:rPr>
          <w:rFonts w:cstheme="minorHAnsi"/>
        </w:rPr>
        <w:t xml:space="preserve">U skladu sa tim, </w:t>
      </w:r>
      <w:r w:rsidRPr="009A613C">
        <w:rPr>
          <w:rFonts w:cstheme="minorHAnsi"/>
          <w:lang w:eastAsia="en-GB"/>
        </w:rPr>
        <w:t>tokom maja i juna 2023. godine</w:t>
      </w:r>
      <w:r w:rsidRPr="009A613C">
        <w:rPr>
          <w:rFonts w:cstheme="minorHAnsi"/>
          <w:b/>
          <w:bCs/>
        </w:rPr>
        <w:t xml:space="preserve"> </w:t>
      </w:r>
      <w:r w:rsidRPr="00C97EB4">
        <w:rPr>
          <w:rFonts w:cstheme="minorHAnsi"/>
        </w:rPr>
        <w:t xml:space="preserve">sprovedena je eksterna evaluacija </w:t>
      </w:r>
      <w:r w:rsidRPr="00C97EB4">
        <w:rPr>
          <w:rFonts w:eastAsia="Calibri" w:cstheme="minorHAnsi"/>
        </w:rPr>
        <w:t>Strategije reforme</w:t>
      </w:r>
      <w:r w:rsidRPr="009A613C">
        <w:rPr>
          <w:rFonts w:eastAsia="Calibri" w:cstheme="minorHAnsi"/>
          <w:b/>
          <w:bCs/>
        </w:rPr>
        <w:t xml:space="preserve"> </w:t>
      </w:r>
      <w:r w:rsidRPr="00C97EB4">
        <w:rPr>
          <w:rFonts w:eastAsia="Calibri" w:cstheme="minorHAnsi"/>
        </w:rPr>
        <w:t>pravosuđa 2019-2022 (u daljem tekstu: Strategija, SRP 2019-2022)</w:t>
      </w:r>
      <w:r>
        <w:rPr>
          <w:rFonts w:eastAsia="Calibri" w:cstheme="minorHAnsi"/>
        </w:rPr>
        <w:t>.</w:t>
      </w:r>
    </w:p>
    <w:p w14:paraId="5F392FBE" w14:textId="77777777" w:rsidR="00E54FB6" w:rsidRPr="00C97EB4" w:rsidRDefault="00E54FB6" w:rsidP="00E54FB6">
      <w:pPr>
        <w:autoSpaceDE w:val="0"/>
        <w:autoSpaceDN w:val="0"/>
        <w:adjustRightInd w:val="0"/>
        <w:spacing w:after="120"/>
        <w:jc w:val="both"/>
        <w:rPr>
          <w:rFonts w:cstheme="minorHAnsi"/>
        </w:rPr>
      </w:pPr>
      <w:r>
        <w:rPr>
          <w:rFonts w:cstheme="minorHAnsi"/>
        </w:rPr>
        <w:t>S</w:t>
      </w:r>
      <w:r w:rsidRPr="00C97EB4">
        <w:rPr>
          <w:rFonts w:cstheme="minorHAnsi"/>
        </w:rPr>
        <w:t xml:space="preserve">vrha </w:t>
      </w:r>
      <w:r>
        <w:rPr>
          <w:rFonts w:cstheme="minorHAnsi"/>
        </w:rPr>
        <w:t>ove evaluacije bila</w:t>
      </w:r>
      <w:r w:rsidRPr="00C97EB4">
        <w:rPr>
          <w:rFonts w:eastAsia="Calibri" w:cstheme="minorHAnsi"/>
        </w:rPr>
        <w:t xml:space="preserve"> </w:t>
      </w:r>
      <w:r w:rsidRPr="00C97EB4">
        <w:rPr>
          <w:rFonts w:cstheme="minorHAnsi"/>
        </w:rPr>
        <w:t>je dvostruka:</w:t>
      </w:r>
    </w:p>
    <w:p w14:paraId="2FE96A22" w14:textId="77777777" w:rsidR="00E54FB6" w:rsidRPr="009A613C" w:rsidRDefault="00E54FB6">
      <w:pPr>
        <w:pStyle w:val="ListParagraph"/>
        <w:numPr>
          <w:ilvl w:val="0"/>
          <w:numId w:val="2"/>
        </w:numPr>
        <w:autoSpaceDE w:val="0"/>
        <w:autoSpaceDN w:val="0"/>
        <w:adjustRightInd w:val="0"/>
        <w:spacing w:after="120" w:line="276" w:lineRule="auto"/>
        <w:contextualSpacing w:val="0"/>
        <w:jc w:val="both"/>
        <w:rPr>
          <w:rFonts w:cstheme="minorHAnsi"/>
          <w:lang w:eastAsia="en-GB"/>
        </w:rPr>
      </w:pPr>
      <w:r w:rsidRPr="009A613C">
        <w:rPr>
          <w:rFonts w:cstheme="minorHAnsi"/>
        </w:rPr>
        <w:t xml:space="preserve"> S jedne strane, da se na objektivan i sistematičan način sagledaju rezultati i ostvareni uticaj sprovođenja Strategije na kraju perioda na koji je oročen ovaj dokument javne politike (</w:t>
      </w:r>
      <w:r w:rsidRPr="009A613C">
        <w:rPr>
          <w:rFonts w:cstheme="minorHAnsi"/>
          <w:i/>
          <w:iCs/>
        </w:rPr>
        <w:t>ex post</w:t>
      </w:r>
      <w:r w:rsidRPr="009A613C">
        <w:rPr>
          <w:rFonts w:cstheme="minorHAnsi"/>
        </w:rPr>
        <w:t xml:space="preserve"> analiza), pri čemu se</w:t>
      </w:r>
      <w:r w:rsidRPr="009A613C">
        <w:rPr>
          <w:rFonts w:cstheme="minorHAnsi"/>
          <w:lang w:eastAsia="en-GB"/>
        </w:rPr>
        <w:t xml:space="preserve"> utvrđuje relevantnost i ispunjenje ciljeva, efikasnost razvoja, djelotvornost, uticaj i održivost strateškog dokumenta.</w:t>
      </w:r>
      <w:r w:rsidRPr="009A613C">
        <w:rPr>
          <w:rStyle w:val="FootnoteReference"/>
          <w:rFonts w:cstheme="minorHAnsi"/>
          <w:lang w:eastAsia="en-GB"/>
        </w:rPr>
        <w:footnoteReference w:id="21"/>
      </w:r>
      <w:r w:rsidRPr="009A613C">
        <w:rPr>
          <w:rFonts w:cstheme="minorHAnsi"/>
        </w:rPr>
        <w:t xml:space="preserve"> </w:t>
      </w:r>
    </w:p>
    <w:p w14:paraId="28997996" w14:textId="58CBE84D" w:rsidR="00E54FB6" w:rsidRPr="009A613C" w:rsidRDefault="00E54FB6">
      <w:pPr>
        <w:pStyle w:val="ListParagraph"/>
        <w:numPr>
          <w:ilvl w:val="0"/>
          <w:numId w:val="2"/>
        </w:numPr>
        <w:autoSpaceDE w:val="0"/>
        <w:autoSpaceDN w:val="0"/>
        <w:adjustRightInd w:val="0"/>
        <w:spacing w:after="120" w:line="276" w:lineRule="auto"/>
        <w:contextualSpacing w:val="0"/>
        <w:jc w:val="both"/>
        <w:rPr>
          <w:rFonts w:cstheme="minorHAnsi"/>
          <w:lang w:eastAsia="en-GB"/>
        </w:rPr>
      </w:pPr>
      <w:r w:rsidRPr="009A613C">
        <w:rPr>
          <w:rFonts w:cstheme="minorHAnsi"/>
        </w:rPr>
        <w:t>Istovremeno, postoj</w:t>
      </w:r>
      <w:r>
        <w:rPr>
          <w:rFonts w:cstheme="minorHAnsi"/>
        </w:rPr>
        <w:t>ala je</w:t>
      </w:r>
      <w:r w:rsidRPr="009A613C">
        <w:rPr>
          <w:rFonts w:cstheme="minorHAnsi"/>
        </w:rPr>
        <w:t xml:space="preserve"> potreba da se </w:t>
      </w:r>
      <w:r w:rsidR="008B2CAC" w:rsidRPr="009A613C">
        <w:rPr>
          <w:rFonts w:cstheme="minorHAnsi"/>
        </w:rPr>
        <w:t>obezb</w:t>
      </w:r>
      <w:r w:rsidR="004E2978">
        <w:rPr>
          <w:rFonts w:cstheme="minorHAnsi"/>
        </w:rPr>
        <w:t>ij</w:t>
      </w:r>
      <w:r w:rsidR="008B2CAC" w:rsidRPr="009A613C">
        <w:rPr>
          <w:rFonts w:cstheme="minorHAnsi"/>
        </w:rPr>
        <w:t>ede</w:t>
      </w:r>
      <w:r w:rsidRPr="009A613C">
        <w:rPr>
          <w:rFonts w:cstheme="minorHAnsi"/>
        </w:rPr>
        <w:t xml:space="preserve"> kvalitetni inputi u procesu razvijanja novih strateških dokumenata (</w:t>
      </w:r>
      <w:r>
        <w:rPr>
          <w:rFonts w:cstheme="minorHAnsi"/>
        </w:rPr>
        <w:t xml:space="preserve">ove </w:t>
      </w:r>
      <w:r w:rsidRPr="009A613C">
        <w:rPr>
          <w:rFonts w:cstheme="minorHAnsi"/>
        </w:rPr>
        <w:t>strategije i pratećeg akcionog plana) kojima bi se usmjerili i detaljno planirali reformski procesi u pravosuđu</w:t>
      </w:r>
      <w:r>
        <w:rPr>
          <w:rFonts w:cstheme="minorHAnsi"/>
        </w:rPr>
        <w:t xml:space="preserve"> počev</w:t>
      </w:r>
      <w:r w:rsidRPr="009A613C">
        <w:rPr>
          <w:rFonts w:cstheme="minorHAnsi"/>
        </w:rPr>
        <w:t xml:space="preserve"> </w:t>
      </w:r>
      <w:r>
        <w:rPr>
          <w:rFonts w:cstheme="minorHAnsi"/>
        </w:rPr>
        <w:t>od</w:t>
      </w:r>
      <w:r w:rsidRPr="009A613C">
        <w:rPr>
          <w:rFonts w:cstheme="minorHAnsi"/>
        </w:rPr>
        <w:t xml:space="preserve"> 202</w:t>
      </w:r>
      <w:r>
        <w:rPr>
          <w:rFonts w:cstheme="minorHAnsi"/>
        </w:rPr>
        <w:t>4</w:t>
      </w:r>
      <w:r w:rsidRPr="009A613C">
        <w:rPr>
          <w:rFonts w:cstheme="minorHAnsi"/>
        </w:rPr>
        <w:t xml:space="preserve">. godine, čime rezultati </w:t>
      </w:r>
      <w:r>
        <w:rPr>
          <w:rFonts w:cstheme="minorHAnsi"/>
        </w:rPr>
        <w:t>t</w:t>
      </w:r>
      <w:r w:rsidRPr="009A613C">
        <w:rPr>
          <w:rFonts w:cstheme="minorHAnsi"/>
        </w:rPr>
        <w:t xml:space="preserve">e evaluacije postaju važan dio </w:t>
      </w:r>
      <w:r w:rsidRPr="009A613C">
        <w:rPr>
          <w:rFonts w:cstheme="minorHAnsi"/>
          <w:i/>
          <w:iCs/>
        </w:rPr>
        <w:t>ex-ante</w:t>
      </w:r>
      <w:r w:rsidRPr="009A613C">
        <w:rPr>
          <w:rFonts w:cstheme="minorHAnsi"/>
        </w:rPr>
        <w:t xml:space="preserve"> analize za potrebe izrade strategije.</w:t>
      </w:r>
    </w:p>
    <w:p w14:paraId="22DA442A" w14:textId="219BB4F5" w:rsidR="00E54FB6" w:rsidRDefault="00E54FB6" w:rsidP="00E54FB6">
      <w:pPr>
        <w:autoSpaceDE w:val="0"/>
        <w:autoSpaceDN w:val="0"/>
        <w:adjustRightInd w:val="0"/>
        <w:spacing w:after="0"/>
        <w:jc w:val="both"/>
        <w:rPr>
          <w:rFonts w:cstheme="minorHAnsi"/>
          <w:lang w:eastAsia="en-GB"/>
        </w:rPr>
      </w:pPr>
      <w:r w:rsidRPr="009A613C">
        <w:rPr>
          <w:rFonts w:cstheme="minorHAnsi"/>
          <w:lang w:eastAsia="en-GB"/>
        </w:rPr>
        <w:t xml:space="preserve">Evaluacija je sprovedena kombinacijom kvantitativnih i kvalitativnih </w:t>
      </w:r>
      <w:r w:rsidRPr="00C97EB4">
        <w:rPr>
          <w:rFonts w:cstheme="minorHAnsi"/>
          <w:lang w:eastAsia="en-GB"/>
        </w:rPr>
        <w:t>metoda, uključujući dokumentacionu analizu i dubinske intervjue, a sa ciljem da se ocijeni relevantnost, koherentnost, efektivnost, efikasnost, uticaj i održivost.</w:t>
      </w:r>
    </w:p>
    <w:p w14:paraId="2A75BC7A" w14:textId="77777777" w:rsidR="00E54FB6" w:rsidRPr="00BF1BBF" w:rsidRDefault="00E54FB6" w:rsidP="00E54FB6">
      <w:pPr>
        <w:autoSpaceDE w:val="0"/>
        <w:autoSpaceDN w:val="0"/>
        <w:adjustRightInd w:val="0"/>
        <w:spacing w:after="0"/>
        <w:jc w:val="both"/>
        <w:rPr>
          <w:rFonts w:cstheme="minorHAnsi"/>
          <w:lang w:eastAsia="en-GB"/>
        </w:rPr>
      </w:pPr>
    </w:p>
    <w:p w14:paraId="01CC5729" w14:textId="77777777" w:rsidR="00E54FB6" w:rsidRPr="008C54EB" w:rsidRDefault="00E54FB6">
      <w:pPr>
        <w:pStyle w:val="Heading3"/>
        <w:numPr>
          <w:ilvl w:val="1"/>
          <w:numId w:val="6"/>
        </w:numPr>
        <w:spacing w:after="240"/>
        <w:rPr>
          <w:lang w:eastAsia="en-GB"/>
        </w:rPr>
      </w:pPr>
      <w:bookmarkStart w:id="12" w:name="_Toc156937941"/>
      <w:r w:rsidRPr="008C54EB">
        <w:rPr>
          <w:lang w:eastAsia="en-GB"/>
        </w:rPr>
        <w:t xml:space="preserve">Opšta zapažanja o relevantnosti, koherentnosti i efektivnosti </w:t>
      </w:r>
      <w:r w:rsidRPr="008C54EB">
        <w:rPr>
          <w:rFonts w:eastAsia="Calibri"/>
        </w:rPr>
        <w:t>SRP 2019-2022</w:t>
      </w:r>
      <w:bookmarkEnd w:id="12"/>
    </w:p>
    <w:p w14:paraId="17387446" w14:textId="0B404F7B" w:rsidR="00E54FB6" w:rsidRPr="009A613C" w:rsidRDefault="00E54FB6" w:rsidP="00E54FB6">
      <w:pPr>
        <w:autoSpaceDE w:val="0"/>
        <w:autoSpaceDN w:val="0"/>
        <w:adjustRightInd w:val="0"/>
        <w:spacing w:after="120"/>
        <w:jc w:val="both"/>
        <w:rPr>
          <w:rFonts w:cstheme="minorHAnsi"/>
          <w:lang w:eastAsia="en-GB"/>
        </w:rPr>
      </w:pPr>
      <w:r>
        <w:rPr>
          <w:rFonts w:cstheme="minorHAnsi"/>
          <w:lang w:eastAsia="en-GB"/>
        </w:rPr>
        <w:t>U evaluaciji je konstatovano da je p</w:t>
      </w:r>
      <w:r w:rsidRPr="009A613C">
        <w:rPr>
          <w:rFonts w:cstheme="minorHAnsi"/>
          <w:lang w:eastAsia="en-GB"/>
        </w:rPr>
        <w:t xml:space="preserve">rilikom procjene efekata SRP 2014-2018. koja je postala sastavni dio </w:t>
      </w:r>
      <w:r w:rsidRPr="00C97EB4">
        <w:rPr>
          <w:rFonts w:eastAsia="Calibri" w:cstheme="minorHAnsi"/>
        </w:rPr>
        <w:t>SRP 2019-2022</w:t>
      </w:r>
      <w:r w:rsidRPr="009A613C">
        <w:rPr>
          <w:rFonts w:cstheme="minorHAnsi"/>
          <w:lang w:eastAsia="en-GB"/>
        </w:rPr>
        <w:t xml:space="preserve">, propuštena prilika da se suštinski analiziraju rezultati njenog sprovođenja i time jasnije dovede u vezu postojeće stanje i izazovi sa ciljevima, mjerama i aktivnostima sadržanim u Strategiji i pratećim akcionim planovima. </w:t>
      </w:r>
    </w:p>
    <w:p w14:paraId="6BD153A2" w14:textId="0C261C80" w:rsidR="00E54FB6" w:rsidRPr="009A613C" w:rsidRDefault="00E54FB6" w:rsidP="00E54FB6">
      <w:pPr>
        <w:autoSpaceDE w:val="0"/>
        <w:autoSpaceDN w:val="0"/>
        <w:adjustRightInd w:val="0"/>
        <w:spacing w:after="120"/>
        <w:jc w:val="both"/>
        <w:rPr>
          <w:rFonts w:cstheme="minorHAnsi"/>
          <w:lang w:eastAsia="en-GB"/>
        </w:rPr>
      </w:pPr>
      <w:r>
        <w:rPr>
          <w:rFonts w:cstheme="minorHAnsi"/>
          <w:lang w:eastAsia="en-GB"/>
        </w:rPr>
        <w:t>Evaluacija je pokazala da su c</w:t>
      </w:r>
      <w:r w:rsidRPr="009A613C">
        <w:rPr>
          <w:rFonts w:cstheme="minorHAnsi"/>
          <w:lang w:eastAsia="en-GB"/>
        </w:rPr>
        <w:t xml:space="preserve">iljevi i aktivnosti iz ovog strateškog dokumenta i dalje </w:t>
      </w:r>
      <w:r w:rsidRPr="009A613C">
        <w:rPr>
          <w:rFonts w:cstheme="minorHAnsi"/>
          <w:b/>
          <w:bCs/>
          <w:lang w:eastAsia="en-GB"/>
        </w:rPr>
        <w:t>relevantni</w:t>
      </w:r>
      <w:r w:rsidRPr="009A613C">
        <w:rPr>
          <w:rFonts w:cstheme="minorHAnsi"/>
          <w:lang w:eastAsia="en-GB"/>
        </w:rPr>
        <w:t xml:space="preserve">, ne samo zbog činjenice da su od usvajanja Strategije protekle samo tri ipo godine, već i uslijed ograničenih efekata sprovođenja </w:t>
      </w:r>
      <w:r w:rsidRPr="00C97EB4">
        <w:rPr>
          <w:rFonts w:eastAsia="Calibri" w:cstheme="minorHAnsi"/>
        </w:rPr>
        <w:t>SRP 2019-2022</w:t>
      </w:r>
      <w:r w:rsidRPr="009A613C">
        <w:rPr>
          <w:rFonts w:cstheme="minorHAnsi"/>
          <w:lang w:eastAsia="en-GB"/>
        </w:rPr>
        <w:t xml:space="preserve">. </w:t>
      </w:r>
      <w:r>
        <w:rPr>
          <w:rFonts w:cstheme="minorHAnsi"/>
          <w:lang w:eastAsia="en-GB"/>
        </w:rPr>
        <w:t xml:space="preserve">Od velikog značaja za strukturu ove Strategije je i nalaz evaluacije o postojanju potrebe da se mogućnost drugačije </w:t>
      </w:r>
      <w:r w:rsidRPr="009A613C">
        <w:rPr>
          <w:rFonts w:cstheme="minorHAnsi"/>
          <w:lang w:eastAsia="en-GB"/>
        </w:rPr>
        <w:t>preraspodjele operativnih ciljeva</w:t>
      </w:r>
      <w:r>
        <w:rPr>
          <w:rFonts w:cstheme="minorHAnsi"/>
          <w:lang w:eastAsia="en-GB"/>
        </w:rPr>
        <w:t xml:space="preserve"> u okviru strateških ciljeva, odnosno mogućnosti da se smanji broj strateških ciljeva. </w:t>
      </w:r>
    </w:p>
    <w:p w14:paraId="58825327" w14:textId="4085EFD9" w:rsidR="00E54FB6" w:rsidRPr="009A613C" w:rsidRDefault="00E54FB6" w:rsidP="00E54FB6">
      <w:pPr>
        <w:spacing w:after="120"/>
        <w:jc w:val="both"/>
        <w:rPr>
          <w:rFonts w:cstheme="minorHAnsi"/>
          <w:lang w:eastAsia="en-GB"/>
        </w:rPr>
      </w:pPr>
      <w:r w:rsidRPr="009A613C">
        <w:rPr>
          <w:rFonts w:cstheme="minorHAnsi"/>
          <w:lang w:eastAsia="en-GB"/>
        </w:rPr>
        <w:t xml:space="preserve">U pogledu </w:t>
      </w:r>
      <w:r w:rsidRPr="008B2CAC">
        <w:rPr>
          <w:rFonts w:cstheme="minorHAnsi"/>
          <w:b/>
          <w:bCs/>
          <w:lang w:eastAsia="en-GB"/>
        </w:rPr>
        <w:t xml:space="preserve">koherentnosti </w:t>
      </w:r>
      <w:r w:rsidRPr="00C97EB4">
        <w:rPr>
          <w:rFonts w:eastAsia="Calibri" w:cstheme="minorHAnsi"/>
        </w:rPr>
        <w:t>SRP 2019-2022</w:t>
      </w:r>
      <w:r w:rsidRPr="009A613C">
        <w:rPr>
          <w:rFonts w:cstheme="minorHAnsi"/>
          <w:lang w:eastAsia="en-GB"/>
        </w:rPr>
        <w:t xml:space="preserve">, </w:t>
      </w:r>
      <w:r>
        <w:rPr>
          <w:rFonts w:cstheme="minorHAnsi"/>
          <w:lang w:eastAsia="en-GB"/>
        </w:rPr>
        <w:t xml:space="preserve">nalazi evaluacije pokazuju </w:t>
      </w:r>
      <w:r w:rsidRPr="009A613C">
        <w:rPr>
          <w:rFonts w:cstheme="minorHAnsi"/>
          <w:lang w:eastAsia="en-GB"/>
        </w:rPr>
        <w:t xml:space="preserve">da je donošenje Strategije, kao i procjena rezultata njenog sprovođenja, predviđeni su u ključnim dokumentima javne politike Vlade, odnosno u Programu rada Vlade i </w:t>
      </w:r>
      <w:r w:rsidRPr="009A613C">
        <w:rPr>
          <w:rFonts w:cstheme="minorHAnsi"/>
        </w:rPr>
        <w:t xml:space="preserve">Programu pristupanja Crne Gore Evropskoj uniji. U temelje </w:t>
      </w:r>
      <w:r>
        <w:rPr>
          <w:rFonts w:cstheme="minorHAnsi"/>
        </w:rPr>
        <w:t>ovog dokumenta</w:t>
      </w:r>
      <w:r w:rsidRPr="009A613C">
        <w:rPr>
          <w:rFonts w:cstheme="minorHAnsi"/>
        </w:rPr>
        <w:t xml:space="preserve"> načelno su ugrađeni ključni međunarodni standardi o oblasti organizacije i funkcionisanja </w:t>
      </w:r>
      <w:r w:rsidRPr="009A613C">
        <w:rPr>
          <w:rFonts w:cstheme="minorHAnsi"/>
        </w:rPr>
        <w:lastRenderedPageBreak/>
        <w:t xml:space="preserve">pravosuđa. </w:t>
      </w:r>
      <w:r w:rsidRPr="009A613C">
        <w:rPr>
          <w:rFonts w:cstheme="minorHAnsi"/>
          <w:lang w:eastAsia="en-GB"/>
        </w:rPr>
        <w:t xml:space="preserve">Ipak u metodološkom smislu, primjetno je da je kroz samu Strategiju i akcione planove, obaveza usklađivanja sa relevantnim međunarodnim standardima nerijetko predviđena na opšti način, kroz navođenje naziva izvora međunarodnih standarda ili čak samo kroz upućivanje na Program pristupanja Crne Gore Evropskoj uniji, uslijed čega se iz same </w:t>
      </w:r>
      <w:r w:rsidRPr="00C97EB4">
        <w:rPr>
          <w:rFonts w:eastAsia="Calibri" w:cstheme="minorHAnsi"/>
        </w:rPr>
        <w:t>SRP 2019-2022</w:t>
      </w:r>
      <w:r w:rsidRPr="009A613C">
        <w:rPr>
          <w:rFonts w:cstheme="minorHAnsi"/>
          <w:lang w:eastAsia="en-GB"/>
        </w:rPr>
        <w:t xml:space="preserve"> i AP ne može identifikovati u odnosu na koja pitanja je usklađivanje potrebno, čime </w:t>
      </w:r>
      <w:r>
        <w:rPr>
          <w:rFonts w:cstheme="minorHAnsi"/>
          <w:lang w:eastAsia="en-GB"/>
        </w:rPr>
        <w:t>j</w:t>
      </w:r>
      <w:r w:rsidRPr="009A613C">
        <w:rPr>
          <w:rFonts w:cstheme="minorHAnsi"/>
          <w:lang w:eastAsia="en-GB"/>
        </w:rPr>
        <w:t xml:space="preserve">e ujedno </w:t>
      </w:r>
      <w:r>
        <w:rPr>
          <w:rFonts w:cstheme="minorHAnsi"/>
          <w:lang w:eastAsia="en-GB"/>
        </w:rPr>
        <w:t xml:space="preserve">bilo </w:t>
      </w:r>
      <w:r w:rsidRPr="009A613C">
        <w:rPr>
          <w:rFonts w:cstheme="minorHAnsi"/>
          <w:lang w:eastAsia="en-GB"/>
        </w:rPr>
        <w:t>onemoguć</w:t>
      </w:r>
      <w:r>
        <w:rPr>
          <w:rFonts w:cstheme="minorHAnsi"/>
          <w:lang w:eastAsia="en-GB"/>
        </w:rPr>
        <w:t>eno</w:t>
      </w:r>
      <w:r w:rsidRPr="009A613C">
        <w:rPr>
          <w:rFonts w:cstheme="minorHAnsi"/>
          <w:lang w:eastAsia="en-GB"/>
        </w:rPr>
        <w:t xml:space="preserve"> ili oteža</w:t>
      </w:r>
      <w:r>
        <w:rPr>
          <w:rFonts w:cstheme="minorHAnsi"/>
          <w:lang w:eastAsia="en-GB"/>
        </w:rPr>
        <w:t>no</w:t>
      </w:r>
      <w:r w:rsidRPr="009A613C">
        <w:rPr>
          <w:rFonts w:cstheme="minorHAnsi"/>
          <w:lang w:eastAsia="en-GB"/>
        </w:rPr>
        <w:t xml:space="preserve"> efektivn</w:t>
      </w:r>
      <w:r>
        <w:rPr>
          <w:rFonts w:cstheme="minorHAnsi"/>
          <w:lang w:eastAsia="en-GB"/>
        </w:rPr>
        <w:t>o</w:t>
      </w:r>
      <w:r w:rsidRPr="009A613C">
        <w:rPr>
          <w:rFonts w:cstheme="minorHAnsi"/>
          <w:lang w:eastAsia="en-GB"/>
        </w:rPr>
        <w:t xml:space="preserve"> </w:t>
      </w:r>
      <w:r>
        <w:rPr>
          <w:rFonts w:cstheme="minorHAnsi"/>
          <w:lang w:eastAsia="en-GB"/>
        </w:rPr>
        <w:t>praćenje</w:t>
      </w:r>
      <w:r w:rsidRPr="009A613C">
        <w:rPr>
          <w:rFonts w:cstheme="minorHAnsi"/>
          <w:lang w:eastAsia="en-GB"/>
        </w:rPr>
        <w:t xml:space="preserve"> uspjeha reformi postignutih kroz sprovođenje </w:t>
      </w:r>
      <w:r w:rsidRPr="00C97EB4">
        <w:rPr>
          <w:rFonts w:eastAsia="Calibri" w:cstheme="minorHAnsi"/>
        </w:rPr>
        <w:t>SRP 2019-2022</w:t>
      </w:r>
      <w:r w:rsidRPr="009A613C">
        <w:rPr>
          <w:rFonts w:cstheme="minorHAnsi"/>
          <w:lang w:eastAsia="en-GB"/>
        </w:rPr>
        <w:t xml:space="preserve">. Na ovo je uticala činjenica da u izradu </w:t>
      </w:r>
      <w:r>
        <w:rPr>
          <w:rFonts w:cstheme="minorHAnsi"/>
          <w:lang w:eastAsia="en-GB"/>
        </w:rPr>
        <w:t>ovog dokumenta</w:t>
      </w:r>
      <w:r w:rsidRPr="009A613C">
        <w:rPr>
          <w:rFonts w:cstheme="minorHAnsi"/>
          <w:lang w:eastAsia="en-GB"/>
        </w:rPr>
        <w:t xml:space="preserve"> nije bio direktno uključen Generalni </w:t>
      </w:r>
      <w:r w:rsidR="004E2978">
        <w:rPr>
          <w:rFonts w:cstheme="minorHAnsi"/>
          <w:lang w:eastAsia="en-GB"/>
        </w:rPr>
        <w:t>s</w:t>
      </w:r>
      <w:r w:rsidRPr="009A613C">
        <w:rPr>
          <w:rFonts w:cstheme="minorHAnsi"/>
          <w:lang w:eastAsia="en-GB"/>
        </w:rPr>
        <w:t>ekretarijat Vlade.</w:t>
      </w:r>
    </w:p>
    <w:p w14:paraId="5D30CD1E" w14:textId="405599B9" w:rsidR="00E54FB6" w:rsidRDefault="00E54FB6" w:rsidP="005E66B7">
      <w:pPr>
        <w:autoSpaceDE w:val="0"/>
        <w:autoSpaceDN w:val="0"/>
        <w:adjustRightInd w:val="0"/>
        <w:spacing w:after="0"/>
        <w:jc w:val="both"/>
        <w:rPr>
          <w:rFonts w:cstheme="minorHAnsi"/>
          <w:lang w:eastAsia="en-GB"/>
        </w:rPr>
      </w:pPr>
      <w:r w:rsidRPr="009A613C">
        <w:rPr>
          <w:rFonts w:cstheme="minorHAnsi"/>
          <w:lang w:eastAsia="en-GB"/>
        </w:rPr>
        <w:t>SRP 2019-2022. nije</w:t>
      </w:r>
      <w:r>
        <w:rPr>
          <w:rFonts w:cstheme="minorHAnsi"/>
          <w:lang w:eastAsia="en-GB"/>
        </w:rPr>
        <w:t xml:space="preserve"> bila</w:t>
      </w:r>
      <w:r w:rsidRPr="009A613C">
        <w:rPr>
          <w:rFonts w:cstheme="minorHAnsi"/>
          <w:lang w:eastAsia="en-GB"/>
        </w:rPr>
        <w:t xml:space="preserve"> usklađena sa relevantnim međunarodnim standardima rodne ravnopravnost</w:t>
      </w:r>
      <w:r w:rsidR="00481B6A">
        <w:rPr>
          <w:rFonts w:cstheme="minorHAnsi"/>
          <w:lang w:eastAsia="en-GB"/>
        </w:rPr>
        <w:t>i</w:t>
      </w:r>
      <w:r>
        <w:rPr>
          <w:rFonts w:cstheme="minorHAnsi"/>
          <w:lang w:eastAsia="en-GB"/>
        </w:rPr>
        <w:t>, jer ni sama</w:t>
      </w:r>
      <w:r w:rsidRPr="009A613C">
        <w:rPr>
          <w:rFonts w:cstheme="minorHAnsi"/>
          <w:lang w:eastAsia="en-GB"/>
        </w:rPr>
        <w:t xml:space="preserve"> Strategija </w:t>
      </w:r>
      <w:r>
        <w:rPr>
          <w:rFonts w:cstheme="minorHAnsi"/>
          <w:lang w:eastAsia="en-GB"/>
        </w:rPr>
        <w:t>n</w:t>
      </w:r>
      <w:r w:rsidRPr="009A613C">
        <w:rPr>
          <w:rFonts w:cstheme="minorHAnsi"/>
          <w:lang w:eastAsia="en-GB"/>
        </w:rPr>
        <w:t>i prateći akcioni planovi n</w:t>
      </w:r>
      <w:r>
        <w:rPr>
          <w:rFonts w:cstheme="minorHAnsi"/>
          <w:lang w:eastAsia="en-GB"/>
        </w:rPr>
        <w:t>isu</w:t>
      </w:r>
      <w:r w:rsidRPr="009A613C">
        <w:rPr>
          <w:rFonts w:cstheme="minorHAnsi"/>
          <w:lang w:eastAsia="en-GB"/>
        </w:rPr>
        <w:t xml:space="preserve"> prepozna</w:t>
      </w:r>
      <w:r>
        <w:rPr>
          <w:rFonts w:cstheme="minorHAnsi"/>
          <w:lang w:eastAsia="en-GB"/>
        </w:rPr>
        <w:t xml:space="preserve">li niti adresirali </w:t>
      </w:r>
      <w:r w:rsidRPr="009A613C">
        <w:rPr>
          <w:rFonts w:cstheme="minorHAnsi"/>
          <w:lang w:eastAsia="en-GB"/>
        </w:rPr>
        <w:t xml:space="preserve">manjkavosti postojećeg normativnog i institucionalnog okvira u Crnoj Gori, koji trenutno ne osigurava rodnu ravnopravnost nosilaca pravosudnih funkcija. </w:t>
      </w:r>
    </w:p>
    <w:p w14:paraId="0A1C27A0" w14:textId="77777777" w:rsidR="008B2CAC" w:rsidRDefault="008B2CAC" w:rsidP="005E66B7">
      <w:pPr>
        <w:autoSpaceDE w:val="0"/>
        <w:autoSpaceDN w:val="0"/>
        <w:adjustRightInd w:val="0"/>
        <w:spacing w:after="0"/>
        <w:jc w:val="both"/>
        <w:rPr>
          <w:rFonts w:cstheme="minorHAnsi"/>
          <w:lang w:eastAsia="en-GB"/>
        </w:rPr>
      </w:pPr>
    </w:p>
    <w:p w14:paraId="3439D915" w14:textId="1E06921A" w:rsidR="00E54FB6" w:rsidRPr="00885DD9" w:rsidRDefault="00E54FB6">
      <w:pPr>
        <w:pStyle w:val="Heading3"/>
        <w:numPr>
          <w:ilvl w:val="1"/>
          <w:numId w:val="6"/>
        </w:numPr>
        <w:spacing w:after="240"/>
        <w:jc w:val="center"/>
        <w:rPr>
          <w:lang w:eastAsia="en-GB"/>
        </w:rPr>
      </w:pPr>
      <w:bookmarkStart w:id="13" w:name="_Toc156937942"/>
      <w:r>
        <w:rPr>
          <w:lang w:eastAsia="en-GB"/>
        </w:rPr>
        <w:t>Efikasnost</w:t>
      </w:r>
      <w:r w:rsidR="00A6678D">
        <w:rPr>
          <w:lang w:eastAsia="en-GB"/>
        </w:rPr>
        <w:t xml:space="preserve"> i održivost</w:t>
      </w:r>
      <w:r>
        <w:rPr>
          <w:lang w:eastAsia="en-GB"/>
        </w:rPr>
        <w:t xml:space="preserve"> sprovođenja SRP 2019-2022</w:t>
      </w:r>
      <w:bookmarkEnd w:id="13"/>
    </w:p>
    <w:p w14:paraId="6B0A4C8D" w14:textId="52452CA6" w:rsidR="00E54FB6" w:rsidRPr="009A613C" w:rsidRDefault="00E54FB6" w:rsidP="00E54FB6">
      <w:pPr>
        <w:spacing w:after="120"/>
        <w:jc w:val="both"/>
        <w:rPr>
          <w:rFonts w:cstheme="minorHAnsi"/>
          <w:bCs/>
        </w:rPr>
      </w:pPr>
      <w:r w:rsidRPr="009A613C">
        <w:rPr>
          <w:rFonts w:cstheme="minorHAnsi"/>
          <w:bCs/>
        </w:rPr>
        <w:t xml:space="preserve">U pogledu </w:t>
      </w:r>
      <w:r w:rsidRPr="008C54EB">
        <w:rPr>
          <w:rFonts w:cstheme="minorHAnsi"/>
          <w:bCs/>
        </w:rPr>
        <w:t>efektivnosti,</w:t>
      </w:r>
      <w:r w:rsidRPr="009A613C">
        <w:rPr>
          <w:rFonts w:cstheme="minorHAnsi"/>
          <w:bCs/>
        </w:rPr>
        <w:t xml:space="preserve"> nakon sumiranja statističkih parametara o sprovođenju Strategije, može se zaključiti da je, uz izuzetak 2019. kao prve godine sprovođenja, procenat implementacije u periodu 2020-2022. nezadovoljavajući.</w:t>
      </w:r>
    </w:p>
    <w:p w14:paraId="0527B02B" w14:textId="77777777" w:rsidR="00E54FB6" w:rsidRPr="009A613C" w:rsidRDefault="00E54FB6" w:rsidP="00E54FB6">
      <w:pPr>
        <w:autoSpaceDE w:val="0"/>
        <w:autoSpaceDN w:val="0"/>
        <w:adjustRightInd w:val="0"/>
        <w:spacing w:after="0" w:line="240" w:lineRule="auto"/>
        <w:jc w:val="center"/>
        <w:rPr>
          <w:rFonts w:ascii="MyriadPro-Light" w:hAnsi="MyriadPro-Light" w:cs="MyriadPro-Light"/>
          <w:sz w:val="18"/>
          <w:szCs w:val="18"/>
          <w:lang w:eastAsia="en-GB"/>
        </w:rPr>
      </w:pPr>
      <w:r w:rsidRPr="009A613C">
        <w:rPr>
          <w:rFonts w:ascii="MyriadPro-Light" w:hAnsi="MyriadPro-Light" w:cs="MyriadPro-Light"/>
          <w:sz w:val="18"/>
          <w:szCs w:val="18"/>
          <w:lang w:eastAsia="en-GB"/>
        </w:rPr>
        <w:t>Grafikon 1 : Stepen realizacije aktivnosti po godinama</w:t>
      </w:r>
      <w:r>
        <w:rPr>
          <w:rStyle w:val="FootnoteReference"/>
          <w:rFonts w:ascii="MyriadPro-Light" w:hAnsi="MyriadPro-Light" w:cs="MyriadPro-Light"/>
          <w:sz w:val="18"/>
          <w:szCs w:val="18"/>
          <w:lang w:eastAsia="en-GB"/>
        </w:rPr>
        <w:footnoteReference w:id="22"/>
      </w:r>
    </w:p>
    <w:p w14:paraId="5E9E074F" w14:textId="77777777" w:rsidR="00E54FB6" w:rsidRPr="009A613C" w:rsidRDefault="00E54FB6" w:rsidP="00E54FB6">
      <w:pPr>
        <w:autoSpaceDE w:val="0"/>
        <w:autoSpaceDN w:val="0"/>
        <w:adjustRightInd w:val="0"/>
        <w:spacing w:after="0" w:line="240" w:lineRule="auto"/>
        <w:rPr>
          <w:rFonts w:ascii="MyriadPro-Light" w:hAnsi="MyriadPro-Light" w:cs="MyriadPro-Light"/>
          <w:sz w:val="18"/>
          <w:szCs w:val="18"/>
          <w:highlight w:val="green"/>
          <w:lang w:eastAsia="en-GB"/>
        </w:rPr>
      </w:pPr>
    </w:p>
    <w:p w14:paraId="4D91769F" w14:textId="319F7D04" w:rsidR="00E54FB6" w:rsidRPr="005E66B7" w:rsidRDefault="00E54FB6" w:rsidP="005E66B7">
      <w:pPr>
        <w:autoSpaceDE w:val="0"/>
        <w:autoSpaceDN w:val="0"/>
        <w:adjustRightInd w:val="0"/>
        <w:spacing w:after="0" w:line="240" w:lineRule="auto"/>
        <w:jc w:val="center"/>
        <w:rPr>
          <w:rFonts w:ascii="MyriadPro-Light" w:hAnsi="MyriadPro-Light" w:cs="MyriadPro-Light"/>
          <w:sz w:val="18"/>
          <w:szCs w:val="18"/>
          <w:highlight w:val="green"/>
          <w:lang w:eastAsia="en-GB"/>
        </w:rPr>
      </w:pPr>
      <w:r w:rsidRPr="009A613C">
        <w:rPr>
          <w:noProof/>
          <w:lang w:val="en-GB" w:eastAsia="en-GB"/>
        </w:rPr>
        <w:drawing>
          <wp:inline distT="0" distB="0" distL="0" distR="0" wp14:anchorId="43E20CE2" wp14:editId="6F5BE9B5">
            <wp:extent cx="5375910" cy="3619500"/>
            <wp:effectExtent l="0" t="0" r="15240" b="0"/>
            <wp:docPr id="10" name="Chart 10">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8087DA" w14:textId="77777777" w:rsidR="00E54FB6" w:rsidRDefault="00E54FB6" w:rsidP="005E66B7">
      <w:pPr>
        <w:autoSpaceDE w:val="0"/>
        <w:autoSpaceDN w:val="0"/>
        <w:adjustRightInd w:val="0"/>
        <w:spacing w:before="240" w:after="120"/>
        <w:jc w:val="both"/>
        <w:rPr>
          <w:rFonts w:cstheme="minorHAnsi"/>
          <w:lang w:eastAsia="en-GB"/>
        </w:rPr>
      </w:pPr>
      <w:r w:rsidRPr="009A613C">
        <w:rPr>
          <w:rFonts w:cstheme="minorHAnsi"/>
          <w:lang w:eastAsia="en-GB"/>
        </w:rPr>
        <w:lastRenderedPageBreak/>
        <w:t xml:space="preserve">Kada je riječ o </w:t>
      </w:r>
      <w:r w:rsidRPr="009A613C">
        <w:rPr>
          <w:rFonts w:cstheme="minorHAnsi"/>
          <w:b/>
          <w:bCs/>
          <w:lang w:eastAsia="en-GB"/>
        </w:rPr>
        <w:t>stepenu realizacije aktivnosti po strateškim ciljevima</w:t>
      </w:r>
      <w:r w:rsidRPr="009A613C">
        <w:rPr>
          <w:rFonts w:cstheme="minorHAnsi"/>
          <w:lang w:eastAsia="en-GB"/>
        </w:rPr>
        <w:t>, primjetna je značajna razlika u pogledu ostvarenih rezultata, budući da se stepen potpune realizacije aktivnosti  kreće od minimalnih 55,56% u slučaju strateškog cilja 3, pa sve do približno 80% što je procenat realizacije dostignut kod strateških ciljeva 1, 2. i 4.</w:t>
      </w:r>
    </w:p>
    <w:p w14:paraId="7CBF5243" w14:textId="77777777" w:rsidR="008B2CAC" w:rsidRDefault="008B2CAC" w:rsidP="005E66B7">
      <w:pPr>
        <w:autoSpaceDE w:val="0"/>
        <w:autoSpaceDN w:val="0"/>
        <w:adjustRightInd w:val="0"/>
        <w:spacing w:before="240" w:after="120"/>
        <w:jc w:val="both"/>
        <w:rPr>
          <w:rFonts w:cstheme="minorHAnsi"/>
          <w:lang w:eastAsia="en-GB"/>
        </w:rPr>
      </w:pPr>
    </w:p>
    <w:p w14:paraId="0885AE1F" w14:textId="2B9C98D2" w:rsidR="005E66B7" w:rsidRDefault="005E66B7" w:rsidP="005E66B7">
      <w:pPr>
        <w:autoSpaceDE w:val="0"/>
        <w:autoSpaceDN w:val="0"/>
        <w:adjustRightInd w:val="0"/>
        <w:spacing w:after="120"/>
        <w:jc w:val="center"/>
        <w:rPr>
          <w:rFonts w:cstheme="minorHAnsi"/>
          <w:lang w:eastAsia="en-GB"/>
        </w:rPr>
      </w:pPr>
      <w:r w:rsidRPr="009A613C">
        <w:rPr>
          <w:rFonts w:ascii="MyriadPro-Light" w:hAnsi="MyriadPro-Light" w:cs="MyriadPro-Light"/>
          <w:sz w:val="18"/>
          <w:szCs w:val="18"/>
          <w:lang w:eastAsia="en-GB"/>
        </w:rPr>
        <w:t xml:space="preserve">Grafikon </w:t>
      </w:r>
      <w:r>
        <w:rPr>
          <w:rFonts w:ascii="MyriadPro-Light" w:hAnsi="MyriadPro-Light" w:cs="MyriadPro-Light"/>
          <w:sz w:val="18"/>
          <w:szCs w:val="18"/>
          <w:lang w:eastAsia="en-GB"/>
        </w:rPr>
        <w:t>2</w:t>
      </w:r>
      <w:r w:rsidRPr="009A613C">
        <w:rPr>
          <w:rFonts w:ascii="MyriadPro-Light" w:hAnsi="MyriadPro-Light" w:cs="MyriadPro-Light"/>
          <w:sz w:val="18"/>
          <w:szCs w:val="18"/>
          <w:lang w:eastAsia="en-GB"/>
        </w:rPr>
        <w:t xml:space="preserve"> : Stepen realizacije aktivnosti po </w:t>
      </w:r>
      <w:r>
        <w:rPr>
          <w:rFonts w:ascii="MyriadPro-Light" w:hAnsi="MyriadPro-Light" w:cs="MyriadPro-Light"/>
          <w:sz w:val="18"/>
          <w:szCs w:val="18"/>
          <w:lang w:eastAsia="en-GB"/>
        </w:rPr>
        <w:t>strateškim ciljevima</w:t>
      </w:r>
    </w:p>
    <w:p w14:paraId="3DE8AB15" w14:textId="77777777" w:rsidR="00E54FB6" w:rsidRPr="009A613C" w:rsidRDefault="00E54FB6" w:rsidP="00E54FB6">
      <w:pPr>
        <w:autoSpaceDE w:val="0"/>
        <w:autoSpaceDN w:val="0"/>
        <w:adjustRightInd w:val="0"/>
        <w:spacing w:after="120"/>
        <w:jc w:val="center"/>
        <w:rPr>
          <w:rFonts w:cstheme="minorHAnsi"/>
          <w:lang w:eastAsia="en-GB"/>
        </w:rPr>
      </w:pPr>
      <w:r>
        <w:rPr>
          <w:rFonts w:cstheme="minorHAnsi"/>
          <w:noProof/>
          <w:lang w:val="en-GB" w:eastAsia="en-GB"/>
          <w14:ligatures w14:val="standardContextual"/>
        </w:rPr>
        <w:drawing>
          <wp:inline distT="0" distB="0" distL="0" distR="0" wp14:anchorId="0DD8D428" wp14:editId="4DB23D2B">
            <wp:extent cx="4373093" cy="2238451"/>
            <wp:effectExtent l="0" t="0" r="8890" b="9525"/>
            <wp:docPr id="3957957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F82C42" w14:textId="01A6D336" w:rsidR="00E54FB6" w:rsidRDefault="00E54FB6" w:rsidP="00E54FB6">
      <w:pPr>
        <w:autoSpaceDE w:val="0"/>
        <w:autoSpaceDN w:val="0"/>
        <w:adjustRightInd w:val="0"/>
        <w:spacing w:after="120"/>
        <w:jc w:val="both"/>
        <w:rPr>
          <w:rFonts w:cstheme="minorHAnsi"/>
        </w:rPr>
      </w:pPr>
      <w:r w:rsidRPr="009A613C">
        <w:rPr>
          <w:rFonts w:cstheme="minorHAnsi"/>
          <w:lang w:eastAsia="en-GB"/>
        </w:rPr>
        <w:t xml:space="preserve">Osnovni </w:t>
      </w:r>
      <w:r w:rsidRPr="009A613C">
        <w:rPr>
          <w:rFonts w:cstheme="minorHAnsi"/>
          <w:b/>
          <w:bCs/>
          <w:lang w:eastAsia="en-GB"/>
        </w:rPr>
        <w:t>razlozi nedovoljnog stepena realizacije Strategije</w:t>
      </w:r>
      <w:r w:rsidRPr="009A613C">
        <w:rPr>
          <w:rFonts w:cstheme="minorHAnsi"/>
          <w:lang w:eastAsia="en-GB"/>
        </w:rPr>
        <w:t xml:space="preserve"> leže u metodološkim propustima prilikom definisanja operativnih ciljeva, aktivnosti i rokova za njihovu realizaciju, kao i niskog kvaliteta indikatora koji onemogućavaju efektivno praćenje sprovođenja reformi. Pored toga, značajan uticaj imala je i neefikasnost monitoring mehanizma, sa fokusom na neadekvatnoj organizacionoj strukturi i izostanku mehanizma ranog uzbunjivanja. </w:t>
      </w:r>
      <w:r w:rsidRPr="009A613C">
        <w:rPr>
          <w:rFonts w:cstheme="minorHAnsi"/>
        </w:rPr>
        <w:t xml:space="preserve">Dugotrajna blokada rada Sudskog savjeta </w:t>
      </w:r>
      <w:r w:rsidR="0051584F">
        <w:rPr>
          <w:rFonts w:cstheme="minorHAnsi"/>
        </w:rPr>
        <w:t>i</w:t>
      </w:r>
      <w:r w:rsidRPr="009A613C">
        <w:rPr>
          <w:rFonts w:cstheme="minorHAnsi"/>
        </w:rPr>
        <w:t xml:space="preserve"> Tužilačkog savjeta, manjak ljudskih resursa i neophodne ekspertize u institucijama, pandemija izazvana virusom COVID 19, štrajk advokata, kao i opšta politička nestabilnost u državi, značajno su usporile sprovođenje Strategije. </w:t>
      </w:r>
    </w:p>
    <w:p w14:paraId="48C69B78" w14:textId="095D3783" w:rsidR="00E54FB6" w:rsidRPr="009A613C" w:rsidRDefault="00E54FB6" w:rsidP="00E54FB6">
      <w:pPr>
        <w:spacing w:after="120"/>
        <w:jc w:val="both"/>
        <w:rPr>
          <w:rFonts w:cstheme="minorHAnsi"/>
        </w:rPr>
      </w:pPr>
      <w:r w:rsidRPr="009A613C">
        <w:rPr>
          <w:rFonts w:cstheme="minorHAnsi"/>
        </w:rPr>
        <w:t xml:space="preserve">Planirana </w:t>
      </w:r>
      <w:r w:rsidRPr="009A613C">
        <w:rPr>
          <w:rFonts w:cstheme="minorHAnsi"/>
          <w:b/>
          <w:bCs/>
        </w:rPr>
        <w:t>sredstva namijenjena za realizaciju Strategije</w:t>
      </w:r>
      <w:r w:rsidRPr="009A613C">
        <w:rPr>
          <w:rFonts w:cstheme="minorHAnsi"/>
        </w:rPr>
        <w:t xml:space="preserve"> i akcionih planova su generalno bila dovoljna. Finansiranje planiranih aktivnosti je u značajnoj mjeri podržano od strane donatora. Postojeći monitoring nije obezbijedio mogućnost sagledavanja efikasnosti planiranih i utrošenih finansijskih sredstava u odnosu na ostvarene rezultate. Problem nedostatka kadrovskih kapaciteta u pojedinim institucijama, dodatno pojačan kadrovskim fluktuacijama u periodu sprovođenja strategije, uticao je na izostanak realizacije pojedinih aktivnosti, dok alternativna rješenja nijesu bila predviđena. Nedostatak polaznih osnova prepoznat je kao jedan od ograničavajućih faktora koji su uticali na </w:t>
      </w:r>
      <w:r w:rsidR="0051584F">
        <w:rPr>
          <w:rFonts w:cstheme="minorHAnsi"/>
        </w:rPr>
        <w:t xml:space="preserve">ostvarenje </w:t>
      </w:r>
      <w:r w:rsidRPr="009A613C">
        <w:rPr>
          <w:rFonts w:cstheme="minorHAnsi"/>
        </w:rPr>
        <w:t xml:space="preserve">ciljanih ishoda, planiranje obima aktivnosti, dinamike realizacije i procjene potrebnih sredstava.  </w:t>
      </w:r>
    </w:p>
    <w:p w14:paraId="06472CFA" w14:textId="39705046" w:rsidR="00E54FB6" w:rsidRPr="009A613C" w:rsidRDefault="00E54FB6" w:rsidP="00E54FB6">
      <w:pPr>
        <w:autoSpaceDE w:val="0"/>
        <w:autoSpaceDN w:val="0"/>
        <w:adjustRightInd w:val="0"/>
        <w:spacing w:after="120"/>
        <w:ind w:left="-14"/>
        <w:jc w:val="both"/>
        <w:rPr>
          <w:rFonts w:cstheme="minorHAnsi"/>
        </w:rPr>
      </w:pPr>
      <w:r w:rsidRPr="009A613C">
        <w:rPr>
          <w:rFonts w:cstheme="minorHAnsi"/>
        </w:rPr>
        <w:t xml:space="preserve">Postojeći </w:t>
      </w:r>
      <w:r w:rsidRPr="009A613C">
        <w:rPr>
          <w:rFonts w:cstheme="minorHAnsi"/>
          <w:b/>
          <w:bCs/>
        </w:rPr>
        <w:t>monitoring mehanizam</w:t>
      </w:r>
      <w:r w:rsidRPr="009A613C">
        <w:rPr>
          <w:rFonts w:cstheme="minorHAnsi"/>
        </w:rPr>
        <w:t xml:space="preserve"> samo je djelimično ostvario svrhu obezb</w:t>
      </w:r>
      <w:r w:rsidR="0051584F">
        <w:rPr>
          <w:rFonts w:cstheme="minorHAnsi"/>
        </w:rPr>
        <w:t>j</w:t>
      </w:r>
      <w:r w:rsidRPr="009A613C">
        <w:rPr>
          <w:rFonts w:cstheme="minorHAnsi"/>
        </w:rPr>
        <w:t xml:space="preserve">eđivanja efikasnog sprovođenja Strategije. Ovo je uzrokovano izostankom mehanizma ranog uzbunjivanja, niskom (godišnjom) frekvencijom izvještavanja, ali i multiplikacijom monitoring mehanizama u oblasti reforme pravosuđa i preopterećenošću administrativnih kapaciteta poslovima izvještavanja. </w:t>
      </w:r>
    </w:p>
    <w:p w14:paraId="73953940" w14:textId="77777777" w:rsidR="00E54FB6" w:rsidRPr="009A613C" w:rsidRDefault="00E54FB6" w:rsidP="00E54FB6">
      <w:pPr>
        <w:autoSpaceDE w:val="0"/>
        <w:autoSpaceDN w:val="0"/>
        <w:adjustRightInd w:val="0"/>
        <w:spacing w:after="120"/>
        <w:ind w:left="-14"/>
        <w:jc w:val="both"/>
        <w:rPr>
          <w:rFonts w:cstheme="minorHAnsi"/>
          <w:lang w:eastAsia="en-GB"/>
        </w:rPr>
      </w:pPr>
      <w:r w:rsidRPr="009A613C">
        <w:rPr>
          <w:rFonts w:cstheme="minorHAnsi"/>
          <w:lang w:eastAsia="en-GB"/>
        </w:rPr>
        <w:t>Osim ranije navedenih razloga koji ukazuju na neophodnost kontinuiteta strateškog planiranja u oblasti reforme pravosuđa, postoji opravdana sumnja da bi odustanak od ove prakse negativno uticao na održivost već sprovedenih reformi.</w:t>
      </w:r>
    </w:p>
    <w:p w14:paraId="3EC24290" w14:textId="77777777" w:rsidR="00E54FB6" w:rsidRPr="009A613C" w:rsidRDefault="00E54FB6" w:rsidP="00E54FB6">
      <w:pPr>
        <w:spacing w:after="120"/>
        <w:jc w:val="both"/>
        <w:rPr>
          <w:rFonts w:cstheme="minorHAnsi"/>
        </w:rPr>
      </w:pPr>
      <w:r w:rsidRPr="009A613C">
        <w:rPr>
          <w:rFonts w:cstheme="minorHAnsi"/>
        </w:rPr>
        <w:lastRenderedPageBreak/>
        <w:t xml:space="preserve">Sprovođenje Strategije imalo je </w:t>
      </w:r>
      <w:r w:rsidRPr="009A613C">
        <w:rPr>
          <w:rFonts w:cstheme="minorHAnsi"/>
          <w:b/>
          <w:bCs/>
        </w:rPr>
        <w:t>ograničen uticaj</w:t>
      </w:r>
      <w:r w:rsidRPr="009A613C">
        <w:rPr>
          <w:rFonts w:cstheme="minorHAnsi"/>
        </w:rPr>
        <w:t xml:space="preserve"> kako na nosioce pravosudnih funkcija i pravosudni sistem u cjelini, tako i na građane, NVO, privredu i proces EU integracija.</w:t>
      </w:r>
    </w:p>
    <w:p w14:paraId="3D8060F5" w14:textId="77777777" w:rsidR="00E54FB6" w:rsidRPr="009A613C" w:rsidRDefault="00E54FB6" w:rsidP="00E54FB6">
      <w:pPr>
        <w:spacing w:after="120"/>
        <w:jc w:val="both"/>
        <w:rPr>
          <w:rFonts w:cstheme="minorHAnsi"/>
        </w:rPr>
      </w:pPr>
      <w:r w:rsidRPr="009A613C">
        <w:rPr>
          <w:rFonts w:cstheme="minorHAnsi"/>
        </w:rPr>
        <w:t xml:space="preserve">U pogledu uticaja na nosioce pravosudnih funkcija, iako je Strategija omogućila jačanje njihovih stručnih kapaciteta kroz brojne programe obuka i međunarodne saradnje, dugotrajna blokada rada oba savjeta, kašnjenje zakonodavne reforme u gotovo svim segmentima, izostanak kapitalnih investicija u pravosudnu infrastrukturu i IKT sistem, pandemija izazvana virusom COVID 19, štrajk advokata kao i opšta politička nestabilnost u državi, značajno su umanjili potencijalni uticaj sprovođenja Strategije, pa čak doveli i do stagnacije i regresivnih procesa u pojedinim oblastima. </w:t>
      </w:r>
    </w:p>
    <w:p w14:paraId="01147E42" w14:textId="5FD0D2E9" w:rsidR="00E54FB6" w:rsidRPr="009A613C" w:rsidRDefault="00E54FB6" w:rsidP="00E54FB6">
      <w:pPr>
        <w:spacing w:after="120"/>
        <w:jc w:val="both"/>
        <w:rPr>
          <w:rFonts w:cstheme="minorHAnsi"/>
        </w:rPr>
      </w:pPr>
      <w:r w:rsidRPr="009A613C">
        <w:rPr>
          <w:rFonts w:cstheme="minorHAnsi"/>
        </w:rPr>
        <w:t xml:space="preserve">U pogledu uticaja na građane i privredu, moglo bi se reći da je uticaj Strategije veoma ograničen, pri čemu su efekti najvidljiviji u dijelu koji se odnosi na rad pravosudnih profesija, prvenstveno </w:t>
      </w:r>
      <w:r w:rsidR="0051584F">
        <w:rPr>
          <w:rFonts w:cstheme="minorHAnsi"/>
        </w:rPr>
        <w:t xml:space="preserve">javnih </w:t>
      </w:r>
      <w:r w:rsidRPr="009A613C">
        <w:rPr>
          <w:rFonts w:cstheme="minorHAnsi"/>
        </w:rPr>
        <w:t>izvršitelja i notara čiji je rad u mnogome doprinio olakšanom pristupu pravdi i povećanju pravne sigurnosti kroz efikasnije izvršenje sudskih odluka i rasterećenje sudova. Nizak nivo povjerenja građana u pravosuđe, uključujući ovdje i advokate,  koje se obrazlaže manjkom integriteta uslijed uticaja politike i korupcije, dodatno govori o limitiranim efektima sprovođenja Strategije, naročito u pogledu uspostavljanja efektivnih mehanizama odgovornosti.</w:t>
      </w:r>
      <w:r w:rsidRPr="009A613C">
        <w:rPr>
          <w:rStyle w:val="FootnoteReference"/>
          <w:rFonts w:cstheme="minorHAnsi"/>
        </w:rPr>
        <w:footnoteReference w:id="23"/>
      </w:r>
      <w:r w:rsidRPr="009A613C">
        <w:rPr>
          <w:rFonts w:cstheme="minorHAnsi"/>
        </w:rPr>
        <w:t xml:space="preserve"> </w:t>
      </w:r>
    </w:p>
    <w:p w14:paraId="0A3C68FF" w14:textId="77777777" w:rsidR="00E54FB6" w:rsidRPr="009A613C" w:rsidRDefault="00E54FB6" w:rsidP="00E54FB6">
      <w:pPr>
        <w:spacing w:after="120"/>
        <w:jc w:val="both"/>
        <w:rPr>
          <w:rFonts w:cstheme="minorHAnsi"/>
        </w:rPr>
      </w:pPr>
      <w:r w:rsidRPr="009A613C">
        <w:rPr>
          <w:rFonts w:cstheme="minorHAnsi"/>
        </w:rPr>
        <w:t xml:space="preserve">I pored opšte ocjene da su prakse inkluzivnosti i transparentnosti kreiranja i sprovođenja javnih politika unaprijeđene prethodnih godina, predstavnici NVO i dalje imaju zamjerke u pogledu obima i kvaliteta njihovog uključivanja u ove procese. </w:t>
      </w:r>
    </w:p>
    <w:p w14:paraId="4A94A8E6" w14:textId="77777777" w:rsidR="00E54FB6" w:rsidRPr="009A613C" w:rsidRDefault="00E54FB6" w:rsidP="00E54FB6">
      <w:pPr>
        <w:spacing w:after="120"/>
        <w:jc w:val="both"/>
        <w:rPr>
          <w:rFonts w:cstheme="minorHAnsi"/>
        </w:rPr>
      </w:pPr>
      <w:r w:rsidRPr="009A613C">
        <w:rPr>
          <w:rFonts w:cstheme="minorHAnsi"/>
        </w:rPr>
        <w:t>Iako predstavlja jedan od osnovnih reformskih stubova u okviru Poglavlja 23 i 24, odnosno čitavog Klastera 1 (</w:t>
      </w:r>
      <w:r w:rsidRPr="009A613C">
        <w:rPr>
          <w:rFonts w:cstheme="minorHAnsi"/>
          <w:i/>
          <w:iCs/>
        </w:rPr>
        <w:t>Fundamentals</w:t>
      </w:r>
      <w:r w:rsidRPr="009A613C">
        <w:rPr>
          <w:rFonts w:cstheme="minorHAnsi"/>
        </w:rPr>
        <w:t>), uslijed limitiranog uticaja koji je ostvarila u periodu sprovođenja, Strategija nije značajnije doprinijela procesu pristupanja Crne Gore EU. Naprotiv, njeno neefikasno sprovođenje imalo je negativan uticaj na ovaj proces.</w:t>
      </w:r>
    </w:p>
    <w:p w14:paraId="76F82042" w14:textId="00E4F71B" w:rsidR="005A4420" w:rsidRDefault="00E54FB6" w:rsidP="00E54FB6">
      <w:pPr>
        <w:spacing w:after="0"/>
        <w:jc w:val="both"/>
        <w:rPr>
          <w:rFonts w:cstheme="minorHAnsi"/>
          <w:lang w:eastAsia="en-GB"/>
        </w:rPr>
      </w:pPr>
      <w:r w:rsidRPr="009A613C">
        <w:rPr>
          <w:rFonts w:cstheme="minorHAnsi"/>
          <w:lang w:eastAsia="en-GB"/>
        </w:rPr>
        <w:t xml:space="preserve">Kada je riječ  </w:t>
      </w:r>
      <w:r w:rsidRPr="009A613C">
        <w:rPr>
          <w:rFonts w:cstheme="minorHAnsi"/>
          <w:b/>
          <w:bCs/>
          <w:lang w:eastAsia="en-GB"/>
        </w:rPr>
        <w:t>održivosti rezultata sprovođenja Strategije</w:t>
      </w:r>
      <w:r w:rsidRPr="009A613C">
        <w:rPr>
          <w:rFonts w:cstheme="minorHAnsi"/>
          <w:lang w:eastAsia="en-GB"/>
        </w:rPr>
        <w:t>, poseban razlog za brigu u ovom kontekstu predstavlja nedostatak efektivnog upravljanja budžetom i ljudskim resursima, kao i manjak ljudskih resursa, a naročito kapaciteta u oblasti analitike, strateškog i projektnog planiranja. Sve ovo, u sadejstvu sa visokim stepenom finansijske, ekspertske i logističke zavisnosti velikog segmenta reformi od projektne podrške, dovodi u pitanje održivost već dostignutih i očekivanih benefita sprovedenih reformi.</w:t>
      </w:r>
    </w:p>
    <w:p w14:paraId="48FB9EA6" w14:textId="676C74D6" w:rsidR="00DA4493" w:rsidRDefault="00DA4493" w:rsidP="00E54FB6">
      <w:pPr>
        <w:spacing w:after="0"/>
        <w:jc w:val="both"/>
        <w:rPr>
          <w:rFonts w:cstheme="minorHAnsi"/>
          <w:lang w:eastAsia="en-GB"/>
        </w:rPr>
      </w:pPr>
    </w:p>
    <w:p w14:paraId="1DF0FB06" w14:textId="415A58DD" w:rsidR="005E66B7" w:rsidRPr="00DA4493" w:rsidRDefault="00C02223" w:rsidP="00DA4493">
      <w:pPr>
        <w:pStyle w:val="Heading1"/>
        <w:jc w:val="center"/>
        <w:rPr>
          <w:lang w:eastAsia="en-GB"/>
        </w:rPr>
      </w:pPr>
      <w:bookmarkStart w:id="15" w:name="_Toc156937943"/>
      <w:r>
        <w:rPr>
          <w:lang w:eastAsia="en-GB"/>
        </w:rPr>
        <w:t>II</w:t>
      </w:r>
      <w:r w:rsidR="00880A3A">
        <w:rPr>
          <w:lang w:eastAsia="en-GB"/>
        </w:rPr>
        <w:t xml:space="preserve"> ANALIZA POSTOJEĆEG STANJA</w:t>
      </w:r>
      <w:bookmarkEnd w:id="15"/>
    </w:p>
    <w:p w14:paraId="04B2D0D3" w14:textId="4F97BC42" w:rsidR="005E66B7" w:rsidRDefault="005E66B7">
      <w:pPr>
        <w:pStyle w:val="Heading2"/>
        <w:numPr>
          <w:ilvl w:val="0"/>
          <w:numId w:val="12"/>
        </w:numPr>
        <w:spacing w:after="240"/>
        <w:jc w:val="center"/>
        <w:rPr>
          <w:rStyle w:val="Heading3Char"/>
          <w:i w:val="0"/>
          <w:color w:val="2F5496" w:themeColor="accent1" w:themeShade="BF"/>
          <w:sz w:val="26"/>
          <w:szCs w:val="26"/>
        </w:rPr>
      </w:pPr>
      <w:bookmarkStart w:id="16" w:name="_Toc156937944"/>
      <w:r w:rsidRPr="005E66B7">
        <w:rPr>
          <w:rStyle w:val="Heading3Char"/>
          <w:i w:val="0"/>
          <w:color w:val="2F5496" w:themeColor="accent1" w:themeShade="BF"/>
          <w:sz w:val="26"/>
          <w:szCs w:val="26"/>
        </w:rPr>
        <w:t>N</w:t>
      </w:r>
      <w:r w:rsidR="00E54FB6" w:rsidRPr="005E66B7">
        <w:rPr>
          <w:rStyle w:val="Heading3Char"/>
          <w:i w:val="0"/>
          <w:color w:val="2F5496" w:themeColor="accent1" w:themeShade="BF"/>
          <w:sz w:val="26"/>
          <w:szCs w:val="26"/>
        </w:rPr>
        <w:t>ezavisnost, nepristrasnost i odgovornost pravosuđa</w:t>
      </w:r>
      <w:bookmarkEnd w:id="16"/>
    </w:p>
    <w:p w14:paraId="1F0347AD" w14:textId="4C7DDE35" w:rsidR="00F34229" w:rsidRPr="00F34229" w:rsidRDefault="00F34229">
      <w:pPr>
        <w:pStyle w:val="Heading3"/>
        <w:numPr>
          <w:ilvl w:val="1"/>
          <w:numId w:val="12"/>
        </w:numPr>
        <w:spacing w:after="240"/>
        <w:jc w:val="center"/>
      </w:pPr>
      <w:bookmarkStart w:id="17" w:name="_Toc156937945"/>
      <w:r>
        <w:t>Nezavisnost i nepristrasnost</w:t>
      </w:r>
      <w:bookmarkEnd w:id="17"/>
    </w:p>
    <w:p w14:paraId="113504D6" w14:textId="12F3231A" w:rsidR="00767DD5" w:rsidRDefault="005E66B7" w:rsidP="00E54FB6">
      <w:pPr>
        <w:spacing w:after="120"/>
        <w:jc w:val="both"/>
        <w:rPr>
          <w:rFonts w:cstheme="minorHAnsi"/>
        </w:rPr>
      </w:pPr>
      <w:r>
        <w:rPr>
          <w:rFonts w:cstheme="minorHAnsi"/>
        </w:rPr>
        <w:t xml:space="preserve">Suprotno očekivanjima da će prethodni reformski ciklus rezultirati finalnim usaglašavanjem normativnog okvira sa relevantnim međunarodnim standardima preciziranim kroz preporuke Venecijanske komisije, </w:t>
      </w:r>
      <w:r w:rsidR="00E54FB6" w:rsidRPr="009A613C">
        <w:rPr>
          <w:rFonts w:cstheme="minorHAnsi"/>
        </w:rPr>
        <w:t>efektivnost reformi</w:t>
      </w:r>
      <w:r>
        <w:rPr>
          <w:rFonts w:cstheme="minorHAnsi"/>
        </w:rPr>
        <w:t xml:space="preserve"> u ovoj oblasti i dalje</w:t>
      </w:r>
      <w:r w:rsidR="00E54FB6" w:rsidRPr="009A613C">
        <w:rPr>
          <w:rFonts w:cstheme="minorHAnsi"/>
        </w:rPr>
        <w:t xml:space="preserve"> je ograničena uslijed </w:t>
      </w:r>
      <w:r w:rsidR="00E54FB6" w:rsidRPr="009A613C">
        <w:rPr>
          <w:rFonts w:cstheme="minorHAnsi"/>
          <w:b/>
          <w:bCs/>
        </w:rPr>
        <w:t>kašnjenja izmjena pravosudno-</w:t>
      </w:r>
      <w:r w:rsidR="00E54FB6" w:rsidRPr="009A613C">
        <w:rPr>
          <w:rFonts w:cstheme="minorHAnsi"/>
          <w:b/>
          <w:bCs/>
        </w:rPr>
        <w:lastRenderedPageBreak/>
        <w:t>organizacionog zakonodavstva</w:t>
      </w:r>
      <w:r w:rsidR="00E54FB6" w:rsidRPr="009A613C">
        <w:rPr>
          <w:rFonts w:cstheme="minorHAnsi"/>
        </w:rPr>
        <w:t>, iako je sam proces rada na izradi nacrta</w:t>
      </w:r>
      <w:r w:rsidR="008B2CAC">
        <w:rPr>
          <w:rFonts w:cstheme="minorHAnsi"/>
        </w:rPr>
        <w:t xml:space="preserve"> ve</w:t>
      </w:r>
      <w:r w:rsidR="008B2CAC" w:rsidRPr="008B2CAC">
        <w:rPr>
          <w:rFonts w:cstheme="minorHAnsi"/>
        </w:rPr>
        <w:t xml:space="preserve">ć </w:t>
      </w:r>
      <w:r w:rsidR="008B2CAC">
        <w:rPr>
          <w:rFonts w:cstheme="minorHAnsi"/>
        </w:rPr>
        <w:t>duže vrijeme u toku.</w:t>
      </w:r>
      <w:r w:rsidR="002C608C">
        <w:rPr>
          <w:rFonts w:cstheme="minorHAnsi"/>
        </w:rPr>
        <w:t xml:space="preserve"> Napredak je ograničen posebno u pogledu normativnog okvira</w:t>
      </w:r>
      <w:r w:rsidR="00767DD5">
        <w:rPr>
          <w:rFonts w:cstheme="minorHAnsi"/>
        </w:rPr>
        <w:t xml:space="preserve"> koji se tiče državnog tužilaštva</w:t>
      </w:r>
      <w:r w:rsidR="00E54FB6" w:rsidRPr="009A613C">
        <w:rPr>
          <w:rFonts w:cstheme="minorHAnsi"/>
        </w:rPr>
        <w:t xml:space="preserve">. </w:t>
      </w:r>
    </w:p>
    <w:p w14:paraId="1D03A6DA" w14:textId="764DE8FF" w:rsidR="00767DD5" w:rsidRDefault="00767DD5" w:rsidP="00E54FB6">
      <w:pPr>
        <w:spacing w:after="120"/>
        <w:jc w:val="both"/>
        <w:rPr>
          <w:rFonts w:cstheme="minorHAnsi"/>
        </w:rPr>
      </w:pPr>
      <w:r>
        <w:rPr>
          <w:rFonts w:cstheme="minorHAnsi"/>
        </w:rPr>
        <w:t xml:space="preserve">Dugotrajna blokada rada </w:t>
      </w:r>
      <w:r w:rsidR="00E54FB6" w:rsidRPr="009A613C">
        <w:rPr>
          <w:rFonts w:cstheme="minorHAnsi"/>
        </w:rPr>
        <w:t>oba savjeta</w:t>
      </w:r>
      <w:r w:rsidR="001B0A1C">
        <w:rPr>
          <w:rFonts w:cstheme="minorHAnsi"/>
        </w:rPr>
        <w:t xml:space="preserve"> zbog nemogućnosti izbora članova iz reda uglednih pravnika, </w:t>
      </w:r>
      <w:r>
        <w:rPr>
          <w:rFonts w:cstheme="minorHAnsi"/>
        </w:rPr>
        <w:t xml:space="preserve"> samo je djelimično riješena, što je uzrokovalo značajne zastoje</w:t>
      </w:r>
      <w:r w:rsidR="00E54FB6" w:rsidRPr="009A613C">
        <w:rPr>
          <w:rFonts w:cstheme="minorHAnsi"/>
        </w:rPr>
        <w:t xml:space="preserve"> </w:t>
      </w:r>
      <w:r w:rsidR="00E54FB6" w:rsidRPr="0005444A">
        <w:rPr>
          <w:rFonts w:cstheme="minorHAnsi"/>
          <w:b/>
          <w:bCs/>
        </w:rPr>
        <w:t xml:space="preserve">u </w:t>
      </w:r>
      <w:r w:rsidRPr="0005444A">
        <w:rPr>
          <w:rFonts w:cstheme="minorHAnsi"/>
          <w:b/>
          <w:bCs/>
        </w:rPr>
        <w:t>izboru nosilaca pravosudnih funkcija</w:t>
      </w:r>
      <w:r>
        <w:rPr>
          <w:rFonts w:cstheme="minorHAnsi"/>
        </w:rPr>
        <w:t xml:space="preserve"> i </w:t>
      </w:r>
      <w:r w:rsidR="00E54FB6" w:rsidRPr="009A613C">
        <w:rPr>
          <w:rFonts w:cstheme="minorHAnsi"/>
        </w:rPr>
        <w:t>dinami</w:t>
      </w:r>
      <w:r>
        <w:rPr>
          <w:rFonts w:cstheme="minorHAnsi"/>
        </w:rPr>
        <w:t>ci</w:t>
      </w:r>
      <w:r w:rsidR="00E54FB6" w:rsidRPr="009A613C">
        <w:rPr>
          <w:rFonts w:cstheme="minorHAnsi"/>
        </w:rPr>
        <w:t xml:space="preserve"> </w:t>
      </w:r>
      <w:r w:rsidR="00E54FB6" w:rsidRPr="009A613C">
        <w:rPr>
          <w:rFonts w:cstheme="minorHAnsi"/>
          <w:b/>
          <w:bCs/>
        </w:rPr>
        <w:t>ocjenjivanja nosilaca pravosudnih funkcija</w:t>
      </w:r>
      <w:r w:rsidR="00E54FB6" w:rsidRPr="009A613C">
        <w:rPr>
          <w:rFonts w:cstheme="minorHAnsi"/>
        </w:rPr>
        <w:t>.</w:t>
      </w:r>
      <w:r>
        <w:rPr>
          <w:rFonts w:cstheme="minorHAnsi"/>
        </w:rPr>
        <w:t xml:space="preserve"> Nepostojanje adekvatnog </w:t>
      </w:r>
      <w:r w:rsidRPr="00767DD5">
        <w:rPr>
          <w:rFonts w:cstheme="minorHAnsi"/>
          <w:i/>
          <w:iCs/>
        </w:rPr>
        <w:t>anti-deadlock</w:t>
      </w:r>
      <w:r>
        <w:rPr>
          <w:rFonts w:cstheme="minorHAnsi"/>
        </w:rPr>
        <w:t xml:space="preserve"> mehanizma i prolongirano rukovođenje ključnim institucijama pravosuđa od strane vršilaca</w:t>
      </w:r>
      <w:r w:rsidR="004E2978">
        <w:rPr>
          <w:rFonts w:cstheme="minorHAnsi"/>
        </w:rPr>
        <w:t xml:space="preserve"> dužnosti</w:t>
      </w:r>
      <w:r>
        <w:rPr>
          <w:rFonts w:cstheme="minorHAnsi"/>
        </w:rPr>
        <w:t xml:space="preserve"> funkcij</w:t>
      </w:r>
      <w:r w:rsidR="004E2978">
        <w:rPr>
          <w:rFonts w:cstheme="minorHAnsi"/>
        </w:rPr>
        <w:t>a</w:t>
      </w:r>
      <w:r>
        <w:rPr>
          <w:rFonts w:cstheme="minorHAnsi"/>
        </w:rPr>
        <w:t xml:space="preserve"> negativno se odražava kako na redovno funkcionisanje pravosuđa, tako i na spremnost za sprovođenje daljih reformi.</w:t>
      </w:r>
      <w:r w:rsidR="0005444A">
        <w:rPr>
          <w:rFonts w:cstheme="minorHAnsi"/>
        </w:rPr>
        <w:t xml:space="preserve"> Neblagovremeno i nedovoljno popunjavanje upražnjenih mjesta značajno utiče na funkcionisanje sudova i državnih tužilaštava. </w:t>
      </w:r>
      <w:r>
        <w:rPr>
          <w:rFonts w:cstheme="minorHAnsi"/>
        </w:rPr>
        <w:t xml:space="preserve"> </w:t>
      </w:r>
      <w:r w:rsidR="000B7585">
        <w:rPr>
          <w:rFonts w:cstheme="minorHAnsi"/>
        </w:rPr>
        <w:t>Ovo je između ostalog uzrokovano i trenutnim zakonskim rješenjima u pogledu načina određivanja broja upražnjenih mjesta, čime se onemogućava dugoročno planiranje u pogledu neophodnog broja nosilaca pravosudnih funkcija.</w:t>
      </w:r>
    </w:p>
    <w:p w14:paraId="68412393" w14:textId="5A69E15C" w:rsidR="00F34229" w:rsidRDefault="00EB34E2" w:rsidP="00E54FB6">
      <w:pPr>
        <w:spacing w:after="120"/>
        <w:jc w:val="both"/>
        <w:rPr>
          <w:rFonts w:cstheme="minorHAnsi"/>
        </w:rPr>
      </w:pPr>
      <w:r>
        <w:rPr>
          <w:rFonts w:cstheme="minorHAnsi"/>
        </w:rPr>
        <w:t>Kada je riječ o materijalnom položaju sudija i državnih tužilaca</w:t>
      </w:r>
      <w:r w:rsidR="004E2978">
        <w:rPr>
          <w:rFonts w:cstheme="minorHAnsi"/>
        </w:rPr>
        <w:t xml:space="preserve"> i</w:t>
      </w:r>
      <w:r>
        <w:rPr>
          <w:rFonts w:cstheme="minorHAnsi"/>
        </w:rPr>
        <w:t xml:space="preserve"> dalje postoji prostor za unaprjeđenje, budući da su </w:t>
      </w:r>
      <w:r w:rsidR="00721435">
        <w:rPr>
          <w:rFonts w:cstheme="minorHAnsi"/>
        </w:rPr>
        <w:t>z</w:t>
      </w:r>
      <w:r w:rsidR="0023278C">
        <w:rPr>
          <w:rFonts w:cstheme="minorHAnsi"/>
        </w:rPr>
        <w:t>arade nosilaca pravosudnih funkcija su i dalje ispod prosječnih vrijednosti na Zapadnom Balkanu.</w:t>
      </w:r>
    </w:p>
    <w:p w14:paraId="391D3AEA" w14:textId="6B413DCE" w:rsidR="00EB34E2" w:rsidRDefault="00714363" w:rsidP="00EB34E2">
      <w:pPr>
        <w:spacing w:after="120"/>
        <w:jc w:val="center"/>
        <w:rPr>
          <w:rFonts w:cstheme="minorHAnsi"/>
        </w:rPr>
      </w:pPr>
      <w:r>
        <w:rPr>
          <w:rFonts w:ascii="Calibri" w:eastAsia="Times New Roman" w:hAnsi="Calibri" w:cs="Calibri"/>
          <w:i/>
          <w:iCs/>
          <w:color w:val="000000"/>
          <w:sz w:val="20"/>
          <w:szCs w:val="20"/>
        </w:rPr>
        <w:t>Grafikon</w:t>
      </w:r>
      <w:r w:rsidR="00EB34E2" w:rsidRPr="0023278C">
        <w:rPr>
          <w:rFonts w:ascii="Calibri" w:eastAsia="Times New Roman" w:hAnsi="Calibri" w:cs="Calibri"/>
          <w:i/>
          <w:iCs/>
          <w:color w:val="000000"/>
          <w:sz w:val="20"/>
          <w:szCs w:val="20"/>
        </w:rPr>
        <w:t xml:space="preserve"> </w:t>
      </w:r>
      <w:r>
        <w:rPr>
          <w:rFonts w:ascii="Calibri" w:eastAsia="Times New Roman" w:hAnsi="Calibri" w:cs="Calibri"/>
          <w:i/>
          <w:iCs/>
          <w:color w:val="000000"/>
          <w:sz w:val="20"/>
          <w:szCs w:val="20"/>
        </w:rPr>
        <w:t>3</w:t>
      </w:r>
      <w:r w:rsidR="00EB34E2" w:rsidRPr="0023278C">
        <w:rPr>
          <w:rFonts w:ascii="Calibri" w:eastAsia="Times New Roman" w:hAnsi="Calibri" w:cs="Calibri"/>
          <w:i/>
          <w:iCs/>
          <w:color w:val="000000"/>
          <w:sz w:val="20"/>
          <w:szCs w:val="20"/>
        </w:rPr>
        <w:t>: Prosječne bruto zarade sudija i tužilaca na Zapadnom Balkanu</w:t>
      </w:r>
      <w:r w:rsidR="00735CAE">
        <w:rPr>
          <w:rStyle w:val="FootnoteReference"/>
          <w:rFonts w:ascii="Calibri" w:eastAsia="Times New Roman" w:hAnsi="Calibri" w:cs="Calibri"/>
          <w:i/>
          <w:iCs/>
          <w:color w:val="000000"/>
          <w:sz w:val="20"/>
          <w:szCs w:val="20"/>
        </w:rPr>
        <w:footnoteReference w:id="24"/>
      </w:r>
    </w:p>
    <w:p w14:paraId="0F91ED9A" w14:textId="0E4996E3" w:rsidR="00713A7D" w:rsidRDefault="00713A7D" w:rsidP="00721435">
      <w:pPr>
        <w:spacing w:after="120"/>
        <w:jc w:val="center"/>
        <w:rPr>
          <w:rFonts w:cstheme="minorHAnsi"/>
        </w:rPr>
      </w:pPr>
      <w:r>
        <w:rPr>
          <w:rFonts w:cstheme="minorHAnsi"/>
          <w:noProof/>
          <w:lang w:val="en-GB" w:eastAsia="en-GB"/>
          <w14:ligatures w14:val="standardContextual"/>
        </w:rPr>
        <w:drawing>
          <wp:inline distT="0" distB="0" distL="0" distR="0" wp14:anchorId="382E38CA" wp14:editId="3FF4A718">
            <wp:extent cx="5486400" cy="3200400"/>
            <wp:effectExtent l="0" t="0" r="0" b="0"/>
            <wp:docPr id="165489787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B1C361" w14:textId="16D88D07" w:rsidR="00E54FB6" w:rsidRPr="009A613C" w:rsidRDefault="00E54FB6" w:rsidP="00E54FB6">
      <w:pPr>
        <w:spacing w:after="120"/>
        <w:jc w:val="both"/>
        <w:rPr>
          <w:rFonts w:cstheme="minorHAnsi"/>
        </w:rPr>
      </w:pPr>
      <w:r w:rsidRPr="009A613C">
        <w:rPr>
          <w:rFonts w:cstheme="minorHAnsi"/>
          <w:b/>
          <w:bCs/>
        </w:rPr>
        <w:t>Budžet sudova i tužilaštava</w:t>
      </w:r>
      <w:r w:rsidRPr="009A613C">
        <w:rPr>
          <w:rFonts w:cstheme="minorHAnsi"/>
        </w:rPr>
        <w:t xml:space="preserve"> je uvećan</w:t>
      </w:r>
      <w:r w:rsidR="004E2978">
        <w:rPr>
          <w:rFonts w:cstheme="minorHAnsi"/>
        </w:rPr>
        <w:t>,</w:t>
      </w:r>
      <w:r w:rsidRPr="009A613C">
        <w:rPr>
          <w:rFonts w:cstheme="minorHAnsi"/>
        </w:rPr>
        <w:t xml:space="preserve"> ali i dalje ispod vrijednosti</w:t>
      </w:r>
      <w:r w:rsidR="00767DD5">
        <w:rPr>
          <w:rFonts w:cstheme="minorHAnsi"/>
        </w:rPr>
        <w:t xml:space="preserve"> od 1% BDP koja je u prethodnom reformskom periodu prepoznata kao target koji bi omogućio nesmetan rad i unapr</w:t>
      </w:r>
      <w:r w:rsidR="00D47EA6">
        <w:rPr>
          <w:rFonts w:cstheme="minorHAnsi"/>
        </w:rPr>
        <w:t>j</w:t>
      </w:r>
      <w:r w:rsidR="00767DD5">
        <w:rPr>
          <w:rFonts w:cstheme="minorHAnsi"/>
        </w:rPr>
        <w:t>eđenje pravosudne infrastrukture</w:t>
      </w:r>
      <w:r w:rsidRPr="009A613C">
        <w:rPr>
          <w:rFonts w:cstheme="minorHAnsi"/>
        </w:rPr>
        <w:t>. Sudovi i tužilaštva su dobili status autonomnih budžetskih korisnika, ali se kasni sa uspostavljanjem efektivnog sistema budžetske kontrole i uvođenjem neophodnih softverskih rješenja.</w:t>
      </w:r>
    </w:p>
    <w:p w14:paraId="23A1350F" w14:textId="77777777" w:rsidR="00E54FB6" w:rsidRPr="009A613C" w:rsidRDefault="00E54FB6" w:rsidP="00E54FB6">
      <w:pPr>
        <w:spacing w:after="120"/>
        <w:jc w:val="both"/>
        <w:rPr>
          <w:rFonts w:cstheme="minorHAnsi"/>
        </w:rPr>
      </w:pPr>
      <w:r w:rsidRPr="009A613C">
        <w:rPr>
          <w:rFonts w:cstheme="minorHAnsi"/>
          <w:b/>
          <w:bCs/>
        </w:rPr>
        <w:t>Infrastrukturni kapaciteti oba savjeta</w:t>
      </w:r>
      <w:r w:rsidRPr="009A613C">
        <w:rPr>
          <w:rFonts w:cstheme="minorHAnsi"/>
        </w:rPr>
        <w:t xml:space="preserve"> su i dalje neadekvatni i osim analiza i planova, dalji koraci da bi pravosudni organi zaista bili smješteni u novoj zgradi nisu preduzeti, dok u pogledu </w:t>
      </w:r>
      <w:r w:rsidRPr="009A613C">
        <w:rPr>
          <w:rFonts w:cstheme="minorHAnsi"/>
          <w:b/>
          <w:bCs/>
        </w:rPr>
        <w:t xml:space="preserve">administrativnih </w:t>
      </w:r>
      <w:r w:rsidRPr="009A613C">
        <w:rPr>
          <w:rFonts w:cstheme="minorHAnsi"/>
          <w:b/>
          <w:bCs/>
        </w:rPr>
        <w:lastRenderedPageBreak/>
        <w:t>kapaciteta</w:t>
      </w:r>
      <w:r w:rsidRPr="009A613C">
        <w:rPr>
          <w:rFonts w:cstheme="minorHAnsi"/>
        </w:rPr>
        <w:t xml:space="preserve"> najveći problemi i dalje postoje u pogledu strateškog i projektnog planiranja, monitoringa, evaluacije i izvještavanja.</w:t>
      </w:r>
    </w:p>
    <w:p w14:paraId="7A7D4B99" w14:textId="5B6B8254" w:rsidR="00E54FB6" w:rsidRDefault="00E54FB6" w:rsidP="00F34229">
      <w:pPr>
        <w:spacing w:after="0"/>
        <w:jc w:val="both"/>
        <w:rPr>
          <w:rFonts w:cstheme="minorHAnsi"/>
        </w:rPr>
      </w:pPr>
      <w:r w:rsidRPr="009A613C">
        <w:rPr>
          <w:rFonts w:cstheme="minorHAnsi"/>
          <w:b/>
          <w:bCs/>
        </w:rPr>
        <w:t>Sistem slučajne dodjele predmeta</w:t>
      </w:r>
      <w:r w:rsidRPr="009A613C">
        <w:rPr>
          <w:rFonts w:cstheme="minorHAnsi"/>
        </w:rPr>
        <w:t xml:space="preserve"> i dalje nije u funkciji u prekršajnim sudovima, ali je smanjen obim prakse delegiranja predmeta</w:t>
      </w:r>
      <w:r w:rsidR="008258A1">
        <w:rPr>
          <w:rFonts w:cstheme="minorHAnsi"/>
        </w:rPr>
        <w:t>, što doprinosi nepristrasnosti</w:t>
      </w:r>
      <w:r w:rsidRPr="009A613C">
        <w:rPr>
          <w:rFonts w:cstheme="minorHAnsi"/>
        </w:rPr>
        <w:t>.</w:t>
      </w:r>
    </w:p>
    <w:p w14:paraId="6483769F" w14:textId="77777777" w:rsidR="00F34229" w:rsidRDefault="00F34229" w:rsidP="00E54FB6">
      <w:pPr>
        <w:spacing w:after="120"/>
        <w:jc w:val="both"/>
        <w:rPr>
          <w:rFonts w:cstheme="minorHAnsi"/>
        </w:rPr>
      </w:pPr>
    </w:p>
    <w:p w14:paraId="0F26B1EF" w14:textId="05753C6F" w:rsidR="00F34229" w:rsidRPr="009A613C" w:rsidRDefault="00F34229">
      <w:pPr>
        <w:pStyle w:val="Heading3"/>
        <w:numPr>
          <w:ilvl w:val="1"/>
          <w:numId w:val="12"/>
        </w:numPr>
        <w:spacing w:after="240"/>
        <w:jc w:val="center"/>
      </w:pPr>
      <w:bookmarkStart w:id="18" w:name="_Toc156937946"/>
      <w:r>
        <w:t>Odgovornost pravosuđa</w:t>
      </w:r>
      <w:bookmarkEnd w:id="18"/>
    </w:p>
    <w:p w14:paraId="69F88126" w14:textId="00BA2FAB" w:rsidR="00C44B4B" w:rsidRDefault="00721435" w:rsidP="00C44B4B">
      <w:pPr>
        <w:autoSpaceDE w:val="0"/>
        <w:autoSpaceDN w:val="0"/>
        <w:adjustRightInd w:val="0"/>
        <w:spacing w:line="276" w:lineRule="auto"/>
        <w:jc w:val="both"/>
        <w:rPr>
          <w:rFonts w:cstheme="minorHAnsi"/>
        </w:rPr>
      </w:pPr>
      <w:r>
        <w:rPr>
          <w:rFonts w:cstheme="minorHAnsi"/>
        </w:rPr>
        <w:t xml:space="preserve">U praksi </w:t>
      </w:r>
      <w:r w:rsidR="00E8313F">
        <w:rPr>
          <w:rFonts w:cstheme="minorHAnsi"/>
        </w:rPr>
        <w:t>komisija</w:t>
      </w:r>
      <w:r w:rsidR="00E54FB6" w:rsidRPr="0005444A">
        <w:rPr>
          <w:rFonts w:cstheme="minorHAnsi"/>
        </w:rPr>
        <w:t xml:space="preserve"> za utvrđivanje </w:t>
      </w:r>
      <w:r w:rsidR="00E54FB6" w:rsidRPr="0005444A">
        <w:rPr>
          <w:rFonts w:cstheme="minorHAnsi"/>
          <w:b/>
          <w:bCs/>
        </w:rPr>
        <w:t>etičke i disciplinske odgovornosti sudija</w:t>
      </w:r>
      <w:r w:rsidR="00E54FB6" w:rsidRPr="0005444A">
        <w:rPr>
          <w:rFonts w:cstheme="minorHAnsi"/>
        </w:rPr>
        <w:t xml:space="preserve"> </w:t>
      </w:r>
      <w:r w:rsidR="00E54FB6" w:rsidRPr="0005444A">
        <w:rPr>
          <w:rFonts w:cstheme="minorHAnsi"/>
          <w:b/>
          <w:bCs/>
        </w:rPr>
        <w:t>i državnih tužilaca</w:t>
      </w:r>
      <w:r w:rsidR="00E54FB6" w:rsidRPr="0005444A">
        <w:rPr>
          <w:rFonts w:cstheme="minorHAnsi"/>
        </w:rPr>
        <w:t xml:space="preserve"> </w:t>
      </w:r>
      <w:r w:rsidR="0005444A" w:rsidRPr="0005444A">
        <w:rPr>
          <w:rFonts w:cstheme="minorHAnsi"/>
        </w:rPr>
        <w:t>p</w:t>
      </w:r>
      <w:r w:rsidR="008258A1" w:rsidRPr="0005444A">
        <w:rPr>
          <w:rFonts w:cstheme="minorHAnsi"/>
        </w:rPr>
        <w:t>rimjetan je mali broj disciplinskih postupaka</w:t>
      </w:r>
      <w:r w:rsidR="00E052F0">
        <w:rPr>
          <w:rFonts w:cstheme="minorHAnsi"/>
        </w:rPr>
        <w:t>, što je konstatovala i Evropska komis</w:t>
      </w:r>
      <w:r w:rsidR="0072347F">
        <w:rPr>
          <w:rFonts w:cstheme="minorHAnsi"/>
        </w:rPr>
        <w:t>ija.</w:t>
      </w:r>
      <w:r w:rsidR="0072347F">
        <w:rPr>
          <w:rStyle w:val="FootnoteReference"/>
          <w:rFonts w:cstheme="minorHAnsi"/>
        </w:rPr>
        <w:footnoteReference w:id="25"/>
      </w:r>
      <w:r w:rsidR="00E052F0">
        <w:rPr>
          <w:rFonts w:cstheme="minorHAnsi"/>
        </w:rPr>
        <w:t xml:space="preserve"> </w:t>
      </w:r>
      <w:r w:rsidR="0005444A" w:rsidRPr="0005444A">
        <w:rPr>
          <w:rFonts w:cstheme="minorHAnsi"/>
        </w:rPr>
        <w:t xml:space="preserve"> </w:t>
      </w:r>
      <w:r w:rsidR="00002E0D">
        <w:rPr>
          <w:rFonts w:cstheme="minorHAnsi"/>
          <w14:ligatures w14:val="standardContextual"/>
        </w:rPr>
        <w:t>Pretežno</w:t>
      </w:r>
      <w:r w:rsidR="0005444A" w:rsidRPr="0005444A">
        <w:rPr>
          <w:rFonts w:cstheme="minorHAnsi"/>
          <w14:ligatures w14:val="standardContextual"/>
        </w:rPr>
        <w:t xml:space="preserve"> su vođeni zbog istog disciplinskog prekršaja – nedostavljanj</w:t>
      </w:r>
      <w:r>
        <w:rPr>
          <w:rFonts w:cstheme="minorHAnsi"/>
          <w14:ligatures w14:val="standardContextual"/>
        </w:rPr>
        <w:t>e</w:t>
      </w:r>
      <w:r w:rsidR="0005444A" w:rsidRPr="0005444A">
        <w:rPr>
          <w:rFonts w:cstheme="minorHAnsi"/>
          <w14:ligatures w14:val="standardContextual"/>
        </w:rPr>
        <w:t xml:space="preserve"> podataka o imovini i prihodima</w:t>
      </w:r>
      <w:r w:rsidR="0005444A" w:rsidRPr="00EB34E2">
        <w:rPr>
          <w:rFonts w:cstheme="minorHAnsi"/>
          <w14:ligatures w14:val="standardContextual"/>
        </w:rPr>
        <w:t>.</w:t>
      </w:r>
      <w:r w:rsidR="00EB34E2" w:rsidRPr="00EB34E2">
        <w:rPr>
          <w:rStyle w:val="FootnoteReference"/>
          <w:rFonts w:cstheme="minorHAnsi"/>
          <w:lang w:eastAsia="en-GB"/>
        </w:rPr>
        <w:footnoteReference w:id="26"/>
      </w:r>
      <w:r w:rsidR="00EB34E2">
        <w:rPr>
          <w:rFonts w:cstheme="minorHAnsi"/>
        </w:rPr>
        <w:t xml:space="preserve"> </w:t>
      </w:r>
      <w:r w:rsidR="008258A1" w:rsidRPr="0005444A">
        <w:rPr>
          <w:rFonts w:cstheme="minorHAnsi"/>
        </w:rPr>
        <w:t>M</w:t>
      </w:r>
      <w:r w:rsidR="00E54FB6" w:rsidRPr="0005444A">
        <w:rPr>
          <w:rFonts w:cstheme="minorHAnsi"/>
        </w:rPr>
        <w:t xml:space="preserve">ehanizam inspekcijskog nadzora od strane Ministarstva pravde i dalje </w:t>
      </w:r>
      <w:r w:rsidR="007B34B9">
        <w:rPr>
          <w:rFonts w:cstheme="minorHAnsi"/>
        </w:rPr>
        <w:t xml:space="preserve">se </w:t>
      </w:r>
      <w:r w:rsidR="00E54FB6" w:rsidRPr="0005444A">
        <w:rPr>
          <w:rFonts w:cstheme="minorHAnsi"/>
        </w:rPr>
        <w:t xml:space="preserve">suočava sa dva problema: nedostatak vanrednih inspekcijskih nadzora i manjak ljudskih resursa. </w:t>
      </w:r>
    </w:p>
    <w:p w14:paraId="0B7C22A9" w14:textId="289EAA50" w:rsidR="00C44B4B" w:rsidRDefault="00E54FB6" w:rsidP="00C44B4B">
      <w:pPr>
        <w:autoSpaceDE w:val="0"/>
        <w:autoSpaceDN w:val="0"/>
        <w:adjustRightInd w:val="0"/>
        <w:spacing w:line="276" w:lineRule="auto"/>
        <w:jc w:val="both"/>
        <w:rPr>
          <w:rFonts w:eastAsia="Calibri" w:cstheme="minorHAnsi"/>
          <w:bCs/>
          <w:color w:val="000000" w:themeColor="text1"/>
        </w:rPr>
      </w:pPr>
      <w:r w:rsidRPr="0005444A">
        <w:rPr>
          <w:rFonts w:eastAsia="Calibri" w:cstheme="minorHAnsi"/>
          <w:bCs/>
          <w:color w:val="000000" w:themeColor="text1"/>
        </w:rPr>
        <w:t xml:space="preserve">Situacija u pogledu </w:t>
      </w:r>
      <w:r w:rsidRPr="0005444A">
        <w:rPr>
          <w:rFonts w:eastAsia="Calibri" w:cstheme="minorHAnsi"/>
          <w:b/>
          <w:color w:val="000000" w:themeColor="text1"/>
        </w:rPr>
        <w:t>odgovornosti pravosudnih profesija</w:t>
      </w:r>
      <w:r w:rsidRPr="0005444A">
        <w:rPr>
          <w:rFonts w:eastAsia="Calibri" w:cstheme="minorHAnsi"/>
          <w:bCs/>
          <w:color w:val="000000" w:themeColor="text1"/>
        </w:rPr>
        <w:t xml:space="preserve"> je neujednačena, uz postojanje potrebe da se znatno unaprijedi rad disciplinskih organa. </w:t>
      </w:r>
      <w:r w:rsidR="008258A1" w:rsidRPr="0005444A">
        <w:rPr>
          <w:rFonts w:eastAsia="Calibri" w:cstheme="minorHAnsi"/>
          <w:bCs/>
          <w:color w:val="000000" w:themeColor="text1"/>
        </w:rPr>
        <w:t xml:space="preserve">Kada je riječ o disciplinskoj odgovornosti javnih izvršitelja i notara, situacija izazvana pandemijom virusa COVID 19 značajno je u prethodnom periodu otežavala nadzor nad radom kancelarija. </w:t>
      </w:r>
    </w:p>
    <w:p w14:paraId="22A45772" w14:textId="55EC04AA" w:rsidR="00C44B4B" w:rsidRDefault="00C44B4B" w:rsidP="00014BA9">
      <w:pPr>
        <w:spacing w:line="276" w:lineRule="auto"/>
        <w:jc w:val="both"/>
        <w:rPr>
          <w:lang w:eastAsia="en-GB"/>
        </w:rPr>
      </w:pPr>
      <w:r w:rsidRPr="009A613C">
        <w:rPr>
          <w:lang w:eastAsia="en-GB"/>
        </w:rPr>
        <w:t>Uprava za</w:t>
      </w:r>
      <w:r>
        <w:rPr>
          <w:lang w:eastAsia="en-GB"/>
        </w:rPr>
        <w:t xml:space="preserve"> </w:t>
      </w:r>
      <w:r w:rsidRPr="009A613C">
        <w:rPr>
          <w:lang w:eastAsia="en-GB"/>
        </w:rPr>
        <w:t>inspekcijske poslove izvršila nadzor nad radom 2</w:t>
      </w:r>
      <w:r w:rsidR="006F5C34">
        <w:rPr>
          <w:lang w:eastAsia="en-GB"/>
        </w:rPr>
        <w:t>0</w:t>
      </w:r>
      <w:r w:rsidRPr="009A613C">
        <w:rPr>
          <w:lang w:eastAsia="en-GB"/>
        </w:rPr>
        <w:t xml:space="preserve"> kancelarija</w:t>
      </w:r>
      <w:r>
        <w:rPr>
          <w:lang w:eastAsia="en-GB"/>
        </w:rPr>
        <w:t xml:space="preserve"> </w:t>
      </w:r>
      <w:r w:rsidRPr="00DD7437">
        <w:rPr>
          <w:b/>
          <w:bCs/>
          <w:i/>
          <w:iCs/>
          <w:lang w:eastAsia="en-GB"/>
        </w:rPr>
        <w:t>javnih izvršitelja</w:t>
      </w:r>
      <w:r w:rsidRPr="009A613C">
        <w:rPr>
          <w:lang w:eastAsia="en-GB"/>
        </w:rPr>
        <w:t xml:space="preserve"> </w:t>
      </w:r>
      <w:r>
        <w:rPr>
          <w:lang w:eastAsia="en-GB"/>
        </w:rPr>
        <w:t>u 2022. godini</w:t>
      </w:r>
      <w:r w:rsidRPr="009A613C">
        <w:rPr>
          <w:lang w:eastAsia="en-GB"/>
        </w:rPr>
        <w:t>, gd</w:t>
      </w:r>
      <w:r>
        <w:rPr>
          <w:lang w:eastAsia="en-GB"/>
        </w:rPr>
        <w:t>j</w:t>
      </w:r>
      <w:r w:rsidRPr="009A613C">
        <w:rPr>
          <w:lang w:eastAsia="en-GB"/>
        </w:rPr>
        <w:t xml:space="preserve">e su u </w:t>
      </w:r>
      <w:r>
        <w:rPr>
          <w:lang w:eastAsia="en-GB"/>
        </w:rPr>
        <w:t>pet</w:t>
      </w:r>
      <w:r w:rsidRPr="009A613C">
        <w:rPr>
          <w:lang w:eastAsia="en-GB"/>
        </w:rPr>
        <w:t xml:space="preserve"> kancelarija utvrđene nepravilnosti u oblasti radnopravnih odnosa. U istoj godini Ministarstvo pravde</w:t>
      </w:r>
      <w:r w:rsidR="006F5C34">
        <w:rPr>
          <w:lang w:eastAsia="en-GB"/>
        </w:rPr>
        <w:t xml:space="preserve"> </w:t>
      </w:r>
      <w:r w:rsidRPr="009A613C">
        <w:rPr>
          <w:lang w:eastAsia="en-GB"/>
        </w:rPr>
        <w:t xml:space="preserve"> izvršilo nadzor nad radom 2</w:t>
      </w:r>
      <w:r w:rsidR="00E8313F">
        <w:rPr>
          <w:lang w:eastAsia="en-GB"/>
        </w:rPr>
        <w:t>5</w:t>
      </w:r>
      <w:r w:rsidRPr="009A613C">
        <w:rPr>
          <w:lang w:eastAsia="en-GB"/>
        </w:rPr>
        <w:t xml:space="preserve"> javn</w:t>
      </w:r>
      <w:r w:rsidR="007B34B9">
        <w:rPr>
          <w:lang w:eastAsia="en-GB"/>
        </w:rPr>
        <w:t>ih</w:t>
      </w:r>
      <w:r w:rsidRPr="009A613C">
        <w:rPr>
          <w:lang w:eastAsia="en-GB"/>
        </w:rPr>
        <w:t xml:space="preserve"> izvršitelja</w:t>
      </w:r>
      <w:r w:rsidR="006F5C34">
        <w:rPr>
          <w:lang w:eastAsia="en-GB"/>
        </w:rPr>
        <w:t xml:space="preserve"> u ukupno 230 predmeta i naložilo otklanjanje </w:t>
      </w:r>
      <w:r w:rsidR="00F34229">
        <w:rPr>
          <w:lang w:eastAsia="en-GB"/>
        </w:rPr>
        <w:t>nepravilnosti</w:t>
      </w:r>
      <w:r>
        <w:rPr>
          <w:lang w:eastAsia="en-GB"/>
        </w:rPr>
        <w:t>.</w:t>
      </w:r>
      <w:r w:rsidR="00E052F0">
        <w:rPr>
          <w:rStyle w:val="FootnoteReference"/>
          <w:lang w:eastAsia="en-GB"/>
        </w:rPr>
        <w:footnoteReference w:id="27"/>
      </w:r>
    </w:p>
    <w:p w14:paraId="15BB65B1" w14:textId="40CA36A2" w:rsidR="00C44B4B" w:rsidRPr="009A613C" w:rsidRDefault="00C44B4B" w:rsidP="00014BA9">
      <w:pPr>
        <w:spacing w:line="276" w:lineRule="auto"/>
        <w:jc w:val="both"/>
        <w:rPr>
          <w:lang w:eastAsia="en-GB"/>
        </w:rPr>
      </w:pPr>
      <w:r w:rsidRPr="009A613C">
        <w:rPr>
          <w:lang w:eastAsia="en-GB"/>
        </w:rPr>
        <w:t>Od početka 2022. započelo se sa primjenom softverskog rješenja koje obezbjeđuje automatsku raspodjelu predmeta i doprinosi ujednačenosti opterećenja javnih izvršitelja brojem predmeta.</w:t>
      </w:r>
    </w:p>
    <w:p w14:paraId="4F6440C5" w14:textId="52EB9BD9" w:rsidR="00F34229" w:rsidRPr="000B1279" w:rsidRDefault="00F34229" w:rsidP="00014BA9">
      <w:pPr>
        <w:pStyle w:val="Default"/>
        <w:spacing w:after="240" w:line="276" w:lineRule="auto"/>
        <w:jc w:val="both"/>
        <w:rPr>
          <w:rFonts w:asciiTheme="minorHAnsi" w:hAnsiTheme="minorHAnsi" w:cstheme="minorHAnsi"/>
          <w:sz w:val="22"/>
          <w:szCs w:val="22"/>
          <w:lang w:val="sr-Latn-ME"/>
        </w:rPr>
      </w:pPr>
      <w:r w:rsidRPr="000B1279">
        <w:rPr>
          <w:rFonts w:asciiTheme="minorHAnsi" w:hAnsiTheme="minorHAnsi" w:cstheme="minorHAnsi"/>
          <w:sz w:val="22"/>
          <w:szCs w:val="22"/>
          <w:lang w:val="sr-Latn-ME"/>
        </w:rPr>
        <w:t xml:space="preserve">U skladu sa Godišnjim planom nadzora, pravosudni inspektori izvršili su </w:t>
      </w:r>
      <w:r w:rsidR="00DD7437" w:rsidRPr="000B1279">
        <w:rPr>
          <w:rFonts w:asciiTheme="minorHAnsi" w:hAnsiTheme="minorHAnsi" w:cstheme="minorHAnsi"/>
          <w:sz w:val="22"/>
          <w:szCs w:val="22"/>
          <w:lang w:val="sr-Latn-ME"/>
        </w:rPr>
        <w:t xml:space="preserve">tokom 2022. godine </w:t>
      </w:r>
      <w:r w:rsidRPr="000B1279">
        <w:rPr>
          <w:rFonts w:asciiTheme="minorHAnsi" w:hAnsiTheme="minorHAnsi" w:cstheme="minorHAnsi"/>
          <w:sz w:val="22"/>
          <w:szCs w:val="22"/>
          <w:lang w:val="sr-Latn-ME"/>
        </w:rPr>
        <w:t xml:space="preserve">nadzor nad zakonitošću obavljanja poslova 38 </w:t>
      </w:r>
      <w:r w:rsidRPr="000B1279">
        <w:rPr>
          <w:rFonts w:asciiTheme="minorHAnsi" w:hAnsiTheme="minorHAnsi" w:cstheme="minorHAnsi"/>
          <w:b/>
          <w:bCs/>
          <w:i/>
          <w:iCs/>
          <w:sz w:val="22"/>
          <w:szCs w:val="22"/>
          <w:lang w:val="sr-Latn-ME"/>
        </w:rPr>
        <w:t>notara</w:t>
      </w:r>
      <w:r w:rsidR="007C1AE7">
        <w:rPr>
          <w:rFonts w:asciiTheme="minorHAnsi" w:hAnsiTheme="minorHAnsi" w:cstheme="minorHAnsi"/>
          <w:b/>
          <w:bCs/>
          <w:i/>
          <w:iCs/>
          <w:sz w:val="22"/>
          <w:szCs w:val="22"/>
          <w:lang w:val="sr-Latn-ME"/>
        </w:rPr>
        <w:t>.</w:t>
      </w:r>
      <w:r w:rsidRPr="000B1279">
        <w:rPr>
          <w:rFonts w:asciiTheme="minorHAnsi" w:hAnsiTheme="minorHAnsi" w:cstheme="minorHAnsi"/>
          <w:sz w:val="22"/>
          <w:szCs w:val="22"/>
          <w:lang w:val="sr-Latn-ME"/>
        </w:rPr>
        <w:t xml:space="preserve"> Broj kontrolisanih notarskih zapisa u posmatranom periodu je 431,</w:t>
      </w:r>
      <w:r w:rsidR="00DD7437" w:rsidRPr="000B1279">
        <w:rPr>
          <w:rFonts w:asciiTheme="minorHAnsi" w:hAnsiTheme="minorHAnsi" w:cstheme="minorHAnsi"/>
          <w:sz w:val="22"/>
          <w:szCs w:val="22"/>
          <w:lang w:val="sr-Latn-ME"/>
        </w:rPr>
        <w:t xml:space="preserve"> što predstavlja oko 1%</w:t>
      </w:r>
      <w:r w:rsidR="000B1279" w:rsidRPr="000B1279">
        <w:rPr>
          <w:rFonts w:asciiTheme="minorHAnsi" w:hAnsiTheme="minorHAnsi" w:cstheme="minorHAnsi"/>
          <w:sz w:val="22"/>
          <w:szCs w:val="22"/>
          <w:lang w:val="sr-Latn-ME"/>
        </w:rPr>
        <w:t xml:space="preserve"> od ukupnog broja sačinjenih notarskih zapisa u tom periodu, pa je potreban </w:t>
      </w:r>
      <w:r w:rsidRPr="000B1279">
        <w:rPr>
          <w:rFonts w:asciiTheme="minorHAnsi" w:hAnsiTheme="minorHAnsi" w:cstheme="minorHAnsi"/>
          <w:sz w:val="22"/>
          <w:szCs w:val="22"/>
          <w:lang w:val="sr-Latn-ME"/>
        </w:rPr>
        <w:t xml:space="preserve"> sveobuhvatniji uvid u rad notarske službe.</w:t>
      </w:r>
      <w:r w:rsidR="00873F40">
        <w:rPr>
          <w:rStyle w:val="FootnoteReference"/>
          <w:rFonts w:asciiTheme="minorHAnsi" w:hAnsiTheme="minorHAnsi" w:cstheme="minorHAnsi"/>
          <w:sz w:val="22"/>
          <w:szCs w:val="22"/>
          <w:lang w:val="sr-Latn-ME"/>
        </w:rPr>
        <w:footnoteReference w:id="28"/>
      </w:r>
      <w:r w:rsidRPr="000B1279">
        <w:rPr>
          <w:rFonts w:asciiTheme="minorHAnsi" w:hAnsiTheme="minorHAnsi" w:cstheme="minorHAnsi"/>
          <w:sz w:val="22"/>
          <w:szCs w:val="22"/>
          <w:lang w:val="sr-Latn-ME"/>
        </w:rPr>
        <w:t xml:space="preserve"> </w:t>
      </w:r>
      <w:r w:rsidR="000B1279" w:rsidRPr="000B1279">
        <w:rPr>
          <w:rFonts w:asciiTheme="minorHAnsi" w:hAnsiTheme="minorHAnsi" w:cstheme="minorHAnsi"/>
          <w:sz w:val="22"/>
          <w:szCs w:val="22"/>
          <w:lang w:val="sr-Latn-ME"/>
        </w:rPr>
        <w:t>Preduslov za ovo je i</w:t>
      </w:r>
      <w:r w:rsidRPr="000B1279">
        <w:rPr>
          <w:rFonts w:asciiTheme="minorHAnsi" w:hAnsiTheme="minorHAnsi" w:cstheme="minorHAnsi"/>
          <w:sz w:val="22"/>
          <w:szCs w:val="22"/>
          <w:lang w:val="sr-Latn-ME"/>
        </w:rPr>
        <w:t xml:space="preserve"> popunjavanje slobodnih radnih mjesta pravosudnog inspektora u Direkciji za nadzor</w:t>
      </w:r>
      <w:r w:rsidR="000B1279" w:rsidRPr="000B1279">
        <w:rPr>
          <w:rFonts w:asciiTheme="minorHAnsi" w:hAnsiTheme="minorHAnsi" w:cstheme="minorHAnsi"/>
          <w:sz w:val="22"/>
          <w:szCs w:val="22"/>
          <w:lang w:val="sr-Latn-ME"/>
        </w:rPr>
        <w:t xml:space="preserve"> Ministarstva pravde</w:t>
      </w:r>
      <w:r w:rsidRPr="000B1279">
        <w:rPr>
          <w:rFonts w:asciiTheme="minorHAnsi" w:hAnsiTheme="minorHAnsi" w:cstheme="minorHAnsi"/>
          <w:sz w:val="22"/>
          <w:szCs w:val="22"/>
          <w:lang w:val="sr-Latn-ME"/>
        </w:rPr>
        <w:t>.</w:t>
      </w:r>
    </w:p>
    <w:p w14:paraId="228D528B" w14:textId="18CC99AC" w:rsidR="00C44B4B" w:rsidRPr="000B1279" w:rsidRDefault="000B1279" w:rsidP="00014BA9">
      <w:pPr>
        <w:autoSpaceDE w:val="0"/>
        <w:autoSpaceDN w:val="0"/>
        <w:adjustRightInd w:val="0"/>
        <w:spacing w:after="240" w:line="276" w:lineRule="auto"/>
        <w:jc w:val="both"/>
        <w:rPr>
          <w:rFonts w:cstheme="minorHAnsi"/>
          <w:color w:val="000000"/>
          <w14:ligatures w14:val="standardContextual"/>
        </w:rPr>
      </w:pPr>
      <w:r w:rsidRPr="000B1279">
        <w:rPr>
          <w:rFonts w:cstheme="minorHAnsi"/>
          <w:color w:val="000000"/>
          <w14:ligatures w14:val="standardContextual"/>
        </w:rPr>
        <w:t xml:space="preserve">Istovremeno, </w:t>
      </w:r>
      <w:r w:rsidR="00F34229" w:rsidRPr="000B1279">
        <w:rPr>
          <w:rFonts w:cstheme="minorHAnsi"/>
          <w:color w:val="000000"/>
          <w14:ligatures w14:val="standardContextual"/>
        </w:rPr>
        <w:t xml:space="preserve">Zakonom o notarima i Statutom Notarske komore uređeno je, da Notarska komora pored ostalog vrši nadzor nad radom notara. Upravni odbor je na sjednici održanoj 16.02.2018. godine, donio </w:t>
      </w:r>
      <w:r w:rsidR="00F34229" w:rsidRPr="000B1279">
        <w:rPr>
          <w:rFonts w:cstheme="minorHAnsi"/>
          <w:color w:val="000000"/>
          <w14:ligatures w14:val="standardContextual"/>
        </w:rPr>
        <w:lastRenderedPageBreak/>
        <w:t xml:space="preserve">Odluku o formiranju tri Komisije iz reda članova Upravnog odbora za pregled notarskih kancelarija. </w:t>
      </w:r>
      <w:r w:rsidRPr="000B1279">
        <w:rPr>
          <w:rFonts w:cstheme="minorHAnsi"/>
          <w:color w:val="000000"/>
          <w14:ligatures w14:val="standardContextual"/>
        </w:rPr>
        <w:t xml:space="preserve">Ipak, </w:t>
      </w:r>
      <w:r w:rsidR="00F34229" w:rsidRPr="000B1279">
        <w:rPr>
          <w:rFonts w:cstheme="minorHAnsi"/>
          <w:color w:val="000000"/>
          <w14:ligatures w14:val="standardContextual"/>
        </w:rPr>
        <w:t>tok</w:t>
      </w:r>
      <w:r w:rsidRPr="000B1279">
        <w:rPr>
          <w:rFonts w:cstheme="minorHAnsi"/>
          <w:color w:val="000000"/>
          <w14:ligatures w14:val="standardContextual"/>
        </w:rPr>
        <w:t>om</w:t>
      </w:r>
      <w:r w:rsidR="00F34229" w:rsidRPr="000B1279">
        <w:rPr>
          <w:rFonts w:cstheme="minorHAnsi"/>
          <w:color w:val="000000"/>
          <w14:ligatures w14:val="standardContextual"/>
        </w:rPr>
        <w:t xml:space="preserve"> 2021. godine od strane Notarske komore nije vršen nadzor nad radom notara</w:t>
      </w:r>
      <w:r w:rsidRPr="000B1279">
        <w:rPr>
          <w:rFonts w:cstheme="minorHAnsi"/>
          <w:color w:val="000000"/>
          <w14:ligatures w14:val="standardContextual"/>
        </w:rPr>
        <w:t xml:space="preserve"> zbog </w:t>
      </w:r>
      <w:r w:rsidR="00F34229" w:rsidRPr="000B1279">
        <w:rPr>
          <w:rFonts w:cstheme="minorHAnsi"/>
          <w:color w:val="000000"/>
          <w14:ligatures w14:val="standardContextual"/>
        </w:rPr>
        <w:t>epidemiološke situacije u zemlji. Notarska komora je u 2023.</w:t>
      </w:r>
      <w:r w:rsidR="00B824B2">
        <w:rPr>
          <w:rFonts w:cstheme="minorHAnsi"/>
          <w:color w:val="000000"/>
          <w14:ligatures w14:val="standardContextual"/>
        </w:rPr>
        <w:t xml:space="preserve"> </w:t>
      </w:r>
      <w:r w:rsidR="00F34229" w:rsidRPr="000B1279">
        <w:rPr>
          <w:rFonts w:cstheme="minorHAnsi"/>
          <w:color w:val="000000"/>
          <w14:ligatures w14:val="standardContextual"/>
        </w:rPr>
        <w:t>godini formirala komisije koje će vršiti nadzor nad radom notara u narednom periodu.</w:t>
      </w:r>
      <w:r w:rsidR="00E052F0">
        <w:rPr>
          <w:rStyle w:val="FootnoteReference"/>
          <w:rFonts w:cstheme="minorHAnsi"/>
          <w:color w:val="000000"/>
          <w14:ligatures w14:val="standardContextual"/>
        </w:rPr>
        <w:footnoteReference w:id="29"/>
      </w:r>
    </w:p>
    <w:p w14:paraId="7CC48018" w14:textId="116FA680" w:rsidR="00F82FCD" w:rsidRDefault="008258A1" w:rsidP="00EB34E2">
      <w:pPr>
        <w:autoSpaceDE w:val="0"/>
        <w:autoSpaceDN w:val="0"/>
        <w:adjustRightInd w:val="0"/>
        <w:spacing w:after="0" w:line="276" w:lineRule="auto"/>
        <w:jc w:val="both"/>
        <w:rPr>
          <w:rFonts w:eastAsia="Calibri" w:cstheme="minorHAnsi"/>
          <w:bCs/>
          <w:color w:val="000000" w:themeColor="text1"/>
        </w:rPr>
      </w:pPr>
      <w:r w:rsidRPr="0005444A">
        <w:rPr>
          <w:rFonts w:eastAsia="Calibri" w:cstheme="minorHAnsi"/>
          <w:bCs/>
          <w:color w:val="000000" w:themeColor="text1"/>
        </w:rPr>
        <w:t xml:space="preserve">U slučaju odgovornosti </w:t>
      </w:r>
      <w:r w:rsidRPr="007F539E">
        <w:rPr>
          <w:rFonts w:eastAsia="Calibri" w:cstheme="minorHAnsi"/>
          <w:b/>
          <w:i/>
          <w:iCs/>
          <w:color w:val="000000" w:themeColor="text1"/>
        </w:rPr>
        <w:t>advokata</w:t>
      </w:r>
      <w:r w:rsidRPr="0005444A">
        <w:rPr>
          <w:rFonts w:eastAsia="Calibri" w:cstheme="minorHAnsi"/>
          <w:bCs/>
          <w:color w:val="000000" w:themeColor="text1"/>
        </w:rPr>
        <w:t>, postoji značajno kašnjenje procesa usvajanja Kodeksa profesionalne etike</w:t>
      </w:r>
      <w:r w:rsidR="00873F40">
        <w:rPr>
          <w:rFonts w:eastAsia="Calibri" w:cstheme="minorHAnsi"/>
          <w:bCs/>
          <w:color w:val="000000" w:themeColor="text1"/>
        </w:rPr>
        <w:t>.</w:t>
      </w:r>
      <w:r w:rsidR="00F82FCD" w:rsidRPr="0005444A">
        <w:rPr>
          <w:rFonts w:eastAsia="Calibri" w:cstheme="minorHAnsi"/>
          <w:bCs/>
          <w:color w:val="000000" w:themeColor="text1"/>
        </w:rPr>
        <w:t xml:space="preserve"> U praksi je primjetan izostanak primjene </w:t>
      </w:r>
      <w:r w:rsidR="003714D2">
        <w:rPr>
          <w:rFonts w:eastAsia="Calibri" w:cstheme="minorHAnsi"/>
          <w:bCs/>
          <w:color w:val="000000" w:themeColor="text1"/>
        </w:rPr>
        <w:t xml:space="preserve">postojećih </w:t>
      </w:r>
      <w:r w:rsidR="00F82FCD" w:rsidRPr="0005444A">
        <w:rPr>
          <w:rFonts w:eastAsia="Calibri" w:cstheme="minorHAnsi"/>
          <w:bCs/>
          <w:color w:val="000000" w:themeColor="text1"/>
        </w:rPr>
        <w:t xml:space="preserve">mehanizama odgovornosti </w:t>
      </w:r>
      <w:r w:rsidR="00F82FCD" w:rsidRPr="007F539E">
        <w:rPr>
          <w:rFonts w:eastAsia="Calibri" w:cstheme="minorHAnsi"/>
          <w:b/>
          <w:i/>
          <w:iCs/>
          <w:color w:val="000000" w:themeColor="text1"/>
        </w:rPr>
        <w:t>sudskih vještaka</w:t>
      </w:r>
      <w:r w:rsidR="00F82FCD" w:rsidRPr="0005444A">
        <w:rPr>
          <w:rFonts w:eastAsia="Calibri" w:cstheme="minorHAnsi"/>
          <w:bCs/>
          <w:color w:val="000000" w:themeColor="text1"/>
        </w:rPr>
        <w:t xml:space="preserve"> </w:t>
      </w:r>
      <w:r w:rsidR="003714D2">
        <w:rPr>
          <w:rFonts w:eastAsia="Calibri" w:cstheme="minorHAnsi"/>
          <w:bCs/>
          <w:color w:val="000000" w:themeColor="text1"/>
        </w:rPr>
        <w:t xml:space="preserve">u slučaju </w:t>
      </w:r>
      <w:r w:rsidR="00F82FCD" w:rsidRPr="0005444A">
        <w:rPr>
          <w:rFonts w:eastAsia="Calibri" w:cstheme="minorHAnsi"/>
          <w:bCs/>
          <w:color w:val="000000" w:themeColor="text1"/>
        </w:rPr>
        <w:t xml:space="preserve"> nestručnog ili neefikasnog postupanja.</w:t>
      </w:r>
      <w:r w:rsidR="00002E0D">
        <w:rPr>
          <w:rFonts w:eastAsia="Calibri" w:cstheme="minorHAnsi"/>
          <w:bCs/>
          <w:color w:val="000000" w:themeColor="text1"/>
        </w:rPr>
        <w:t xml:space="preserve"> </w:t>
      </w:r>
    </w:p>
    <w:p w14:paraId="74AAFF5E" w14:textId="77777777" w:rsidR="00A056D7" w:rsidRDefault="00A056D7" w:rsidP="00EB34E2">
      <w:pPr>
        <w:autoSpaceDE w:val="0"/>
        <w:autoSpaceDN w:val="0"/>
        <w:adjustRightInd w:val="0"/>
        <w:spacing w:after="0" w:line="276" w:lineRule="auto"/>
        <w:jc w:val="both"/>
        <w:rPr>
          <w:rFonts w:cstheme="minorHAnsi"/>
          <w14:ligatures w14:val="standardContextual"/>
        </w:rPr>
      </w:pPr>
    </w:p>
    <w:p w14:paraId="7D32B382" w14:textId="77777777" w:rsidR="005C4299" w:rsidRPr="00EB34E2" w:rsidRDefault="005C4299" w:rsidP="00EB34E2">
      <w:pPr>
        <w:autoSpaceDE w:val="0"/>
        <w:autoSpaceDN w:val="0"/>
        <w:adjustRightInd w:val="0"/>
        <w:spacing w:after="0" w:line="276" w:lineRule="auto"/>
        <w:jc w:val="both"/>
        <w:rPr>
          <w:rFonts w:cstheme="minorHAnsi"/>
          <w14:ligatures w14:val="standardContextual"/>
        </w:rPr>
      </w:pPr>
    </w:p>
    <w:p w14:paraId="2FC2A8E4" w14:textId="42B06C69" w:rsidR="00F82FCD" w:rsidRPr="00F82FCD" w:rsidRDefault="00F82FCD">
      <w:pPr>
        <w:pStyle w:val="Heading2"/>
        <w:numPr>
          <w:ilvl w:val="0"/>
          <w:numId w:val="12"/>
        </w:numPr>
        <w:spacing w:after="240"/>
        <w:jc w:val="center"/>
        <w:rPr>
          <w:rFonts w:eastAsia="Calibri"/>
        </w:rPr>
      </w:pPr>
      <w:bookmarkStart w:id="19" w:name="_Toc156937947"/>
      <w:r>
        <w:rPr>
          <w:rFonts w:eastAsia="Calibri"/>
        </w:rPr>
        <w:t>Stručnost i efikasnost pravosuđa</w:t>
      </w:r>
      <w:bookmarkEnd w:id="19"/>
    </w:p>
    <w:p w14:paraId="4881561E" w14:textId="5CFADA5D" w:rsidR="00047429" w:rsidRPr="003055BA" w:rsidRDefault="00047429">
      <w:pPr>
        <w:pStyle w:val="Heading3"/>
        <w:numPr>
          <w:ilvl w:val="1"/>
          <w:numId w:val="12"/>
        </w:numPr>
        <w:spacing w:after="240"/>
        <w:jc w:val="center"/>
        <w:rPr>
          <w:rFonts w:eastAsia="Calibri"/>
        </w:rPr>
      </w:pPr>
      <w:bookmarkStart w:id="20" w:name="_Toc156937948"/>
      <w:r w:rsidRPr="003055BA">
        <w:rPr>
          <w:rFonts w:eastAsia="Calibri"/>
        </w:rPr>
        <w:t>Stručnost</w:t>
      </w:r>
      <w:bookmarkEnd w:id="20"/>
    </w:p>
    <w:p w14:paraId="5481A287" w14:textId="24EC3F6C" w:rsidR="000B7585" w:rsidRPr="00F5656C" w:rsidRDefault="0005444A" w:rsidP="00F5656C">
      <w:pPr>
        <w:pStyle w:val="pf0"/>
        <w:spacing w:line="276" w:lineRule="auto"/>
        <w:jc w:val="both"/>
        <w:rPr>
          <w:rFonts w:asciiTheme="minorHAnsi" w:hAnsiTheme="minorHAnsi" w:cstheme="minorHAnsi"/>
          <w:sz w:val="22"/>
          <w:szCs w:val="22"/>
          <w:lang w:val="sr-Latn-ME"/>
        </w:rPr>
      </w:pPr>
      <w:r w:rsidRPr="00F5656C">
        <w:rPr>
          <w:rFonts w:asciiTheme="minorHAnsi" w:eastAsia="Calibri" w:hAnsiTheme="minorHAnsi" w:cstheme="minorHAnsi"/>
          <w:bCs/>
          <w:color w:val="000000" w:themeColor="text1"/>
          <w:sz w:val="22"/>
          <w:szCs w:val="22"/>
        </w:rPr>
        <w:t>Centar</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za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obuku</w:t>
      </w:r>
      <w:r w:rsidRPr="00F5656C">
        <w:rPr>
          <w:rFonts w:asciiTheme="minorHAnsi" w:eastAsia="Calibri" w:hAnsiTheme="minorHAnsi" w:cstheme="minorHAnsi"/>
          <w:bCs/>
          <w:color w:val="000000" w:themeColor="text1"/>
          <w:sz w:val="22"/>
          <w:szCs w:val="22"/>
          <w:lang w:val="sr-Latn-ME"/>
        </w:rPr>
        <w:t xml:space="preserve"> </w:t>
      </w:r>
      <w:r w:rsidR="008446E1">
        <w:rPr>
          <w:rFonts w:asciiTheme="minorHAnsi" w:eastAsia="Calibri" w:hAnsiTheme="minorHAnsi" w:cstheme="minorHAnsi"/>
          <w:bCs/>
          <w:color w:val="000000" w:themeColor="text1"/>
          <w:sz w:val="22"/>
          <w:szCs w:val="22"/>
          <w:lang w:val="sr-Latn-ME"/>
        </w:rPr>
        <w:t xml:space="preserve">trenutno </w:t>
      </w:r>
      <w:r w:rsidRPr="00F5656C">
        <w:rPr>
          <w:rFonts w:asciiTheme="minorHAnsi" w:eastAsia="Calibri" w:hAnsiTheme="minorHAnsi" w:cstheme="minorHAnsi"/>
          <w:bCs/>
          <w:color w:val="000000" w:themeColor="text1"/>
          <w:sz w:val="22"/>
          <w:szCs w:val="22"/>
        </w:rPr>
        <w:t>raspola</w:t>
      </w:r>
      <w:r w:rsidRPr="00F5656C">
        <w:rPr>
          <w:rFonts w:asciiTheme="minorHAnsi" w:eastAsia="Calibri" w:hAnsiTheme="minorHAnsi" w:cstheme="minorHAnsi"/>
          <w:bCs/>
          <w:color w:val="000000" w:themeColor="text1"/>
          <w:sz w:val="22"/>
          <w:szCs w:val="22"/>
          <w:lang w:val="sr-Latn-ME"/>
        </w:rPr>
        <w:t>ž</w:t>
      </w:r>
      <w:r w:rsidRPr="00F5656C">
        <w:rPr>
          <w:rFonts w:asciiTheme="minorHAnsi" w:eastAsia="Calibri" w:hAnsiTheme="minorHAnsi" w:cstheme="minorHAnsi"/>
          <w:bCs/>
          <w:color w:val="000000" w:themeColor="text1"/>
          <w:sz w:val="22"/>
          <w:szCs w:val="22"/>
        </w:rPr>
        <w:t>e</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adekvatnim</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infrastrukturnim</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kapacitetima</w:t>
      </w:r>
      <w:r w:rsidR="003055BA"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rPr>
        <w:t>u</w:t>
      </w:r>
      <w:r w:rsidR="003055BA"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rPr>
        <w:t>smislu</w:t>
      </w:r>
      <w:r w:rsidR="003055BA"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rPr>
        <w:t>povr</w:t>
      </w:r>
      <w:r w:rsidR="003055BA" w:rsidRPr="00F5656C">
        <w:rPr>
          <w:rFonts w:asciiTheme="minorHAnsi" w:eastAsia="Calibri" w:hAnsiTheme="minorHAnsi" w:cstheme="minorHAnsi"/>
          <w:bCs/>
          <w:color w:val="000000" w:themeColor="text1"/>
          <w:sz w:val="22"/>
          <w:szCs w:val="22"/>
          <w:lang w:val="sr-Latn-ME"/>
        </w:rPr>
        <w:t>š</w:t>
      </w:r>
      <w:r w:rsidR="003055BA">
        <w:rPr>
          <w:rFonts w:asciiTheme="minorHAnsi" w:eastAsia="Calibri" w:hAnsiTheme="minorHAnsi" w:cstheme="minorHAnsi"/>
          <w:bCs/>
          <w:color w:val="000000" w:themeColor="text1"/>
          <w:sz w:val="22"/>
          <w:szCs w:val="22"/>
        </w:rPr>
        <w:t>ine</w:t>
      </w:r>
      <w:r w:rsidR="003055BA" w:rsidRPr="00F5656C">
        <w:rPr>
          <w:rFonts w:asciiTheme="minorHAnsi" w:eastAsia="Calibri" w:hAnsiTheme="minorHAnsi" w:cstheme="minorHAnsi"/>
          <w:bCs/>
          <w:color w:val="000000" w:themeColor="text1"/>
          <w:sz w:val="22"/>
          <w:szCs w:val="22"/>
          <w:lang w:val="sr-Latn-ME"/>
        </w:rPr>
        <w:t xml:space="preserve"> </w:t>
      </w:r>
      <w:r w:rsidR="008446E1">
        <w:rPr>
          <w:rFonts w:asciiTheme="minorHAnsi" w:eastAsia="Calibri" w:hAnsiTheme="minorHAnsi" w:cstheme="minorHAnsi"/>
          <w:bCs/>
          <w:color w:val="000000" w:themeColor="text1"/>
          <w:sz w:val="22"/>
          <w:szCs w:val="22"/>
        </w:rPr>
        <w:t>i</w:t>
      </w:r>
      <w:r w:rsidR="003055BA"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rPr>
        <w:t>op</w:t>
      </w:r>
      <w:r w:rsidR="00F5656C">
        <w:rPr>
          <w:rFonts w:asciiTheme="minorHAnsi" w:eastAsia="Calibri" w:hAnsiTheme="minorHAnsi" w:cstheme="minorHAnsi"/>
          <w:bCs/>
          <w:color w:val="000000" w:themeColor="text1"/>
          <w:sz w:val="22"/>
          <w:szCs w:val="22"/>
        </w:rPr>
        <w:t>r</w:t>
      </w:r>
      <w:r w:rsidR="003055BA">
        <w:rPr>
          <w:rFonts w:asciiTheme="minorHAnsi" w:eastAsia="Calibri" w:hAnsiTheme="minorHAnsi" w:cstheme="minorHAnsi"/>
          <w:bCs/>
          <w:color w:val="000000" w:themeColor="text1"/>
          <w:sz w:val="22"/>
          <w:szCs w:val="22"/>
        </w:rPr>
        <w:t>emljenosti</w:t>
      </w:r>
      <w:r w:rsidR="003055BA"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rPr>
        <w:t>prostora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u</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prethodnom</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periodu</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je</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razvijena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i</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platforma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za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u</w:t>
      </w:r>
      <w:r w:rsidRPr="00F5656C">
        <w:rPr>
          <w:rFonts w:asciiTheme="minorHAnsi" w:eastAsia="Calibri" w:hAnsiTheme="minorHAnsi" w:cstheme="minorHAnsi"/>
          <w:bCs/>
          <w:color w:val="000000" w:themeColor="text1"/>
          <w:sz w:val="22"/>
          <w:szCs w:val="22"/>
          <w:lang w:val="sr-Latn-ME"/>
        </w:rPr>
        <w:t>č</w:t>
      </w:r>
      <w:r w:rsidRPr="00F5656C">
        <w:rPr>
          <w:rFonts w:asciiTheme="minorHAnsi" w:eastAsia="Calibri" w:hAnsiTheme="minorHAnsi" w:cstheme="minorHAnsi"/>
          <w:bCs/>
          <w:color w:val="000000" w:themeColor="text1"/>
          <w:sz w:val="22"/>
          <w:szCs w:val="22"/>
        </w:rPr>
        <w:t>enje</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na</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daljinu</w:t>
      </w:r>
      <w:r w:rsidRPr="00F5656C">
        <w:rPr>
          <w:rFonts w:asciiTheme="minorHAnsi" w:eastAsia="Calibri" w:hAnsiTheme="minorHAnsi" w:cstheme="minorHAnsi"/>
          <w:bCs/>
          <w:color w:val="000000" w:themeColor="text1"/>
          <w:sz w:val="22"/>
          <w:szCs w:val="22"/>
          <w:lang w:val="sr-Latn-ME"/>
        </w:rPr>
        <w:t xml:space="preserve"> (</w:t>
      </w:r>
      <w:r w:rsidRPr="00F5656C">
        <w:rPr>
          <w:rFonts w:asciiTheme="minorHAnsi" w:eastAsia="Calibri" w:hAnsiTheme="minorHAnsi" w:cstheme="minorHAnsi"/>
          <w:bCs/>
          <w:color w:val="000000" w:themeColor="text1"/>
          <w:sz w:val="22"/>
          <w:szCs w:val="22"/>
        </w:rPr>
        <w:t>e</w:t>
      </w:r>
      <w:r w:rsidRPr="00F5656C">
        <w:rPr>
          <w:rFonts w:asciiTheme="minorHAnsi" w:eastAsia="Calibri" w:hAnsiTheme="minorHAnsi" w:cstheme="minorHAnsi"/>
          <w:bCs/>
          <w:color w:val="000000" w:themeColor="text1"/>
          <w:sz w:val="22"/>
          <w:szCs w:val="22"/>
          <w:lang w:val="sr-Latn-ME"/>
        </w:rPr>
        <w:t>-</w:t>
      </w:r>
      <w:r w:rsidRPr="00F5656C">
        <w:rPr>
          <w:rFonts w:asciiTheme="minorHAnsi" w:eastAsia="Calibri" w:hAnsiTheme="minorHAnsi" w:cstheme="minorHAnsi"/>
          <w:bCs/>
          <w:color w:val="000000" w:themeColor="text1"/>
          <w:sz w:val="22"/>
          <w:szCs w:val="22"/>
        </w:rPr>
        <w:t>learning</w:t>
      </w:r>
      <w:r w:rsidRPr="00F5656C">
        <w:rPr>
          <w:rFonts w:asciiTheme="minorHAnsi" w:eastAsia="Calibri" w:hAnsiTheme="minorHAnsi" w:cstheme="minorHAnsi"/>
          <w:bCs/>
          <w:color w:val="000000" w:themeColor="text1"/>
          <w:sz w:val="22"/>
          <w:szCs w:val="22"/>
          <w:lang w:val="sr-Latn-ME"/>
        </w:rPr>
        <w:t xml:space="preserve">). </w:t>
      </w:r>
      <w:r w:rsidR="003055BA">
        <w:rPr>
          <w:rFonts w:asciiTheme="minorHAnsi" w:eastAsia="Calibri" w:hAnsiTheme="minorHAnsi" w:cstheme="minorHAnsi"/>
          <w:bCs/>
          <w:color w:val="000000" w:themeColor="text1"/>
          <w:sz w:val="22"/>
          <w:szCs w:val="22"/>
          <w:lang w:val="sr-Latn-ME"/>
        </w:rPr>
        <w:t xml:space="preserve">Ipak, izazov i dalje predstavlja potreba </w:t>
      </w:r>
      <w:r w:rsidR="000B7585" w:rsidRPr="00F5656C">
        <w:rPr>
          <w:rStyle w:val="cf01"/>
          <w:rFonts w:asciiTheme="minorHAnsi" w:hAnsiTheme="minorHAnsi" w:cstheme="minorHAnsi"/>
          <w:sz w:val="22"/>
          <w:szCs w:val="22"/>
        </w:rPr>
        <w:t>da</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se</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obezbijede</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prostorni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kapaciteti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Centra</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koji</w:t>
      </w:r>
      <w:r w:rsidR="000B7585" w:rsidRPr="00F5656C">
        <w:rPr>
          <w:rStyle w:val="cf01"/>
          <w:rFonts w:asciiTheme="minorHAnsi" w:hAnsiTheme="minorHAnsi" w:cstheme="minorHAnsi"/>
          <w:sz w:val="22"/>
          <w:szCs w:val="22"/>
          <w:lang w:val="sr-Latn-ME"/>
        </w:rPr>
        <w:t xml:space="preserve"> ć</w:t>
      </w:r>
      <w:r w:rsidR="000B7585" w:rsidRPr="00F5656C">
        <w:rPr>
          <w:rStyle w:val="cf01"/>
          <w:rFonts w:asciiTheme="minorHAnsi" w:hAnsiTheme="minorHAnsi" w:cstheme="minorHAnsi"/>
          <w:sz w:val="22"/>
          <w:szCs w:val="22"/>
        </w:rPr>
        <w:t>e</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odgovarati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djelatnosti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Centra</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koji</w:t>
      </w:r>
      <w:r w:rsidR="000B7585" w:rsidRPr="00F5656C">
        <w:rPr>
          <w:rStyle w:val="cf01"/>
          <w:rFonts w:asciiTheme="minorHAnsi" w:hAnsiTheme="minorHAnsi" w:cstheme="minorHAnsi"/>
          <w:sz w:val="22"/>
          <w:szCs w:val="22"/>
          <w:lang w:val="sr-Latn-ME"/>
        </w:rPr>
        <w:t xml:space="preserve"> ć</w:t>
      </w:r>
      <w:r w:rsidR="000B7585" w:rsidRPr="00F5656C">
        <w:rPr>
          <w:rStyle w:val="cf01"/>
          <w:rFonts w:asciiTheme="minorHAnsi" w:hAnsiTheme="minorHAnsi" w:cstheme="minorHAnsi"/>
          <w:sz w:val="22"/>
          <w:szCs w:val="22"/>
        </w:rPr>
        <w:t>e</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biti</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u</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vlasni</w:t>
      </w:r>
      <w:r w:rsidR="000B7585" w:rsidRPr="00F5656C">
        <w:rPr>
          <w:rStyle w:val="cf01"/>
          <w:rFonts w:asciiTheme="minorHAnsi" w:hAnsiTheme="minorHAnsi" w:cstheme="minorHAnsi"/>
          <w:sz w:val="22"/>
          <w:szCs w:val="22"/>
          <w:lang w:val="sr-Latn-ME"/>
        </w:rPr>
        <w:t>š</w:t>
      </w:r>
      <w:r w:rsidR="000B7585" w:rsidRPr="00F5656C">
        <w:rPr>
          <w:rStyle w:val="cf01"/>
          <w:rFonts w:asciiTheme="minorHAnsi" w:hAnsiTheme="minorHAnsi" w:cstheme="minorHAnsi"/>
          <w:sz w:val="22"/>
          <w:szCs w:val="22"/>
        </w:rPr>
        <w:t>tvu</w:t>
      </w:r>
      <w:r w:rsidR="000B7585" w:rsidRPr="00F5656C">
        <w:rPr>
          <w:rStyle w:val="cf01"/>
          <w:rFonts w:asciiTheme="minorHAnsi" w:hAnsiTheme="minorHAnsi" w:cstheme="minorHAnsi"/>
          <w:sz w:val="22"/>
          <w:szCs w:val="22"/>
          <w:lang w:val="sr-Latn-ME"/>
        </w:rPr>
        <w:t xml:space="preserve"> </w:t>
      </w:r>
      <w:r w:rsidR="000B7585" w:rsidRPr="00F5656C">
        <w:rPr>
          <w:rStyle w:val="cf01"/>
          <w:rFonts w:asciiTheme="minorHAnsi" w:hAnsiTheme="minorHAnsi" w:cstheme="minorHAnsi"/>
          <w:sz w:val="22"/>
          <w:szCs w:val="22"/>
        </w:rPr>
        <w:t>Centra</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za</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razliku</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od</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trenutnog</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prostora</w:t>
      </w:r>
      <w:r w:rsidR="003055BA" w:rsidRPr="00F5656C">
        <w:rPr>
          <w:rStyle w:val="cf01"/>
          <w:rFonts w:asciiTheme="minorHAnsi" w:hAnsiTheme="minorHAnsi" w:cstheme="minorHAnsi"/>
          <w:sz w:val="22"/>
          <w:szCs w:val="22"/>
          <w:lang w:val="sr-Latn-ME"/>
        </w:rPr>
        <w:t xml:space="preserve"> č</w:t>
      </w:r>
      <w:r w:rsidR="003055BA">
        <w:rPr>
          <w:rStyle w:val="cf01"/>
          <w:rFonts w:asciiTheme="minorHAnsi" w:hAnsiTheme="minorHAnsi" w:cstheme="minorHAnsi"/>
          <w:sz w:val="22"/>
          <w:szCs w:val="22"/>
        </w:rPr>
        <w:t>iji</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je</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dr</w:t>
      </w:r>
      <w:r w:rsidR="003055BA" w:rsidRPr="00F5656C">
        <w:rPr>
          <w:rStyle w:val="cf01"/>
          <w:rFonts w:asciiTheme="minorHAnsi" w:hAnsiTheme="minorHAnsi" w:cstheme="minorHAnsi"/>
          <w:sz w:val="22"/>
          <w:szCs w:val="22"/>
          <w:lang w:val="sr-Latn-ME"/>
        </w:rPr>
        <w:t>ž</w:t>
      </w:r>
      <w:r w:rsidR="003055BA">
        <w:rPr>
          <w:rStyle w:val="cf01"/>
          <w:rFonts w:asciiTheme="minorHAnsi" w:hAnsiTheme="minorHAnsi" w:cstheme="minorHAnsi"/>
          <w:sz w:val="22"/>
          <w:szCs w:val="22"/>
        </w:rPr>
        <w:t>ava</w:t>
      </w:r>
      <w:r w:rsidR="003055BA" w:rsidRPr="00F5656C">
        <w:rPr>
          <w:rStyle w:val="cf01"/>
          <w:rFonts w:asciiTheme="minorHAnsi" w:hAnsiTheme="minorHAnsi" w:cstheme="minorHAnsi"/>
          <w:sz w:val="22"/>
          <w:szCs w:val="22"/>
          <w:lang w:val="sr-Latn-ME"/>
        </w:rPr>
        <w:t xml:space="preserve"> </w:t>
      </w:r>
      <w:r w:rsidR="003055BA">
        <w:rPr>
          <w:rStyle w:val="cf01"/>
          <w:rFonts w:asciiTheme="minorHAnsi" w:hAnsiTheme="minorHAnsi" w:cstheme="minorHAnsi"/>
          <w:sz w:val="22"/>
          <w:szCs w:val="22"/>
        </w:rPr>
        <w:t>zakupac</w:t>
      </w:r>
      <w:r w:rsidR="003055BA" w:rsidRPr="00F5656C">
        <w:rPr>
          <w:rStyle w:val="cf01"/>
          <w:rFonts w:asciiTheme="minorHAnsi" w:hAnsiTheme="minorHAnsi" w:cstheme="minorHAnsi"/>
          <w:sz w:val="22"/>
          <w:szCs w:val="22"/>
          <w:lang w:val="sr-Latn-ME"/>
        </w:rPr>
        <w:t>.</w:t>
      </w:r>
      <w:r w:rsidR="000B7585" w:rsidRPr="00F5656C">
        <w:rPr>
          <w:rStyle w:val="cf01"/>
          <w:rFonts w:asciiTheme="minorHAnsi" w:hAnsiTheme="minorHAnsi" w:cstheme="minorHAnsi"/>
          <w:sz w:val="22"/>
          <w:szCs w:val="22"/>
          <w:lang w:val="sr-Latn-ME"/>
        </w:rPr>
        <w:t xml:space="preserve"> </w:t>
      </w:r>
    </w:p>
    <w:p w14:paraId="14D278BE" w14:textId="2CD7587D" w:rsidR="00D36F52" w:rsidRDefault="008446E1" w:rsidP="00F5656C">
      <w:pPr>
        <w:autoSpaceDE w:val="0"/>
        <w:autoSpaceDN w:val="0"/>
        <w:adjustRightInd w:val="0"/>
        <w:spacing w:after="0" w:line="276" w:lineRule="auto"/>
        <w:jc w:val="both"/>
        <w:rPr>
          <w:rFonts w:eastAsia="Calibri" w:cstheme="minorHAnsi"/>
          <w:bCs/>
          <w:color w:val="000000" w:themeColor="text1"/>
        </w:rPr>
      </w:pPr>
      <w:r>
        <w:rPr>
          <w:rFonts w:eastAsia="Calibri" w:cstheme="minorHAnsi"/>
          <w:bCs/>
          <w:color w:val="000000" w:themeColor="text1"/>
        </w:rPr>
        <w:t>Za</w:t>
      </w:r>
      <w:r w:rsidR="0005444A" w:rsidRPr="00F5656C">
        <w:rPr>
          <w:rFonts w:eastAsia="Calibri" w:cstheme="minorHAnsi"/>
          <w:bCs/>
          <w:color w:val="000000" w:themeColor="text1"/>
        </w:rPr>
        <w:t xml:space="preserve"> dalji razvoj Centra, postoji potreba da se osigura</w:t>
      </w:r>
      <w:r w:rsidR="00721435" w:rsidRPr="00F5656C">
        <w:rPr>
          <w:rFonts w:eastAsia="Calibri" w:cstheme="minorHAnsi"/>
          <w:bCs/>
          <w:color w:val="000000" w:themeColor="text1"/>
        </w:rPr>
        <w:t>ju</w:t>
      </w:r>
      <w:r w:rsidR="0005444A" w:rsidRPr="00F5656C">
        <w:rPr>
          <w:rFonts w:eastAsia="Calibri" w:cstheme="minorHAnsi"/>
          <w:bCs/>
          <w:color w:val="000000" w:themeColor="text1"/>
        </w:rPr>
        <w:t xml:space="preserve"> kontinuirana i adekvatna budžetska izdvajanja, jačanje stručnih kapaciteta zaposlenih</w:t>
      </w:r>
      <w:r w:rsidR="00AE63C7">
        <w:rPr>
          <w:rFonts w:eastAsia="Calibri" w:cstheme="minorHAnsi"/>
          <w:bCs/>
          <w:color w:val="000000" w:themeColor="text1"/>
        </w:rPr>
        <w:t xml:space="preserve"> </w:t>
      </w:r>
      <w:r w:rsidR="00AE63C7" w:rsidRPr="00F5656C">
        <w:rPr>
          <w:rStyle w:val="cf01"/>
          <w:rFonts w:asciiTheme="minorHAnsi" w:hAnsiTheme="minorHAnsi" w:cstheme="minorHAnsi"/>
          <w:sz w:val="22"/>
          <w:szCs w:val="22"/>
        </w:rPr>
        <w:t>i članova organa Centra (Upravnog odbora i Programskog savjeta)</w:t>
      </w:r>
      <w:r w:rsidR="0005444A" w:rsidRPr="00F5656C">
        <w:rPr>
          <w:rFonts w:eastAsia="Calibri" w:cstheme="minorHAnsi"/>
          <w:bCs/>
          <w:color w:val="000000" w:themeColor="text1"/>
          <w:sz w:val="28"/>
          <w:szCs w:val="28"/>
        </w:rPr>
        <w:t xml:space="preserve"> </w:t>
      </w:r>
      <w:r w:rsidR="0005444A" w:rsidRPr="00F5656C">
        <w:rPr>
          <w:rFonts w:eastAsia="Calibri" w:cstheme="minorHAnsi"/>
          <w:bCs/>
          <w:color w:val="000000" w:themeColor="text1"/>
        </w:rPr>
        <w:t>u pogledu analitike i strateškog planiranja, kao i šir</w:t>
      </w:r>
      <w:r w:rsidR="00721435" w:rsidRPr="00F5656C">
        <w:rPr>
          <w:rFonts w:eastAsia="Calibri" w:cstheme="minorHAnsi"/>
          <w:bCs/>
          <w:color w:val="000000" w:themeColor="text1"/>
        </w:rPr>
        <w:t>a</w:t>
      </w:r>
      <w:r w:rsidR="0005444A" w:rsidRPr="00F5656C">
        <w:rPr>
          <w:rFonts w:eastAsia="Calibri" w:cstheme="minorHAnsi"/>
          <w:bCs/>
          <w:color w:val="000000" w:themeColor="text1"/>
        </w:rPr>
        <w:t xml:space="preserve"> upotreb</w:t>
      </w:r>
      <w:r w:rsidR="00721435" w:rsidRPr="00F5656C">
        <w:rPr>
          <w:rFonts w:eastAsia="Calibri" w:cstheme="minorHAnsi"/>
          <w:bCs/>
          <w:color w:val="000000" w:themeColor="text1"/>
        </w:rPr>
        <w:t>a</w:t>
      </w:r>
      <w:r w:rsidR="0005444A" w:rsidRPr="00F5656C">
        <w:rPr>
          <w:rFonts w:eastAsia="Calibri" w:cstheme="minorHAnsi"/>
          <w:bCs/>
          <w:color w:val="000000" w:themeColor="text1"/>
        </w:rPr>
        <w:t xml:space="preserve"> </w:t>
      </w:r>
      <w:r w:rsidR="000F4115" w:rsidRPr="00F5656C">
        <w:rPr>
          <w:rFonts w:eastAsia="Calibri" w:cstheme="minorHAnsi"/>
          <w:bCs/>
          <w:color w:val="000000" w:themeColor="text1"/>
        </w:rPr>
        <w:t xml:space="preserve">savremenih metoda učenja. </w:t>
      </w:r>
      <w:r w:rsidR="0005444A" w:rsidRPr="00F5656C">
        <w:rPr>
          <w:rFonts w:eastAsia="Calibri" w:cstheme="minorHAnsi"/>
          <w:bCs/>
          <w:color w:val="000000" w:themeColor="text1"/>
        </w:rPr>
        <w:t xml:space="preserve"> Uz prestanak epidemioloških mjera, ovo bi podstaklo masovniji obuhvat nosilaca pravosudnih funkcija kontinuiranom obukom, što je od naročitog značaja imajući u vidu da se trenutno pripremaju ili privode kraju izmjene velikog broja zakona.</w:t>
      </w:r>
      <w:r w:rsidR="005C4299">
        <w:rPr>
          <w:rFonts w:eastAsia="Calibri" w:cstheme="minorHAnsi"/>
          <w:bCs/>
          <w:color w:val="000000" w:themeColor="text1"/>
        </w:rPr>
        <w:t xml:space="preserve"> </w:t>
      </w:r>
      <w:r w:rsidR="00D36F52" w:rsidRPr="003055BA">
        <w:rPr>
          <w:rFonts w:eastAsia="Calibri" w:cstheme="minorHAnsi"/>
          <w:bCs/>
          <w:color w:val="000000" w:themeColor="text1"/>
        </w:rPr>
        <w:t xml:space="preserve">Kada je riječ o </w:t>
      </w:r>
      <w:r w:rsidR="00D36F52" w:rsidRPr="003055BA">
        <w:rPr>
          <w:rFonts w:eastAsia="Calibri" w:cstheme="minorHAnsi"/>
          <w:b/>
          <w:color w:val="000000" w:themeColor="text1"/>
        </w:rPr>
        <w:t xml:space="preserve">stručnosti </w:t>
      </w:r>
      <w:r w:rsidR="00505F90" w:rsidRPr="003055BA">
        <w:rPr>
          <w:rFonts w:eastAsia="Calibri" w:cstheme="minorHAnsi"/>
          <w:b/>
          <w:color w:val="000000" w:themeColor="text1"/>
        </w:rPr>
        <w:t>pravosudnih profesija</w:t>
      </w:r>
      <w:r w:rsidR="00D36F52" w:rsidRPr="003055BA">
        <w:rPr>
          <w:rFonts w:eastAsia="Calibri" w:cstheme="minorHAnsi"/>
          <w:bCs/>
          <w:color w:val="000000" w:themeColor="text1"/>
        </w:rPr>
        <w:t>,</w:t>
      </w:r>
      <w:r w:rsidR="00505F90" w:rsidRPr="003055BA">
        <w:rPr>
          <w:rFonts w:eastAsia="Calibri" w:cstheme="minorHAnsi"/>
          <w:bCs/>
          <w:color w:val="000000" w:themeColor="text1"/>
        </w:rPr>
        <w:t xml:space="preserve"> neophodno je post-pandemijski period iskoristiti za intenziviranje obuka. U slučaju </w:t>
      </w:r>
      <w:r w:rsidR="00505F90" w:rsidRPr="003055BA">
        <w:rPr>
          <w:rFonts w:eastAsia="Calibri" w:cstheme="minorHAnsi"/>
          <w:b/>
          <w:i/>
          <w:iCs/>
          <w:color w:val="000000" w:themeColor="text1"/>
        </w:rPr>
        <w:t>javnih izvršitelja</w:t>
      </w:r>
      <w:r w:rsidR="00505F90" w:rsidRPr="003055BA">
        <w:rPr>
          <w:rFonts w:eastAsia="Calibri" w:cstheme="minorHAnsi"/>
          <w:bCs/>
          <w:color w:val="000000" w:themeColor="text1"/>
        </w:rPr>
        <w:t xml:space="preserve"> i notara, primjetna je potreba za usavršavanjem tzv</w:t>
      </w:r>
      <w:r w:rsidR="00505F90">
        <w:rPr>
          <w:rFonts w:eastAsia="Calibri" w:cstheme="minorHAnsi"/>
          <w:bCs/>
          <w:color w:val="000000" w:themeColor="text1"/>
        </w:rPr>
        <w:t xml:space="preserve">. </w:t>
      </w:r>
      <w:r w:rsidR="00505F90" w:rsidRPr="00F82FCD">
        <w:rPr>
          <w:rFonts w:eastAsia="Calibri" w:cstheme="minorHAnsi"/>
          <w:bCs/>
          <w:i/>
          <w:iCs/>
          <w:color w:val="000000" w:themeColor="text1"/>
        </w:rPr>
        <w:t>soft skills</w:t>
      </w:r>
      <w:r w:rsidR="00505F90">
        <w:rPr>
          <w:rFonts w:eastAsia="Calibri" w:cstheme="minorHAnsi"/>
          <w:bCs/>
          <w:color w:val="000000" w:themeColor="text1"/>
        </w:rPr>
        <w:t xml:space="preserve">, dok se kod </w:t>
      </w:r>
      <w:r w:rsidR="00505F90" w:rsidRPr="00721435">
        <w:rPr>
          <w:rFonts w:eastAsia="Calibri" w:cstheme="minorHAnsi"/>
          <w:b/>
          <w:i/>
          <w:iCs/>
          <w:color w:val="000000" w:themeColor="text1"/>
        </w:rPr>
        <w:t xml:space="preserve">notara </w:t>
      </w:r>
      <w:r w:rsidR="00505F90">
        <w:rPr>
          <w:rFonts w:eastAsia="Calibri" w:cstheme="minorHAnsi"/>
          <w:bCs/>
          <w:color w:val="000000" w:themeColor="text1"/>
        </w:rPr>
        <w:t xml:space="preserve">prepoznaje i potreba specijalizacije u oblastima poput procjene rizika od pranja novca i finansiranja terorizma. Unaprjeđenje stručnosti </w:t>
      </w:r>
      <w:r w:rsidR="00505F90" w:rsidRPr="00721435">
        <w:rPr>
          <w:rFonts w:eastAsia="Calibri" w:cstheme="minorHAnsi"/>
          <w:b/>
          <w:i/>
          <w:iCs/>
          <w:color w:val="000000" w:themeColor="text1"/>
        </w:rPr>
        <w:t>sudski</w:t>
      </w:r>
      <w:r w:rsidR="00721435" w:rsidRPr="00721435">
        <w:rPr>
          <w:rFonts w:eastAsia="Calibri" w:cstheme="minorHAnsi"/>
          <w:b/>
          <w:i/>
          <w:iCs/>
          <w:color w:val="000000" w:themeColor="text1"/>
        </w:rPr>
        <w:t>h</w:t>
      </w:r>
      <w:r w:rsidR="00505F90" w:rsidRPr="00721435">
        <w:rPr>
          <w:rFonts w:eastAsia="Calibri" w:cstheme="minorHAnsi"/>
          <w:b/>
          <w:i/>
          <w:iCs/>
          <w:color w:val="000000" w:themeColor="text1"/>
        </w:rPr>
        <w:t xml:space="preserve"> vještaka</w:t>
      </w:r>
      <w:r w:rsidR="00505F90">
        <w:rPr>
          <w:rFonts w:eastAsia="Calibri" w:cstheme="minorHAnsi"/>
          <w:bCs/>
          <w:color w:val="000000" w:themeColor="text1"/>
        </w:rPr>
        <w:t xml:space="preserve"> je oblast koja i dalje nije sistemski adresirana i zahtjeva dalju intervenciju, uzimajući u obzir heterogenost oblasti koje pokrivaju sudski vještaci. Kao gorući problem u ovoj oblasti izdvaja se neujednačenost ekspertize </w:t>
      </w:r>
      <w:r w:rsidR="00CD188B">
        <w:rPr>
          <w:rFonts w:eastAsia="Calibri" w:cstheme="minorHAnsi"/>
          <w:bCs/>
          <w:color w:val="000000" w:themeColor="text1"/>
        </w:rPr>
        <w:t>koja rezultira učestalim angažovanjem istih vještaka.</w:t>
      </w:r>
    </w:p>
    <w:p w14:paraId="12F72F38" w14:textId="77777777" w:rsidR="00047429" w:rsidRDefault="00047429" w:rsidP="00E54FB6">
      <w:pPr>
        <w:autoSpaceDE w:val="0"/>
        <w:autoSpaceDN w:val="0"/>
        <w:adjustRightInd w:val="0"/>
        <w:spacing w:after="120"/>
        <w:ind w:left="-14"/>
        <w:jc w:val="both"/>
        <w:rPr>
          <w:rFonts w:eastAsia="Calibri" w:cstheme="minorHAnsi"/>
          <w:bCs/>
          <w:color w:val="000000" w:themeColor="text1"/>
        </w:rPr>
      </w:pPr>
    </w:p>
    <w:p w14:paraId="52E4AEAB" w14:textId="374D70CC" w:rsidR="00047429" w:rsidRPr="009A613C" w:rsidRDefault="00047429">
      <w:pPr>
        <w:pStyle w:val="Heading3"/>
        <w:numPr>
          <w:ilvl w:val="1"/>
          <w:numId w:val="12"/>
        </w:numPr>
        <w:spacing w:after="240"/>
        <w:jc w:val="center"/>
        <w:rPr>
          <w:rFonts w:eastAsia="Calibri"/>
        </w:rPr>
      </w:pPr>
      <w:bookmarkStart w:id="21" w:name="_Toc156937949"/>
      <w:r>
        <w:rPr>
          <w:rFonts w:eastAsia="Calibri"/>
        </w:rPr>
        <w:t>Efikasnost pravosuđa</w:t>
      </w:r>
      <w:bookmarkEnd w:id="21"/>
    </w:p>
    <w:p w14:paraId="1682FC11" w14:textId="77777777" w:rsidR="00047429" w:rsidRDefault="00E54FB6" w:rsidP="00A056D7">
      <w:pPr>
        <w:spacing w:after="120" w:line="276" w:lineRule="auto"/>
        <w:jc w:val="both"/>
        <w:rPr>
          <w:rFonts w:cstheme="minorHAnsi"/>
        </w:rPr>
      </w:pPr>
      <w:r w:rsidRPr="009A613C">
        <w:rPr>
          <w:rFonts w:cstheme="minorHAnsi"/>
        </w:rPr>
        <w:t>Efekti</w:t>
      </w:r>
      <w:r w:rsidR="00047429">
        <w:rPr>
          <w:rFonts w:cstheme="minorHAnsi"/>
        </w:rPr>
        <w:t xml:space="preserve"> dosadašnjih reformi u pogledu</w:t>
      </w:r>
      <w:r w:rsidRPr="009A613C">
        <w:rPr>
          <w:rFonts w:cstheme="minorHAnsi"/>
        </w:rPr>
        <w:t xml:space="preserve"> </w:t>
      </w:r>
      <w:r w:rsidRPr="00047429">
        <w:rPr>
          <w:rFonts w:cstheme="minorHAnsi"/>
          <w:b/>
          <w:bCs/>
        </w:rPr>
        <w:t>efikasnosti pravosuđa</w:t>
      </w:r>
      <w:r w:rsidRPr="009A613C">
        <w:rPr>
          <w:rFonts w:cstheme="minorHAnsi"/>
        </w:rPr>
        <w:t xml:space="preserve"> su ograničeni</w:t>
      </w:r>
      <w:r w:rsidR="00047429">
        <w:rPr>
          <w:rFonts w:cstheme="minorHAnsi"/>
        </w:rPr>
        <w:t xml:space="preserve"> a trenutno stanje zahtijeva dodatne napore u više segmenata:</w:t>
      </w:r>
    </w:p>
    <w:p w14:paraId="123089A7" w14:textId="4F4587F4" w:rsidR="00A056D7" w:rsidRPr="0000783F" w:rsidRDefault="00047429">
      <w:pPr>
        <w:pStyle w:val="ListParagraph"/>
        <w:numPr>
          <w:ilvl w:val="0"/>
          <w:numId w:val="13"/>
        </w:numPr>
        <w:spacing w:after="120" w:line="276" w:lineRule="auto"/>
        <w:ind w:left="360"/>
        <w:jc w:val="both"/>
        <w:rPr>
          <w:rFonts w:cstheme="minorHAnsi"/>
          <w:i/>
          <w:iCs/>
          <w:sz w:val="20"/>
          <w:szCs w:val="20"/>
        </w:rPr>
      </w:pPr>
      <w:r w:rsidRPr="00AB23DA">
        <w:rPr>
          <w:rFonts w:cstheme="minorHAnsi"/>
          <w:b/>
          <w:bCs/>
        </w:rPr>
        <w:t>Racionalizacija, odnos</w:t>
      </w:r>
      <w:r w:rsidR="00790063" w:rsidRPr="00AB23DA">
        <w:rPr>
          <w:rFonts w:cstheme="minorHAnsi"/>
          <w:b/>
          <w:bCs/>
        </w:rPr>
        <w:t>n</w:t>
      </w:r>
      <w:r w:rsidRPr="00AB23DA">
        <w:rPr>
          <w:rFonts w:cstheme="minorHAnsi"/>
          <w:b/>
          <w:bCs/>
        </w:rPr>
        <w:t>o optimizacija pravosudne mreže</w:t>
      </w:r>
      <w:r w:rsidR="00AB23DA">
        <w:rPr>
          <w:rFonts w:cstheme="minorHAnsi"/>
        </w:rPr>
        <w:t>:</w:t>
      </w:r>
      <w:r w:rsidR="00800BE6" w:rsidRPr="00800BE6">
        <w:rPr>
          <w:rFonts w:cstheme="minorHAnsi"/>
        </w:rPr>
        <w:t xml:space="preserve"> </w:t>
      </w:r>
      <w:r w:rsidR="002D0F89" w:rsidRPr="00800BE6">
        <w:rPr>
          <w:rFonts w:cstheme="minorHAnsi"/>
        </w:rPr>
        <w:t xml:space="preserve">Grafikon </w:t>
      </w:r>
      <w:r w:rsidR="00714363">
        <w:rPr>
          <w:rFonts w:cstheme="minorHAnsi"/>
        </w:rPr>
        <w:t>4</w:t>
      </w:r>
      <w:r w:rsidR="00800BE6" w:rsidRPr="00800BE6">
        <w:rPr>
          <w:rFonts w:cstheme="minorHAnsi"/>
        </w:rPr>
        <w:t xml:space="preserve"> </w:t>
      </w:r>
      <w:r w:rsidR="002D0F89" w:rsidRPr="00800BE6">
        <w:rPr>
          <w:rFonts w:cstheme="minorHAnsi"/>
        </w:rPr>
        <w:t xml:space="preserve">pokazuje da prosječan broj sudija, tužilaca i pravosudnog osoblja na 100 000 stanovnika daleko nadmašuje prosjek na Zapadnom Balkanu. </w:t>
      </w:r>
    </w:p>
    <w:p w14:paraId="2D031858" w14:textId="08A70517" w:rsidR="00735CAE" w:rsidRPr="00800BE6" w:rsidRDefault="00735CAE" w:rsidP="00AB23DA">
      <w:pPr>
        <w:pStyle w:val="ListParagraph"/>
        <w:spacing w:after="120"/>
        <w:ind w:left="360"/>
        <w:jc w:val="center"/>
        <w:rPr>
          <w:rFonts w:cstheme="minorHAnsi"/>
          <w:i/>
          <w:iCs/>
          <w:sz w:val="20"/>
          <w:szCs w:val="20"/>
        </w:rPr>
      </w:pPr>
      <w:r w:rsidRPr="00714363">
        <w:rPr>
          <w:rFonts w:cstheme="minorHAnsi"/>
          <w:i/>
          <w:iCs/>
          <w:sz w:val="20"/>
          <w:szCs w:val="20"/>
          <w:lang w:val="en-US"/>
        </w:rPr>
        <w:lastRenderedPageBreak/>
        <w:t>Grafikon</w:t>
      </w:r>
      <w:r w:rsidRPr="00714363">
        <w:rPr>
          <w:rFonts w:cstheme="minorHAnsi"/>
          <w:i/>
          <w:iCs/>
          <w:sz w:val="20"/>
          <w:szCs w:val="20"/>
        </w:rPr>
        <w:t xml:space="preserve"> </w:t>
      </w:r>
      <w:r w:rsidR="00714363">
        <w:rPr>
          <w:rFonts w:cstheme="minorHAnsi"/>
          <w:i/>
          <w:iCs/>
          <w:sz w:val="20"/>
          <w:szCs w:val="20"/>
        </w:rPr>
        <w:t>4</w:t>
      </w:r>
      <w:r w:rsidRPr="00800BE6">
        <w:rPr>
          <w:rFonts w:cstheme="minorHAnsi"/>
          <w:i/>
          <w:iCs/>
          <w:sz w:val="20"/>
          <w:szCs w:val="20"/>
        </w:rPr>
        <w:t xml:space="preserve">: </w:t>
      </w:r>
      <w:r w:rsidRPr="00800BE6">
        <w:rPr>
          <w:rFonts w:cstheme="minorHAnsi"/>
          <w:i/>
          <w:iCs/>
          <w:sz w:val="20"/>
          <w:szCs w:val="20"/>
          <w:lang w:val="en-US"/>
        </w:rPr>
        <w:t>Sudije</w:t>
      </w:r>
      <w:r w:rsidRPr="00800BE6">
        <w:rPr>
          <w:rFonts w:cstheme="minorHAnsi"/>
          <w:i/>
          <w:iCs/>
          <w:sz w:val="20"/>
          <w:szCs w:val="20"/>
        </w:rPr>
        <w:t xml:space="preserve">, </w:t>
      </w:r>
      <w:r w:rsidRPr="00800BE6">
        <w:rPr>
          <w:rFonts w:cstheme="minorHAnsi"/>
          <w:i/>
          <w:iCs/>
          <w:sz w:val="20"/>
          <w:szCs w:val="20"/>
          <w:lang w:val="en-US"/>
        </w:rPr>
        <w:t>sudijsko</w:t>
      </w:r>
      <w:r w:rsidRPr="00800BE6">
        <w:rPr>
          <w:rFonts w:cstheme="minorHAnsi"/>
          <w:i/>
          <w:iCs/>
          <w:sz w:val="20"/>
          <w:szCs w:val="20"/>
        </w:rPr>
        <w:t xml:space="preserve"> </w:t>
      </w:r>
      <w:r w:rsidRPr="00800BE6">
        <w:rPr>
          <w:rFonts w:cstheme="minorHAnsi"/>
          <w:i/>
          <w:iCs/>
          <w:sz w:val="20"/>
          <w:szCs w:val="20"/>
          <w:lang w:val="en-US"/>
        </w:rPr>
        <w:t>osoblje</w:t>
      </w:r>
      <w:r w:rsidRPr="00800BE6">
        <w:rPr>
          <w:rFonts w:cstheme="minorHAnsi"/>
          <w:i/>
          <w:iCs/>
          <w:sz w:val="20"/>
          <w:szCs w:val="20"/>
        </w:rPr>
        <w:t xml:space="preserve">, </w:t>
      </w:r>
      <w:r w:rsidRPr="00800BE6">
        <w:rPr>
          <w:rFonts w:cstheme="minorHAnsi"/>
          <w:i/>
          <w:iCs/>
          <w:sz w:val="20"/>
          <w:szCs w:val="20"/>
          <w:lang w:val="en-US"/>
        </w:rPr>
        <w:t>tu</w:t>
      </w:r>
      <w:r w:rsidRPr="00800BE6">
        <w:rPr>
          <w:rFonts w:cstheme="minorHAnsi"/>
          <w:i/>
          <w:iCs/>
          <w:sz w:val="20"/>
          <w:szCs w:val="20"/>
        </w:rPr>
        <w:t>ž</w:t>
      </w:r>
      <w:r w:rsidRPr="00800BE6">
        <w:rPr>
          <w:rFonts w:cstheme="minorHAnsi"/>
          <w:i/>
          <w:iCs/>
          <w:sz w:val="20"/>
          <w:szCs w:val="20"/>
          <w:lang w:val="en-US"/>
        </w:rPr>
        <w:t>ioci</w:t>
      </w:r>
      <w:r w:rsidRPr="00800BE6">
        <w:rPr>
          <w:rFonts w:cstheme="minorHAnsi"/>
          <w:i/>
          <w:iCs/>
          <w:sz w:val="20"/>
          <w:szCs w:val="20"/>
        </w:rPr>
        <w:t xml:space="preserve"> </w:t>
      </w:r>
      <w:r w:rsidRPr="00800BE6">
        <w:rPr>
          <w:rFonts w:cstheme="minorHAnsi"/>
          <w:i/>
          <w:iCs/>
          <w:sz w:val="20"/>
          <w:szCs w:val="20"/>
          <w:lang w:val="en-US"/>
        </w:rPr>
        <w:t>i</w:t>
      </w:r>
      <w:r w:rsidRPr="00800BE6">
        <w:rPr>
          <w:rFonts w:cstheme="minorHAnsi"/>
          <w:i/>
          <w:iCs/>
          <w:sz w:val="20"/>
          <w:szCs w:val="20"/>
        </w:rPr>
        <w:t xml:space="preserve"> </w:t>
      </w:r>
      <w:r w:rsidRPr="00800BE6">
        <w:rPr>
          <w:rFonts w:cstheme="minorHAnsi"/>
          <w:i/>
          <w:iCs/>
          <w:sz w:val="20"/>
          <w:szCs w:val="20"/>
          <w:lang w:val="en-US"/>
        </w:rPr>
        <w:t>tu</w:t>
      </w:r>
      <w:r w:rsidRPr="00800BE6">
        <w:rPr>
          <w:rFonts w:cstheme="minorHAnsi"/>
          <w:i/>
          <w:iCs/>
          <w:sz w:val="20"/>
          <w:szCs w:val="20"/>
        </w:rPr>
        <w:t>ž</w:t>
      </w:r>
      <w:r w:rsidRPr="00800BE6">
        <w:rPr>
          <w:rFonts w:cstheme="minorHAnsi"/>
          <w:i/>
          <w:iCs/>
          <w:sz w:val="20"/>
          <w:szCs w:val="20"/>
          <w:lang w:val="en-US"/>
        </w:rPr>
        <w:t>ila</w:t>
      </w:r>
      <w:r w:rsidRPr="00800BE6">
        <w:rPr>
          <w:rFonts w:cstheme="minorHAnsi"/>
          <w:i/>
          <w:iCs/>
          <w:sz w:val="20"/>
          <w:szCs w:val="20"/>
        </w:rPr>
        <w:t>č</w:t>
      </w:r>
      <w:r w:rsidRPr="00800BE6">
        <w:rPr>
          <w:rFonts w:cstheme="minorHAnsi"/>
          <w:i/>
          <w:iCs/>
          <w:sz w:val="20"/>
          <w:szCs w:val="20"/>
          <w:lang w:val="en-US"/>
        </w:rPr>
        <w:t>ko</w:t>
      </w:r>
      <w:r w:rsidRPr="00800BE6">
        <w:rPr>
          <w:rFonts w:cstheme="minorHAnsi"/>
          <w:i/>
          <w:iCs/>
          <w:sz w:val="20"/>
          <w:szCs w:val="20"/>
        </w:rPr>
        <w:t xml:space="preserve"> </w:t>
      </w:r>
      <w:r w:rsidRPr="00800BE6">
        <w:rPr>
          <w:rFonts w:cstheme="minorHAnsi"/>
          <w:i/>
          <w:iCs/>
          <w:sz w:val="20"/>
          <w:szCs w:val="20"/>
          <w:lang w:val="en-US"/>
        </w:rPr>
        <w:t>osoblje</w:t>
      </w:r>
      <w:r w:rsidRPr="00800BE6">
        <w:rPr>
          <w:rFonts w:cstheme="minorHAnsi"/>
          <w:i/>
          <w:iCs/>
          <w:sz w:val="20"/>
          <w:szCs w:val="20"/>
        </w:rPr>
        <w:t xml:space="preserve"> na 100 000 stanovnika u 2022. godini</w:t>
      </w:r>
      <w:r>
        <w:rPr>
          <w:rStyle w:val="FootnoteReference"/>
          <w:rFonts w:cstheme="minorHAnsi"/>
          <w:i/>
          <w:iCs/>
          <w:sz w:val="20"/>
          <w:szCs w:val="20"/>
        </w:rPr>
        <w:footnoteReference w:id="30"/>
      </w:r>
    </w:p>
    <w:p w14:paraId="58E65654" w14:textId="2E42BF43" w:rsidR="00735CAE" w:rsidRPr="00735CAE" w:rsidRDefault="00735CAE" w:rsidP="005C4299">
      <w:pPr>
        <w:spacing w:after="120"/>
        <w:jc w:val="center"/>
        <w:rPr>
          <w:rFonts w:cstheme="minorHAnsi"/>
        </w:rPr>
      </w:pPr>
      <w:r w:rsidRPr="009A613C">
        <w:rPr>
          <w:noProof/>
          <w:lang w:val="en-GB" w:eastAsia="en-GB"/>
          <w14:ligatures w14:val="standardContextual"/>
        </w:rPr>
        <w:drawing>
          <wp:inline distT="0" distB="0" distL="0" distR="0" wp14:anchorId="51B02C94" wp14:editId="2D237BAD">
            <wp:extent cx="5504180" cy="2743200"/>
            <wp:effectExtent l="0" t="0" r="1270" b="0"/>
            <wp:docPr id="1536407433" name="Chart 1">
              <a:extLst xmlns:a="http://schemas.openxmlformats.org/drawingml/2006/main">
                <a:ext uri="{FF2B5EF4-FFF2-40B4-BE49-F238E27FC236}">
                  <a16:creationId xmlns:a16="http://schemas.microsoft.com/office/drawing/2014/main" id="{6EA0B1C2-6313-46B1-B53E-D589CF9FCF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D1625A" w14:textId="77777777" w:rsidR="005C4299" w:rsidRDefault="005C4299" w:rsidP="00AB23DA">
      <w:pPr>
        <w:spacing w:after="60" w:line="276" w:lineRule="auto"/>
        <w:jc w:val="both"/>
        <w:rPr>
          <w:rFonts w:cstheme="minorHAnsi"/>
        </w:rPr>
      </w:pPr>
    </w:p>
    <w:p w14:paraId="7D2359DC" w14:textId="1D1D72FF" w:rsidR="00AB23DA" w:rsidRPr="00D460E1" w:rsidRDefault="00800BE6" w:rsidP="00AB23DA">
      <w:pPr>
        <w:spacing w:after="60" w:line="276" w:lineRule="auto"/>
        <w:jc w:val="both"/>
        <w:rPr>
          <w:rFonts w:cstheme="minorHAnsi"/>
        </w:rPr>
      </w:pPr>
      <w:r w:rsidRPr="00AB23DA">
        <w:rPr>
          <w:rFonts w:cstheme="minorHAnsi"/>
        </w:rPr>
        <w:t xml:space="preserve">Ovo samo po sebi i ne bi predstavljalo veliki problem, obratno, moglo bi doprinijeti efikasnosti, da ovako veliki broj nosilaca pravosudnih funkcija nije </w:t>
      </w:r>
      <w:r w:rsidR="0000783F" w:rsidRPr="00AB23DA">
        <w:rPr>
          <w:rFonts w:cstheme="minorHAnsi"/>
        </w:rPr>
        <w:t>raspor</w:t>
      </w:r>
      <w:r w:rsidR="0000783F">
        <w:rPr>
          <w:rFonts w:cstheme="minorHAnsi"/>
        </w:rPr>
        <w:t>eđ</w:t>
      </w:r>
      <w:r w:rsidR="0000783F" w:rsidRPr="00AB23DA">
        <w:rPr>
          <w:rFonts w:cstheme="minorHAnsi"/>
        </w:rPr>
        <w:t>en</w:t>
      </w:r>
      <w:r w:rsidRPr="00AB23DA">
        <w:rPr>
          <w:rFonts w:cstheme="minorHAnsi"/>
        </w:rPr>
        <w:t xml:space="preserve"> u veliki broj malih sudova.</w:t>
      </w:r>
      <w:r w:rsidR="00D460E1">
        <w:rPr>
          <w:rFonts w:cstheme="minorHAnsi"/>
        </w:rPr>
        <w:t xml:space="preserve"> Naime,</w:t>
      </w:r>
      <w:r w:rsidR="00AB23DA" w:rsidRPr="00AB23DA">
        <w:rPr>
          <w:rFonts w:cstheme="minorHAnsi"/>
        </w:rPr>
        <w:t xml:space="preserve"> na 100.000 stanovnika Crna Gora nudi najviše geografskih pravosudnih lokacija (4,03) nakon Hrvatske (5,0)</w:t>
      </w:r>
      <w:r w:rsidR="00D460E1">
        <w:rPr>
          <w:rFonts w:cstheme="minorHAnsi"/>
        </w:rPr>
        <w:t xml:space="preserve">, dok je </w:t>
      </w:r>
      <w:r w:rsidR="00AB23DA" w:rsidRPr="00AB23DA">
        <w:rPr>
          <w:rFonts w:cstheme="minorHAnsi"/>
        </w:rPr>
        <w:t>evropski prosjek 1,3 na 100.000 stanovnika.</w:t>
      </w:r>
      <w:r w:rsidR="00D460E1">
        <w:rPr>
          <w:rStyle w:val="FootnoteReference"/>
          <w:rFonts w:cstheme="minorHAnsi"/>
        </w:rPr>
        <w:footnoteReference w:id="31"/>
      </w:r>
    </w:p>
    <w:p w14:paraId="09ED4FFE" w14:textId="196BA7CD" w:rsidR="00800BE6" w:rsidRDefault="00800BE6" w:rsidP="00800BE6">
      <w:pPr>
        <w:spacing w:after="120" w:line="276" w:lineRule="auto"/>
        <w:jc w:val="both"/>
        <w:rPr>
          <w:rFonts w:cstheme="minorHAnsi"/>
        </w:rPr>
      </w:pPr>
      <w:r w:rsidRPr="00800BE6">
        <w:rPr>
          <w:rFonts w:cstheme="minorHAnsi"/>
        </w:rPr>
        <w:t xml:space="preserve">Naime, </w:t>
      </w:r>
      <w:r w:rsidRPr="00800BE6">
        <w:rPr>
          <w:rFonts w:cstheme="minorHAnsi"/>
          <w:lang w:val="en-GB"/>
        </w:rPr>
        <w:t>prosje</w:t>
      </w:r>
      <w:r w:rsidRPr="00800BE6">
        <w:rPr>
          <w:rFonts w:cstheme="minorHAnsi"/>
        </w:rPr>
        <w:t>č</w:t>
      </w:r>
      <w:r w:rsidRPr="00800BE6">
        <w:rPr>
          <w:rFonts w:cstheme="minorHAnsi"/>
          <w:lang w:val="en-GB"/>
        </w:rPr>
        <w:t>an</w:t>
      </w:r>
      <w:r w:rsidRPr="00800BE6">
        <w:rPr>
          <w:rFonts w:cstheme="minorHAnsi"/>
        </w:rPr>
        <w:t xml:space="preserve"> </w:t>
      </w:r>
      <w:r w:rsidRPr="00800BE6">
        <w:rPr>
          <w:rFonts w:cstheme="minorHAnsi"/>
          <w:lang w:val="en-GB"/>
        </w:rPr>
        <w:t>broj</w:t>
      </w:r>
      <w:r w:rsidRPr="00800BE6">
        <w:rPr>
          <w:rFonts w:cstheme="minorHAnsi"/>
        </w:rPr>
        <w:t xml:space="preserve"> </w:t>
      </w:r>
      <w:r w:rsidRPr="00800BE6">
        <w:rPr>
          <w:rFonts w:cstheme="minorHAnsi"/>
          <w:lang w:val="en-GB"/>
        </w:rPr>
        <w:t>sudija</w:t>
      </w:r>
      <w:r w:rsidRPr="00800BE6">
        <w:rPr>
          <w:rFonts w:cstheme="minorHAnsi"/>
        </w:rPr>
        <w:t xml:space="preserve"> </w:t>
      </w:r>
      <w:r w:rsidRPr="00800BE6">
        <w:rPr>
          <w:rFonts w:cstheme="minorHAnsi"/>
          <w:lang w:val="en-GB"/>
        </w:rPr>
        <w:t>u</w:t>
      </w:r>
      <w:r w:rsidRPr="00800BE6">
        <w:rPr>
          <w:rFonts w:cstheme="minorHAnsi"/>
        </w:rPr>
        <w:t xml:space="preserve"> </w:t>
      </w:r>
      <w:r w:rsidRPr="00800BE6">
        <w:rPr>
          <w:rFonts w:cstheme="minorHAnsi"/>
          <w:lang w:val="en-GB"/>
        </w:rPr>
        <w:t>crnogorskim</w:t>
      </w:r>
      <w:r w:rsidRPr="00800BE6">
        <w:rPr>
          <w:rFonts w:cstheme="minorHAnsi"/>
        </w:rPr>
        <w:t xml:space="preserve"> </w:t>
      </w:r>
      <w:r w:rsidRPr="00800BE6">
        <w:rPr>
          <w:rFonts w:cstheme="minorHAnsi"/>
          <w:lang w:val="en-GB"/>
        </w:rPr>
        <w:t>sudovima</w:t>
      </w:r>
      <w:r w:rsidRPr="00800BE6">
        <w:rPr>
          <w:rFonts w:cstheme="minorHAnsi"/>
        </w:rPr>
        <w:t xml:space="preserve"> </w:t>
      </w:r>
      <w:r w:rsidRPr="00800BE6">
        <w:rPr>
          <w:rFonts w:cstheme="minorHAnsi"/>
          <w:lang w:val="en-GB"/>
        </w:rPr>
        <w:t>je</w:t>
      </w:r>
      <w:r w:rsidRPr="00800BE6">
        <w:rPr>
          <w:rFonts w:cstheme="minorHAnsi"/>
        </w:rPr>
        <w:t xml:space="preserve"> 10,5, </w:t>
      </w:r>
      <w:r w:rsidRPr="00800BE6">
        <w:rPr>
          <w:rFonts w:cstheme="minorHAnsi"/>
          <w:lang w:val="en-GB"/>
        </w:rPr>
        <w:t>u</w:t>
      </w:r>
      <w:r w:rsidRPr="00800BE6">
        <w:rPr>
          <w:rFonts w:cstheme="minorHAnsi"/>
        </w:rPr>
        <w:t xml:space="preserve"> </w:t>
      </w:r>
      <w:r w:rsidRPr="00800BE6">
        <w:rPr>
          <w:rFonts w:cstheme="minorHAnsi"/>
          <w:lang w:val="en-GB"/>
        </w:rPr>
        <w:t>pore</w:t>
      </w:r>
      <w:r w:rsidRPr="00800BE6">
        <w:rPr>
          <w:rFonts w:cstheme="minorHAnsi"/>
        </w:rPr>
        <w:t xml:space="preserve">đenju sa 19,5 što je prosjek na Zapadnom Balkanu. Ova razlika je najuočljivija upravo u prvostepenim postupcima </w:t>
      </w:r>
      <w:r>
        <w:rPr>
          <w:rFonts w:cstheme="minorHAnsi"/>
        </w:rPr>
        <w:t>(11,3 naspram prosječnih 18,9) koji su najveći generator (ne)efikasnosti svakog pravosudnog sistema. Ovako postavljena mreža podrazumijeva i veliki broj objekata pravosudne infrastrukture i administracije što značajno podiže troškove funkcionisanja.</w:t>
      </w:r>
    </w:p>
    <w:p w14:paraId="2A5B1B52" w14:textId="7A460333" w:rsidR="00800BE6" w:rsidRDefault="00800BE6" w:rsidP="003E759D">
      <w:pPr>
        <w:spacing w:after="120" w:line="276" w:lineRule="auto"/>
        <w:jc w:val="both"/>
        <w:rPr>
          <w:rFonts w:cstheme="minorHAnsi"/>
        </w:rPr>
      </w:pPr>
      <w:r>
        <w:rPr>
          <w:rFonts w:cstheme="minorHAnsi"/>
        </w:rPr>
        <w:t>Kako je ovaj problem prepoznat još 2013. godine i adresiran kroz ranije pomenuto privremeno mjerilo</w:t>
      </w:r>
      <w:r w:rsidR="007C1AE7">
        <w:rPr>
          <w:rFonts w:cstheme="minorHAnsi"/>
        </w:rPr>
        <w:t>,</w:t>
      </w:r>
      <w:r>
        <w:rPr>
          <w:rFonts w:cstheme="minorHAnsi"/>
        </w:rPr>
        <w:t xml:space="preserve"> </w:t>
      </w:r>
      <w:r w:rsidRPr="009A613C">
        <w:rPr>
          <w:rFonts w:cstheme="minorHAnsi"/>
        </w:rPr>
        <w:t xml:space="preserve">Ministarstvo pravde izradilo je i usvojilo u septembru 2020. godine – uz podršku projekta EUROL 2 – </w:t>
      </w:r>
      <w:r w:rsidR="007C1AE7">
        <w:rPr>
          <w:rFonts w:cstheme="minorHAnsi"/>
        </w:rPr>
        <w:t>A</w:t>
      </w:r>
      <w:r w:rsidRPr="009A613C">
        <w:rPr>
          <w:rFonts w:cstheme="minorHAnsi"/>
        </w:rPr>
        <w:t xml:space="preserve">nalizu potreba za racionalizacijom mreže sudova s pregledom postojećeg stanja i preporukama za dalju implementaciju. </w:t>
      </w:r>
      <w:r w:rsidR="00AB23DA">
        <w:rPr>
          <w:rFonts w:cstheme="minorHAnsi"/>
        </w:rPr>
        <w:t xml:space="preserve">Kako zbog niza faktora (politička situacija, COVID 19, štrajk advokata, itd) postupanje po preporukama nije započeto, bilo je </w:t>
      </w:r>
      <w:r w:rsidRPr="009A613C">
        <w:rPr>
          <w:rFonts w:cstheme="minorHAnsi"/>
        </w:rPr>
        <w:t>neophodno da se izvrši ažuriranje analize u skladu s</w:t>
      </w:r>
      <w:r w:rsidR="00AB23DA">
        <w:rPr>
          <w:rFonts w:cstheme="minorHAnsi"/>
        </w:rPr>
        <w:t>a aktuelnim podacima i definišu dalji koraci.</w:t>
      </w:r>
      <w:r w:rsidR="00AB23DA">
        <w:rPr>
          <w:rStyle w:val="FootnoteReference"/>
          <w:rFonts w:cstheme="minorHAnsi"/>
        </w:rPr>
        <w:footnoteReference w:id="32"/>
      </w:r>
      <w:r w:rsidRPr="009A613C">
        <w:rPr>
          <w:rFonts w:cstheme="minorHAnsi"/>
        </w:rPr>
        <w:t xml:space="preserve"> </w:t>
      </w:r>
    </w:p>
    <w:p w14:paraId="12B57A2D" w14:textId="28896B70" w:rsidR="007C1AE7" w:rsidRDefault="007C1AE7" w:rsidP="003E759D">
      <w:pPr>
        <w:spacing w:after="120" w:line="276" w:lineRule="auto"/>
        <w:jc w:val="both"/>
        <w:rPr>
          <w:rFonts w:cstheme="minorHAnsi"/>
        </w:rPr>
      </w:pPr>
    </w:p>
    <w:p w14:paraId="3AEB8127" w14:textId="179B63AB" w:rsidR="007E6F52" w:rsidRDefault="007E6F52" w:rsidP="003E759D">
      <w:pPr>
        <w:spacing w:after="120" w:line="276" w:lineRule="auto"/>
        <w:jc w:val="both"/>
        <w:rPr>
          <w:rFonts w:cstheme="minorHAnsi"/>
        </w:rPr>
      </w:pPr>
    </w:p>
    <w:p w14:paraId="3F4B6439" w14:textId="77777777" w:rsidR="007E6F52" w:rsidRDefault="007E6F52" w:rsidP="003E759D">
      <w:pPr>
        <w:spacing w:after="120" w:line="276" w:lineRule="auto"/>
        <w:jc w:val="both"/>
        <w:rPr>
          <w:rFonts w:cstheme="minorHAnsi"/>
        </w:rPr>
      </w:pPr>
    </w:p>
    <w:p w14:paraId="4B74E705" w14:textId="77777777" w:rsidR="00AB23DA" w:rsidRDefault="00AB23DA">
      <w:pPr>
        <w:pStyle w:val="ListParagraph"/>
        <w:numPr>
          <w:ilvl w:val="0"/>
          <w:numId w:val="13"/>
        </w:numPr>
        <w:spacing w:after="60" w:line="276" w:lineRule="auto"/>
        <w:jc w:val="both"/>
        <w:rPr>
          <w:rFonts w:cstheme="minorHAnsi"/>
        </w:rPr>
      </w:pPr>
      <w:r w:rsidRPr="00C30C95">
        <w:rPr>
          <w:rFonts w:cstheme="minorHAnsi"/>
          <w:b/>
          <w:bCs/>
        </w:rPr>
        <w:lastRenderedPageBreak/>
        <w:t>Veliki broj neriješenih</w:t>
      </w:r>
      <w:r w:rsidR="00D460E1" w:rsidRPr="00C30C95">
        <w:rPr>
          <w:rFonts w:cstheme="minorHAnsi"/>
          <w:b/>
          <w:bCs/>
        </w:rPr>
        <w:t>, a u okviru njih i starih</w:t>
      </w:r>
      <w:r w:rsidRPr="00C30C95">
        <w:rPr>
          <w:rFonts w:cstheme="minorHAnsi"/>
          <w:b/>
          <w:bCs/>
        </w:rPr>
        <w:t xml:space="preserve"> predmeta</w:t>
      </w:r>
      <w:r>
        <w:rPr>
          <w:rFonts w:cstheme="minorHAnsi"/>
        </w:rPr>
        <w:t xml:space="preserve"> i dalje opterećuje crnogorsko pravosuđe</w:t>
      </w:r>
      <w:r w:rsidR="003E759D">
        <w:rPr>
          <w:rFonts w:cstheme="minorHAnsi"/>
        </w:rPr>
        <w:t>.</w:t>
      </w:r>
    </w:p>
    <w:p w14:paraId="39FD7CBA" w14:textId="77777777" w:rsidR="00A056D7" w:rsidRDefault="00A056D7" w:rsidP="00A056D7">
      <w:pPr>
        <w:pStyle w:val="ListParagraph"/>
        <w:spacing w:after="60" w:line="276" w:lineRule="auto"/>
        <w:jc w:val="both"/>
        <w:rPr>
          <w:rFonts w:cstheme="minorHAnsi"/>
        </w:rPr>
      </w:pPr>
    </w:p>
    <w:p w14:paraId="2F6AF5D7" w14:textId="2D4A594C" w:rsidR="00D460E1" w:rsidRPr="003E759D" w:rsidRDefault="00D460E1" w:rsidP="003E759D">
      <w:pPr>
        <w:spacing w:after="60" w:line="276" w:lineRule="auto"/>
        <w:jc w:val="center"/>
        <w:rPr>
          <w:rFonts w:cstheme="minorHAnsi"/>
          <w:i/>
          <w:iCs/>
          <w:sz w:val="20"/>
          <w:szCs w:val="20"/>
          <w:lang w:val="sr-Latn-BA"/>
        </w:rPr>
      </w:pPr>
      <w:r w:rsidRPr="003E759D">
        <w:rPr>
          <w:rFonts w:cstheme="minorHAnsi"/>
          <w:i/>
          <w:iCs/>
          <w:sz w:val="20"/>
          <w:szCs w:val="20"/>
        </w:rPr>
        <w:t xml:space="preserve">Grafikon </w:t>
      </w:r>
      <w:r w:rsidR="00714363">
        <w:rPr>
          <w:rFonts w:cstheme="minorHAnsi"/>
          <w:i/>
          <w:iCs/>
          <w:sz w:val="20"/>
          <w:szCs w:val="20"/>
        </w:rPr>
        <w:t>5</w:t>
      </w:r>
      <w:r w:rsidRPr="003E759D">
        <w:rPr>
          <w:rFonts w:cstheme="minorHAnsi"/>
          <w:i/>
          <w:iCs/>
          <w:sz w:val="20"/>
          <w:szCs w:val="20"/>
        </w:rPr>
        <w:t>: Broj nerješenih i broj starih predmeta u periodu 2017-2022.</w:t>
      </w:r>
      <w:r w:rsidRPr="00C30C95">
        <w:rPr>
          <w:rStyle w:val="FootnoteReference"/>
          <w:rFonts w:cstheme="minorHAnsi"/>
          <w:i/>
          <w:iCs/>
          <w:sz w:val="20"/>
          <w:szCs w:val="20"/>
        </w:rPr>
        <w:footnoteReference w:id="33"/>
      </w:r>
    </w:p>
    <w:p w14:paraId="4227A8B6" w14:textId="4E36C97A" w:rsidR="00D460E1" w:rsidRPr="00D460E1" w:rsidRDefault="00D460E1" w:rsidP="00D460E1">
      <w:pPr>
        <w:spacing w:after="60" w:line="276" w:lineRule="auto"/>
        <w:jc w:val="center"/>
        <w:rPr>
          <w:rFonts w:cstheme="minorHAnsi"/>
        </w:rPr>
      </w:pPr>
      <w:r w:rsidRPr="009A613C">
        <w:rPr>
          <w:rFonts w:cstheme="minorHAnsi"/>
          <w:noProof/>
          <w:lang w:val="en-GB" w:eastAsia="en-GB"/>
        </w:rPr>
        <w:drawing>
          <wp:inline distT="0" distB="0" distL="0" distR="0" wp14:anchorId="26DC30AD" wp14:editId="57BD270F">
            <wp:extent cx="5013325" cy="3107510"/>
            <wp:effectExtent l="0" t="0" r="0" b="0"/>
            <wp:docPr id="8" name="Picture 7" descr="A graph with purple bars&#10;&#10;Description automatically generated">
              <a:extLst xmlns:a="http://schemas.openxmlformats.org/drawingml/2006/main">
                <a:ext uri="{FF2B5EF4-FFF2-40B4-BE49-F238E27FC236}">
                  <a16:creationId xmlns:a16="http://schemas.microsoft.com/office/drawing/2014/main" id="{E57982D8-9BCB-BEDF-4EC0-55FB64C4B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graph with purple bars&#10;&#10;Description automatically generated">
                      <a:extLst>
                        <a:ext uri="{FF2B5EF4-FFF2-40B4-BE49-F238E27FC236}">
                          <a16:creationId xmlns:a16="http://schemas.microsoft.com/office/drawing/2014/main" id="{E57982D8-9BCB-BEDF-4EC0-55FB64C4B05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21978" cy="3112874"/>
                    </a:xfrm>
                    <a:prstGeom prst="rect">
                      <a:avLst/>
                    </a:prstGeom>
                  </pic:spPr>
                </pic:pic>
              </a:graphicData>
            </a:graphic>
          </wp:inline>
        </w:drawing>
      </w:r>
    </w:p>
    <w:p w14:paraId="129CF0E3" w14:textId="77777777" w:rsidR="008649C4" w:rsidRDefault="003E759D" w:rsidP="008649C4">
      <w:pPr>
        <w:jc w:val="both"/>
        <w:rPr>
          <w:rFonts w:cstheme="minorHAnsi"/>
          <w:lang w:eastAsia="en-GB"/>
        </w:rPr>
      </w:pPr>
      <w:r>
        <w:rPr>
          <w:rFonts w:cstheme="minorHAnsi"/>
          <w:lang w:eastAsia="en-GB"/>
        </w:rPr>
        <w:t xml:space="preserve">Podaci prikazani na Grafikonu </w:t>
      </w:r>
      <w:r w:rsidR="00714363">
        <w:rPr>
          <w:rFonts w:cstheme="minorHAnsi"/>
          <w:lang w:eastAsia="en-GB"/>
        </w:rPr>
        <w:t>5</w:t>
      </w:r>
      <w:r>
        <w:rPr>
          <w:rFonts w:cstheme="minorHAnsi"/>
          <w:lang w:eastAsia="en-GB"/>
        </w:rPr>
        <w:t xml:space="preserve"> pokazuju da je, nakon trenda opadanja broja neriješenih </w:t>
      </w:r>
      <w:r w:rsidR="00ED1AE6">
        <w:rPr>
          <w:rFonts w:cstheme="minorHAnsi"/>
          <w:lang w:eastAsia="en-GB"/>
        </w:rPr>
        <w:t xml:space="preserve">i starih </w:t>
      </w:r>
      <w:r>
        <w:rPr>
          <w:rFonts w:cstheme="minorHAnsi"/>
          <w:lang w:eastAsia="en-GB"/>
        </w:rPr>
        <w:t>predmeta u periodu 2017-2020, tokom 2021-2022. njihov broj drastično povećan-</w:t>
      </w:r>
      <w:r w:rsidRPr="009A613C">
        <w:rPr>
          <w:rFonts w:cstheme="minorHAnsi"/>
          <w:lang w:eastAsia="en-GB"/>
        </w:rPr>
        <w:t xml:space="preserve"> za 2022. godin</w:t>
      </w:r>
      <w:r>
        <w:rPr>
          <w:rFonts w:cstheme="minorHAnsi"/>
          <w:lang w:eastAsia="en-GB"/>
        </w:rPr>
        <w:t>u</w:t>
      </w:r>
      <w:r w:rsidRPr="009A613C">
        <w:rPr>
          <w:rFonts w:cstheme="minorHAnsi"/>
          <w:lang w:eastAsia="en-GB"/>
        </w:rPr>
        <w:t xml:space="preserve"> čak </w:t>
      </w:r>
      <w:r w:rsidRPr="009A613C">
        <w:rPr>
          <w:rFonts w:cstheme="minorHAnsi"/>
          <w:b/>
          <w:bCs/>
          <w:lang w:eastAsia="en-GB"/>
        </w:rPr>
        <w:t>35,7%</w:t>
      </w:r>
      <w:r w:rsidRPr="009A613C">
        <w:rPr>
          <w:rFonts w:cstheme="minorHAnsi"/>
          <w:lang w:eastAsia="en-GB"/>
        </w:rPr>
        <w:t xml:space="preserve"> u odnosu na prethodnu, 2021. godinu</w:t>
      </w:r>
      <w:r w:rsidR="00ED1AE6">
        <w:rPr>
          <w:rFonts w:cstheme="minorHAnsi"/>
          <w:lang w:eastAsia="en-GB"/>
        </w:rPr>
        <w:t>.</w:t>
      </w:r>
      <w:r w:rsidRPr="009A613C">
        <w:rPr>
          <w:rStyle w:val="FootnoteReference"/>
          <w:rFonts w:cstheme="minorHAnsi"/>
          <w:lang w:eastAsia="en-GB"/>
        </w:rPr>
        <w:footnoteReference w:id="34"/>
      </w:r>
      <w:r w:rsidR="00D92E6B">
        <w:rPr>
          <w:rFonts w:cstheme="minorHAnsi"/>
          <w:lang w:eastAsia="en-GB"/>
        </w:rPr>
        <w:t xml:space="preserve"> </w:t>
      </w:r>
    </w:p>
    <w:p w14:paraId="75C72E31" w14:textId="77777777" w:rsidR="008649C4" w:rsidRDefault="008649C4" w:rsidP="008649C4">
      <w:pPr>
        <w:jc w:val="both"/>
        <w:rPr>
          <w:rFonts w:cstheme="minorHAnsi"/>
          <w:i/>
          <w:iCs/>
          <w:sz w:val="20"/>
          <w:szCs w:val="20"/>
        </w:rPr>
      </w:pPr>
    </w:p>
    <w:p w14:paraId="4ED72E50" w14:textId="77777777" w:rsidR="008649C4" w:rsidRDefault="008649C4" w:rsidP="008649C4">
      <w:pPr>
        <w:jc w:val="both"/>
        <w:rPr>
          <w:rFonts w:cstheme="minorHAnsi"/>
          <w:i/>
          <w:iCs/>
          <w:sz w:val="20"/>
          <w:szCs w:val="20"/>
        </w:rPr>
      </w:pPr>
    </w:p>
    <w:p w14:paraId="3B88AD12" w14:textId="77777777" w:rsidR="008649C4" w:rsidRDefault="008649C4" w:rsidP="008649C4">
      <w:pPr>
        <w:jc w:val="both"/>
        <w:rPr>
          <w:rFonts w:cstheme="minorHAnsi"/>
          <w:i/>
          <w:iCs/>
          <w:sz w:val="20"/>
          <w:szCs w:val="20"/>
        </w:rPr>
      </w:pPr>
    </w:p>
    <w:p w14:paraId="757B63F6" w14:textId="77777777" w:rsidR="008649C4" w:rsidRDefault="008649C4" w:rsidP="008649C4">
      <w:pPr>
        <w:jc w:val="both"/>
        <w:rPr>
          <w:rFonts w:cstheme="minorHAnsi"/>
          <w:i/>
          <w:iCs/>
          <w:sz w:val="20"/>
          <w:szCs w:val="20"/>
        </w:rPr>
      </w:pPr>
    </w:p>
    <w:p w14:paraId="15D7B8DC" w14:textId="77777777" w:rsidR="008649C4" w:rsidRDefault="008649C4" w:rsidP="008649C4">
      <w:pPr>
        <w:jc w:val="both"/>
        <w:rPr>
          <w:rFonts w:cstheme="minorHAnsi"/>
          <w:i/>
          <w:iCs/>
          <w:sz w:val="20"/>
          <w:szCs w:val="20"/>
        </w:rPr>
      </w:pPr>
    </w:p>
    <w:p w14:paraId="72A8D918" w14:textId="77777777" w:rsidR="008649C4" w:rsidRDefault="008649C4" w:rsidP="008649C4">
      <w:pPr>
        <w:jc w:val="both"/>
        <w:rPr>
          <w:rFonts w:cstheme="minorHAnsi"/>
          <w:i/>
          <w:iCs/>
          <w:sz w:val="20"/>
          <w:szCs w:val="20"/>
        </w:rPr>
      </w:pPr>
    </w:p>
    <w:p w14:paraId="7D32A108" w14:textId="77777777" w:rsidR="008649C4" w:rsidRDefault="008649C4" w:rsidP="008649C4">
      <w:pPr>
        <w:jc w:val="both"/>
        <w:rPr>
          <w:rFonts w:cstheme="minorHAnsi"/>
          <w:i/>
          <w:iCs/>
          <w:sz w:val="20"/>
          <w:szCs w:val="20"/>
        </w:rPr>
      </w:pPr>
    </w:p>
    <w:p w14:paraId="56A29CEA" w14:textId="77777777" w:rsidR="008649C4" w:rsidRDefault="008649C4" w:rsidP="008649C4">
      <w:pPr>
        <w:jc w:val="both"/>
        <w:rPr>
          <w:rFonts w:cstheme="minorHAnsi"/>
          <w:i/>
          <w:iCs/>
          <w:sz w:val="20"/>
          <w:szCs w:val="20"/>
        </w:rPr>
      </w:pPr>
    </w:p>
    <w:p w14:paraId="138DC1F1" w14:textId="77777777" w:rsidR="008649C4" w:rsidRDefault="008649C4" w:rsidP="008649C4">
      <w:pPr>
        <w:jc w:val="both"/>
        <w:rPr>
          <w:rFonts w:cstheme="minorHAnsi"/>
          <w:i/>
          <w:iCs/>
          <w:sz w:val="20"/>
          <w:szCs w:val="20"/>
        </w:rPr>
      </w:pPr>
    </w:p>
    <w:p w14:paraId="6AD168FD" w14:textId="376AB425" w:rsidR="00ED1AE6" w:rsidRPr="008649C4" w:rsidRDefault="00ED1AE6" w:rsidP="008649C4">
      <w:pPr>
        <w:jc w:val="center"/>
        <w:rPr>
          <w:rFonts w:cstheme="minorHAnsi"/>
          <w:lang w:eastAsia="en-GB"/>
        </w:rPr>
      </w:pPr>
      <w:r w:rsidRPr="003E759D">
        <w:rPr>
          <w:rFonts w:cstheme="minorHAnsi"/>
          <w:i/>
          <w:iCs/>
          <w:sz w:val="20"/>
          <w:szCs w:val="20"/>
        </w:rPr>
        <w:lastRenderedPageBreak/>
        <w:t xml:space="preserve">Grafikon </w:t>
      </w:r>
      <w:r w:rsidR="00714363">
        <w:rPr>
          <w:rFonts w:cstheme="minorHAnsi"/>
          <w:i/>
          <w:iCs/>
          <w:sz w:val="20"/>
          <w:szCs w:val="20"/>
        </w:rPr>
        <w:t>6</w:t>
      </w:r>
      <w:r w:rsidRPr="003E759D">
        <w:rPr>
          <w:rFonts w:cstheme="minorHAnsi"/>
          <w:i/>
          <w:iCs/>
          <w:sz w:val="20"/>
          <w:szCs w:val="20"/>
        </w:rPr>
        <w:t xml:space="preserve">: Broj </w:t>
      </w:r>
      <w:r>
        <w:rPr>
          <w:rFonts w:cstheme="minorHAnsi"/>
          <w:i/>
          <w:iCs/>
          <w:sz w:val="20"/>
          <w:szCs w:val="20"/>
        </w:rPr>
        <w:t>primljenih</w:t>
      </w:r>
      <w:r w:rsidRPr="003E759D">
        <w:rPr>
          <w:rFonts w:cstheme="minorHAnsi"/>
          <w:i/>
          <w:iCs/>
          <w:sz w:val="20"/>
          <w:szCs w:val="20"/>
        </w:rPr>
        <w:t xml:space="preserve"> predmeta u periodu 2017-2022.</w:t>
      </w:r>
      <w:r w:rsidRPr="00C30C95">
        <w:rPr>
          <w:rStyle w:val="FootnoteReference"/>
          <w:rFonts w:cstheme="minorHAnsi"/>
          <w:i/>
          <w:iCs/>
          <w:sz w:val="20"/>
          <w:szCs w:val="20"/>
        </w:rPr>
        <w:footnoteReference w:id="35"/>
      </w:r>
    </w:p>
    <w:p w14:paraId="7ADD85D5" w14:textId="77777777" w:rsidR="00D92E6B" w:rsidRPr="009A613C" w:rsidRDefault="00D92E6B" w:rsidP="00ED1AE6">
      <w:pPr>
        <w:jc w:val="center"/>
        <w:rPr>
          <w:rFonts w:cstheme="minorHAnsi"/>
          <w:lang w:eastAsia="en-GB"/>
        </w:rPr>
      </w:pPr>
      <w:r w:rsidRPr="009A613C">
        <w:rPr>
          <w:rFonts w:cstheme="minorHAnsi"/>
          <w:noProof/>
          <w:lang w:val="en-GB" w:eastAsia="en-GB"/>
        </w:rPr>
        <w:drawing>
          <wp:inline distT="0" distB="0" distL="0" distR="0" wp14:anchorId="1F643D42" wp14:editId="0120E912">
            <wp:extent cx="5187569" cy="2582775"/>
            <wp:effectExtent l="0" t="0" r="0" b="8255"/>
            <wp:docPr id="1890157785" name="Picture 1890157785" descr="A picture containing text, screenshot, purple, plot&#10;&#10;Description automatically generated">
              <a:extLst xmlns:a="http://schemas.openxmlformats.org/drawingml/2006/main">
                <a:ext uri="{FF2B5EF4-FFF2-40B4-BE49-F238E27FC236}">
                  <a16:creationId xmlns:a16="http://schemas.microsoft.com/office/drawing/2014/main" id="{12446BDD-CCF0-6F4A-5F49-1250CB88D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screenshot, purple, plot&#10;&#10;Description automatically generated">
                      <a:extLst>
                        <a:ext uri="{FF2B5EF4-FFF2-40B4-BE49-F238E27FC236}">
                          <a16:creationId xmlns:a16="http://schemas.microsoft.com/office/drawing/2014/main" id="{12446BDD-CCF0-6F4A-5F49-1250CB88D9DF}"/>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32704" cy="2655034"/>
                    </a:xfrm>
                    <a:prstGeom prst="rect">
                      <a:avLst/>
                    </a:prstGeom>
                  </pic:spPr>
                </pic:pic>
              </a:graphicData>
            </a:graphic>
          </wp:inline>
        </w:drawing>
      </w:r>
    </w:p>
    <w:p w14:paraId="69831404" w14:textId="0CA703F6" w:rsidR="00D92E6B" w:rsidRDefault="00ED1AE6" w:rsidP="00E96450">
      <w:pPr>
        <w:spacing w:line="276" w:lineRule="auto"/>
        <w:jc w:val="both"/>
        <w:rPr>
          <w:rFonts w:cstheme="minorHAnsi"/>
          <w:b/>
          <w:bCs/>
          <w:lang w:eastAsia="en-GB"/>
        </w:rPr>
      </w:pPr>
      <w:r>
        <w:rPr>
          <w:rFonts w:cstheme="minorHAnsi"/>
          <w:lang w:eastAsia="en-GB"/>
        </w:rPr>
        <w:t xml:space="preserve">Ovo se može objasniti i činjenicom </w:t>
      </w:r>
      <w:r w:rsidRPr="00D92E6B">
        <w:rPr>
          <w:rFonts w:cstheme="minorHAnsi"/>
          <w:lang w:val="it-IT" w:eastAsia="en-GB"/>
        </w:rPr>
        <w:t>da</w:t>
      </w:r>
      <w:r w:rsidRPr="00ED1AE6">
        <w:rPr>
          <w:rFonts w:cstheme="minorHAnsi"/>
          <w:lang w:eastAsia="en-GB"/>
        </w:rPr>
        <w:t xml:space="preserve"> </w:t>
      </w:r>
      <w:r w:rsidRPr="00D92E6B">
        <w:rPr>
          <w:rFonts w:cstheme="minorHAnsi"/>
          <w:lang w:val="it-IT" w:eastAsia="en-GB"/>
        </w:rPr>
        <w:t>se</w:t>
      </w:r>
      <w:r w:rsidRPr="00ED1AE6">
        <w:rPr>
          <w:rFonts w:cstheme="minorHAnsi"/>
          <w:lang w:eastAsia="en-GB"/>
        </w:rPr>
        <w:t xml:space="preserve">, </w:t>
      </w:r>
      <w:r w:rsidRPr="00D92E6B">
        <w:rPr>
          <w:rFonts w:cstheme="minorHAnsi"/>
          <w:lang w:val="it-IT" w:eastAsia="en-GB"/>
        </w:rPr>
        <w:t>nakon</w:t>
      </w:r>
      <w:r w:rsidRPr="00ED1AE6">
        <w:rPr>
          <w:rFonts w:cstheme="minorHAnsi"/>
          <w:lang w:eastAsia="en-GB"/>
        </w:rPr>
        <w:t xml:space="preserve"> </w:t>
      </w:r>
      <w:r w:rsidRPr="00D92E6B">
        <w:rPr>
          <w:rFonts w:cstheme="minorHAnsi"/>
          <w:lang w:val="it-IT" w:eastAsia="en-GB"/>
        </w:rPr>
        <w:t>pe</w:t>
      </w:r>
      <w:r>
        <w:rPr>
          <w:rFonts w:cstheme="minorHAnsi"/>
          <w:lang w:val="it-IT" w:eastAsia="en-GB"/>
        </w:rPr>
        <w:t>rioda</w:t>
      </w:r>
      <w:r w:rsidRPr="00ED1AE6">
        <w:rPr>
          <w:rFonts w:cstheme="minorHAnsi"/>
          <w:lang w:eastAsia="en-GB"/>
        </w:rPr>
        <w:t xml:space="preserve"> 2020/2021. </w:t>
      </w:r>
      <w:r w:rsidRPr="00D92E6B">
        <w:rPr>
          <w:rFonts w:cstheme="minorHAnsi"/>
          <w:lang w:val="it-IT" w:eastAsia="en-GB"/>
        </w:rPr>
        <w:t>k</w:t>
      </w:r>
      <w:r>
        <w:rPr>
          <w:rFonts w:cstheme="minorHAnsi"/>
          <w:lang w:val="it-IT" w:eastAsia="en-GB"/>
        </w:rPr>
        <w:t>oji</w:t>
      </w:r>
      <w:r w:rsidRPr="00ED1AE6">
        <w:rPr>
          <w:rFonts w:cstheme="minorHAnsi"/>
          <w:lang w:eastAsia="en-GB"/>
        </w:rPr>
        <w:t xml:space="preserve"> </w:t>
      </w:r>
      <w:r>
        <w:rPr>
          <w:rFonts w:cstheme="minorHAnsi"/>
          <w:lang w:val="it-IT" w:eastAsia="en-GB"/>
        </w:rPr>
        <w:t>su</w:t>
      </w:r>
      <w:r w:rsidRPr="00ED1AE6">
        <w:rPr>
          <w:rFonts w:cstheme="minorHAnsi"/>
          <w:lang w:eastAsia="en-GB"/>
        </w:rPr>
        <w:t xml:space="preserve"> </w:t>
      </w:r>
      <w:r>
        <w:rPr>
          <w:rFonts w:cstheme="minorHAnsi"/>
          <w:lang w:val="it-IT" w:eastAsia="en-GB"/>
        </w:rPr>
        <w:t>ob</w:t>
      </w:r>
      <w:r w:rsidR="000B1ABE">
        <w:rPr>
          <w:rFonts w:cstheme="minorHAnsi"/>
          <w:lang w:val="it-IT" w:eastAsia="en-GB"/>
        </w:rPr>
        <w:t>i</w:t>
      </w:r>
      <w:r>
        <w:rPr>
          <w:rFonts w:cstheme="minorHAnsi"/>
          <w:lang w:val="it-IT" w:eastAsia="en-GB"/>
        </w:rPr>
        <w:t>l</w:t>
      </w:r>
      <w:r w:rsidR="000B1ABE">
        <w:rPr>
          <w:rFonts w:cstheme="minorHAnsi"/>
          <w:lang w:val="it-IT" w:eastAsia="en-GB"/>
        </w:rPr>
        <w:t>j</w:t>
      </w:r>
      <w:r>
        <w:rPr>
          <w:rFonts w:cstheme="minorHAnsi"/>
          <w:lang w:val="it-IT" w:eastAsia="en-GB"/>
        </w:rPr>
        <w:t>e</w:t>
      </w:r>
      <w:r w:rsidRPr="00ED1AE6">
        <w:rPr>
          <w:rFonts w:cstheme="minorHAnsi"/>
          <w:lang w:eastAsia="en-GB"/>
        </w:rPr>
        <w:t>ž</w:t>
      </w:r>
      <w:r>
        <w:rPr>
          <w:rFonts w:cstheme="minorHAnsi"/>
          <w:lang w:val="it-IT" w:eastAsia="en-GB"/>
        </w:rPr>
        <w:t>ile</w:t>
      </w:r>
      <w:r w:rsidRPr="00ED1AE6">
        <w:rPr>
          <w:rFonts w:cstheme="minorHAnsi"/>
          <w:lang w:eastAsia="en-GB"/>
        </w:rPr>
        <w:t xml:space="preserve"> </w:t>
      </w:r>
      <w:r>
        <w:rPr>
          <w:rFonts w:cstheme="minorHAnsi"/>
          <w:lang w:val="it-IT" w:eastAsia="en-GB"/>
        </w:rPr>
        <w:t>specifi</w:t>
      </w:r>
      <w:r w:rsidRPr="00ED1AE6">
        <w:rPr>
          <w:rFonts w:cstheme="minorHAnsi"/>
          <w:lang w:eastAsia="en-GB"/>
        </w:rPr>
        <w:t>č</w:t>
      </w:r>
      <w:r>
        <w:rPr>
          <w:rFonts w:cstheme="minorHAnsi"/>
          <w:lang w:val="it-IT" w:eastAsia="en-GB"/>
        </w:rPr>
        <w:t>ne</w:t>
      </w:r>
      <w:r w:rsidRPr="00ED1AE6">
        <w:rPr>
          <w:rFonts w:cstheme="minorHAnsi"/>
          <w:lang w:eastAsia="en-GB"/>
        </w:rPr>
        <w:t xml:space="preserve"> </w:t>
      </w:r>
      <w:r>
        <w:rPr>
          <w:rFonts w:cstheme="minorHAnsi"/>
          <w:lang w:val="it-IT" w:eastAsia="en-GB"/>
        </w:rPr>
        <w:t>okolnosti</w:t>
      </w:r>
      <w:r w:rsidRPr="00ED1AE6">
        <w:rPr>
          <w:rFonts w:cstheme="minorHAnsi"/>
          <w:lang w:eastAsia="en-GB"/>
        </w:rPr>
        <w:t xml:space="preserve"> </w:t>
      </w:r>
      <w:r>
        <w:rPr>
          <w:rFonts w:cstheme="minorHAnsi"/>
          <w:lang w:val="it-IT" w:eastAsia="en-GB"/>
        </w:rPr>
        <w:t>izazvane</w:t>
      </w:r>
      <w:r w:rsidRPr="00ED1AE6">
        <w:rPr>
          <w:rFonts w:cstheme="minorHAnsi"/>
          <w:lang w:eastAsia="en-GB"/>
        </w:rPr>
        <w:t xml:space="preserve"> </w:t>
      </w:r>
      <w:r>
        <w:rPr>
          <w:rFonts w:cstheme="minorHAnsi"/>
          <w:lang w:val="it-IT" w:eastAsia="en-GB"/>
        </w:rPr>
        <w:t>virusom</w:t>
      </w:r>
      <w:r w:rsidRPr="00ED1AE6">
        <w:rPr>
          <w:rFonts w:cstheme="minorHAnsi"/>
          <w:lang w:eastAsia="en-GB"/>
        </w:rPr>
        <w:t xml:space="preserve"> </w:t>
      </w:r>
      <w:r>
        <w:rPr>
          <w:rFonts w:cstheme="minorHAnsi"/>
          <w:lang w:val="it-IT" w:eastAsia="en-GB"/>
        </w:rPr>
        <w:t>COVID</w:t>
      </w:r>
      <w:r w:rsidRPr="00ED1AE6">
        <w:rPr>
          <w:rFonts w:cstheme="minorHAnsi"/>
          <w:lang w:eastAsia="en-GB"/>
        </w:rPr>
        <w:t xml:space="preserve"> 19, </w:t>
      </w:r>
      <w:r>
        <w:rPr>
          <w:rFonts w:cstheme="minorHAnsi"/>
          <w:lang w:val="it-IT" w:eastAsia="en-GB"/>
        </w:rPr>
        <w:t>priliv</w:t>
      </w:r>
      <w:r w:rsidRPr="00ED1AE6">
        <w:rPr>
          <w:rFonts w:cstheme="minorHAnsi"/>
          <w:lang w:eastAsia="en-GB"/>
        </w:rPr>
        <w:t xml:space="preserve"> </w:t>
      </w:r>
      <w:r>
        <w:rPr>
          <w:rFonts w:cstheme="minorHAnsi"/>
          <w:lang w:eastAsia="en-GB"/>
        </w:rPr>
        <w:t>predmeta u 2022. vratio na nivo iz 2019. godine. Istovremeno, u</w:t>
      </w:r>
      <w:r w:rsidRPr="009A613C">
        <w:rPr>
          <w:rFonts w:cstheme="minorHAnsi"/>
          <w:lang w:eastAsia="en-GB"/>
        </w:rPr>
        <w:t xml:space="preserve">kupan broj sudija redovnih sudova opao je sa </w:t>
      </w:r>
      <w:r w:rsidRPr="00ED1AE6">
        <w:rPr>
          <w:rFonts w:cstheme="minorHAnsi"/>
          <w:lang w:eastAsia="en-GB"/>
        </w:rPr>
        <w:t>257 u 2017.  na 212</w:t>
      </w:r>
      <w:r w:rsidRPr="009A613C">
        <w:rPr>
          <w:rFonts w:cstheme="minorHAnsi"/>
          <w:lang w:eastAsia="en-GB"/>
        </w:rPr>
        <w:t xml:space="preserve"> sudija u 2022, što je </w:t>
      </w:r>
      <w:r w:rsidRPr="00ED1AE6">
        <w:rPr>
          <w:rFonts w:cstheme="minorHAnsi"/>
          <w:lang w:eastAsia="en-GB"/>
        </w:rPr>
        <w:t xml:space="preserve">umanjenje od </w:t>
      </w:r>
      <w:r>
        <w:rPr>
          <w:rFonts w:cstheme="minorHAnsi"/>
          <w:lang w:eastAsia="en-GB"/>
        </w:rPr>
        <w:t>čak</w:t>
      </w:r>
      <w:r w:rsidR="004E2978">
        <w:rPr>
          <w:rFonts w:cstheme="minorHAnsi"/>
          <w:lang w:eastAsia="en-GB"/>
        </w:rPr>
        <w:t xml:space="preserve"> </w:t>
      </w:r>
      <w:r w:rsidRPr="00ED1AE6">
        <w:rPr>
          <w:rFonts w:cstheme="minorHAnsi"/>
          <w:lang w:eastAsia="en-GB"/>
        </w:rPr>
        <w:t>17%.</w:t>
      </w:r>
      <w:r w:rsidRPr="009A613C">
        <w:rPr>
          <w:rFonts w:cstheme="minorHAnsi"/>
          <w:b/>
          <w:bCs/>
          <w:lang w:eastAsia="en-GB"/>
        </w:rPr>
        <w:t xml:space="preserve"> </w:t>
      </w:r>
    </w:p>
    <w:p w14:paraId="369D7304" w14:textId="2ECD49E7" w:rsidR="00E96450" w:rsidRPr="0000783F" w:rsidRDefault="00E96450" w:rsidP="0000783F">
      <w:pPr>
        <w:spacing w:after="60" w:line="276" w:lineRule="auto"/>
        <w:jc w:val="center"/>
        <w:rPr>
          <w:rFonts w:cstheme="minorHAnsi"/>
          <w:i/>
          <w:iCs/>
          <w:sz w:val="20"/>
          <w:szCs w:val="20"/>
          <w:lang w:val="sr-Latn-BA"/>
        </w:rPr>
      </w:pPr>
      <w:r w:rsidRPr="003E759D">
        <w:rPr>
          <w:rFonts w:cstheme="minorHAnsi"/>
          <w:i/>
          <w:iCs/>
          <w:sz w:val="20"/>
          <w:szCs w:val="20"/>
        </w:rPr>
        <w:t xml:space="preserve">Grafikon </w:t>
      </w:r>
      <w:r w:rsidR="00714363">
        <w:rPr>
          <w:rFonts w:cstheme="minorHAnsi"/>
          <w:i/>
          <w:iCs/>
          <w:sz w:val="20"/>
          <w:szCs w:val="20"/>
        </w:rPr>
        <w:t>7</w:t>
      </w:r>
      <w:r w:rsidRPr="003E759D">
        <w:rPr>
          <w:rFonts w:cstheme="minorHAnsi"/>
          <w:i/>
          <w:iCs/>
          <w:sz w:val="20"/>
          <w:szCs w:val="20"/>
        </w:rPr>
        <w:t xml:space="preserve">: </w:t>
      </w:r>
      <w:r>
        <w:rPr>
          <w:rFonts w:cstheme="minorHAnsi"/>
          <w:i/>
          <w:iCs/>
          <w:sz w:val="20"/>
          <w:szCs w:val="20"/>
        </w:rPr>
        <w:t xml:space="preserve">Stopa savladavanja priliva i stopa </w:t>
      </w:r>
      <w:r w:rsidR="000B1ABE">
        <w:rPr>
          <w:rFonts w:cstheme="minorHAnsi"/>
          <w:i/>
          <w:iCs/>
          <w:sz w:val="20"/>
          <w:szCs w:val="20"/>
        </w:rPr>
        <w:t>efikasnosti</w:t>
      </w:r>
      <w:r w:rsidRPr="003E759D">
        <w:rPr>
          <w:rFonts w:cstheme="minorHAnsi"/>
          <w:i/>
          <w:iCs/>
          <w:sz w:val="20"/>
          <w:szCs w:val="20"/>
        </w:rPr>
        <w:t xml:space="preserve"> u periodu 2017-2022.</w:t>
      </w:r>
      <w:r w:rsidRPr="00C30C95">
        <w:rPr>
          <w:rStyle w:val="FootnoteReference"/>
          <w:rFonts w:cstheme="minorHAnsi"/>
          <w:i/>
          <w:iCs/>
          <w:sz w:val="20"/>
          <w:szCs w:val="20"/>
        </w:rPr>
        <w:footnoteReference w:id="36"/>
      </w:r>
    </w:p>
    <w:p w14:paraId="5E8AF214" w14:textId="3B106430" w:rsidR="00E96450" w:rsidRDefault="00E96450" w:rsidP="00E91CBC">
      <w:pPr>
        <w:jc w:val="center"/>
        <w:rPr>
          <w:rFonts w:cstheme="minorHAnsi"/>
          <w:lang w:eastAsia="en-GB"/>
        </w:rPr>
      </w:pPr>
      <w:r w:rsidRPr="009A613C">
        <w:rPr>
          <w:rFonts w:cstheme="minorHAnsi"/>
          <w:noProof/>
          <w:lang w:val="en-GB" w:eastAsia="en-GB"/>
        </w:rPr>
        <w:drawing>
          <wp:inline distT="0" distB="0" distL="0" distR="0" wp14:anchorId="0A1A924F" wp14:editId="5551BF9B">
            <wp:extent cx="5291304" cy="2279904"/>
            <wp:effectExtent l="0" t="0" r="5080" b="6350"/>
            <wp:docPr id="1281210743" name="Picture 1281210743" descr="A picture containing text, diagram, line, screenshot&#10;&#10;Description automatically generated">
              <a:extLst xmlns:a="http://schemas.openxmlformats.org/drawingml/2006/main">
                <a:ext uri="{FF2B5EF4-FFF2-40B4-BE49-F238E27FC236}">
                  <a16:creationId xmlns:a16="http://schemas.microsoft.com/office/drawing/2014/main" id="{F147D531-3581-9EE7-E8BE-344EB64CC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diagram, line, screenshot&#10;&#10;Description automatically generated">
                      <a:extLst>
                        <a:ext uri="{FF2B5EF4-FFF2-40B4-BE49-F238E27FC236}">
                          <a16:creationId xmlns:a16="http://schemas.microsoft.com/office/drawing/2014/main" id="{F147D531-3581-9EE7-E8BE-344EB64CC89C}"/>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91304" cy="2279904"/>
                    </a:xfrm>
                    <a:prstGeom prst="rect">
                      <a:avLst/>
                    </a:prstGeom>
                  </pic:spPr>
                </pic:pic>
              </a:graphicData>
            </a:graphic>
          </wp:inline>
        </w:drawing>
      </w:r>
    </w:p>
    <w:p w14:paraId="7A98C72E" w14:textId="409B4506" w:rsidR="003E759D" w:rsidRPr="003E759D" w:rsidRDefault="0000783F" w:rsidP="0000783F">
      <w:pPr>
        <w:jc w:val="both"/>
        <w:rPr>
          <w:rFonts w:cstheme="minorHAnsi"/>
          <w:lang w:eastAsia="en-GB"/>
        </w:rPr>
      </w:pPr>
      <w:r w:rsidRPr="004D5B89">
        <w:rPr>
          <w:rFonts w:cstheme="minorHAnsi"/>
          <w:lang w:eastAsia="en-GB"/>
        </w:rPr>
        <w:t>Iako je jasno da je za prevazilaženje ovog problema potrebno da</w:t>
      </w:r>
      <w:r>
        <w:rPr>
          <w:rFonts w:cstheme="minorHAnsi"/>
          <w:b/>
          <w:bCs/>
          <w:lang w:eastAsia="en-GB"/>
        </w:rPr>
        <w:t xml:space="preserve"> stopa savladavanja priliva </w:t>
      </w:r>
      <w:r>
        <w:rPr>
          <w:rFonts w:cstheme="minorHAnsi"/>
          <w:lang w:eastAsia="en-GB"/>
        </w:rPr>
        <w:t>(</w:t>
      </w:r>
      <w:r w:rsidRPr="009A613C">
        <w:rPr>
          <w:rFonts w:cstheme="minorHAnsi"/>
          <w:lang w:eastAsia="en-GB"/>
        </w:rPr>
        <w:t>CR</w:t>
      </w:r>
      <w:r>
        <w:rPr>
          <w:rFonts w:cstheme="minorHAnsi"/>
          <w:lang w:eastAsia="en-GB"/>
        </w:rPr>
        <w:t xml:space="preserve">, </w:t>
      </w:r>
      <w:r w:rsidRPr="009A613C">
        <w:rPr>
          <w:rFonts w:cstheme="minorHAnsi"/>
          <w:i/>
          <w:iCs/>
          <w:lang w:eastAsia="en-GB"/>
        </w:rPr>
        <w:t>clearance rate</w:t>
      </w:r>
      <w:r w:rsidRPr="009A613C">
        <w:rPr>
          <w:rFonts w:cstheme="minorHAnsi"/>
          <w:lang w:eastAsia="en-GB"/>
        </w:rPr>
        <w:t>)</w:t>
      </w:r>
      <w:r>
        <w:rPr>
          <w:rFonts w:cstheme="minorHAnsi"/>
          <w:lang w:eastAsia="en-GB"/>
        </w:rPr>
        <w:t xml:space="preserve"> bude preko 100% u višegodišnjem periodu, to se posljednji put dogodilo 2019. godine, a u padu je i stopa efikasnosti zaposlenih u sudovima (</w:t>
      </w:r>
      <w:r w:rsidRPr="009A613C">
        <w:rPr>
          <w:rFonts w:cstheme="minorHAnsi"/>
          <w:lang w:eastAsia="en-GB"/>
        </w:rPr>
        <w:t>ER</w:t>
      </w:r>
      <w:r>
        <w:rPr>
          <w:rFonts w:cstheme="minorHAnsi"/>
          <w:lang w:eastAsia="en-GB"/>
        </w:rPr>
        <w:t xml:space="preserve">, </w:t>
      </w:r>
      <w:r w:rsidRPr="000B1ABE">
        <w:rPr>
          <w:rFonts w:cstheme="minorHAnsi"/>
          <w:i/>
          <w:iCs/>
          <w:lang w:eastAsia="en-GB"/>
        </w:rPr>
        <w:t>efficiency rate</w:t>
      </w:r>
      <w:r w:rsidRPr="009A613C">
        <w:rPr>
          <w:rFonts w:cstheme="minorHAnsi"/>
          <w:lang w:eastAsia="en-GB"/>
        </w:rPr>
        <w:t>)</w:t>
      </w:r>
      <w:r>
        <w:rPr>
          <w:rFonts w:cstheme="minorHAnsi"/>
          <w:lang w:eastAsia="en-GB"/>
        </w:rPr>
        <w:t>.</w:t>
      </w:r>
    </w:p>
    <w:p w14:paraId="27F322A6" w14:textId="7E4FB39A" w:rsidR="00AB23DA" w:rsidRPr="00A3168F" w:rsidRDefault="00AB23DA">
      <w:pPr>
        <w:pStyle w:val="ListParagraph"/>
        <w:numPr>
          <w:ilvl w:val="0"/>
          <w:numId w:val="13"/>
        </w:numPr>
        <w:spacing w:after="120" w:line="276" w:lineRule="auto"/>
        <w:ind w:left="714" w:hanging="357"/>
        <w:contextualSpacing w:val="0"/>
        <w:jc w:val="both"/>
        <w:rPr>
          <w:rFonts w:cstheme="minorHAnsi"/>
        </w:rPr>
      </w:pPr>
      <w:r w:rsidRPr="00A3168F">
        <w:rPr>
          <w:rFonts w:cstheme="minorHAnsi"/>
          <w:b/>
          <w:bCs/>
        </w:rPr>
        <w:t>Predugo trajanje sudski</w:t>
      </w:r>
      <w:r w:rsidR="004E2978">
        <w:rPr>
          <w:rFonts w:cstheme="minorHAnsi"/>
          <w:b/>
          <w:bCs/>
        </w:rPr>
        <w:t>h</w:t>
      </w:r>
      <w:r w:rsidRPr="00A3168F">
        <w:rPr>
          <w:rFonts w:cstheme="minorHAnsi"/>
          <w:b/>
          <w:bCs/>
        </w:rPr>
        <w:t xml:space="preserve"> postupaka</w:t>
      </w:r>
      <w:r w:rsidR="00D92E6B" w:rsidRPr="00A3168F">
        <w:rPr>
          <w:rFonts w:cstheme="minorHAnsi"/>
        </w:rPr>
        <w:t xml:space="preserve"> i dalje predstavlja problem crnogorskog pravosuđa</w:t>
      </w:r>
      <w:r w:rsidR="00A3168F" w:rsidRPr="00A3168F">
        <w:rPr>
          <w:rFonts w:cstheme="minorHAnsi"/>
        </w:rPr>
        <w:t>. Prosječno trajanje</w:t>
      </w:r>
      <w:r w:rsidRPr="00A3168F">
        <w:rPr>
          <w:rFonts w:cstheme="minorHAnsi"/>
        </w:rPr>
        <w:t xml:space="preserve"> postupka u parničnim postupcima u prvom stepenu od 229 dana (u Evropi prosjek je 194 dana)</w:t>
      </w:r>
      <w:r w:rsidR="00A3168F" w:rsidRPr="00A3168F">
        <w:rPr>
          <w:rFonts w:cstheme="minorHAnsi"/>
        </w:rPr>
        <w:t xml:space="preserve">, dok je odnos između crnogorskog i evropskog prosjeka trajanja prvostepenih </w:t>
      </w:r>
      <w:r w:rsidR="00A3168F" w:rsidRPr="00A3168F">
        <w:rPr>
          <w:rFonts w:cstheme="minorHAnsi"/>
        </w:rPr>
        <w:lastRenderedPageBreak/>
        <w:t>krivičnih predmeta 189 naspram 145 dana.</w:t>
      </w:r>
      <w:r w:rsidRPr="00A3168F">
        <w:rPr>
          <w:rFonts w:cstheme="minorHAnsi"/>
        </w:rPr>
        <w:t xml:space="preserve"> </w:t>
      </w:r>
      <w:r w:rsidR="004D5B89">
        <w:rPr>
          <w:rFonts w:cstheme="minorHAnsi"/>
        </w:rPr>
        <w:t>Podaci o ukupnom trajanju postupka u više instanci i dalje nisu dostupni.</w:t>
      </w:r>
    </w:p>
    <w:p w14:paraId="7DF44426" w14:textId="2C742B27" w:rsidR="004D5B89" w:rsidRPr="00F5656C" w:rsidRDefault="004D5B89">
      <w:pPr>
        <w:pStyle w:val="ListParagraph"/>
        <w:numPr>
          <w:ilvl w:val="0"/>
          <w:numId w:val="13"/>
        </w:numPr>
        <w:spacing w:after="120"/>
        <w:jc w:val="both"/>
        <w:rPr>
          <w:rFonts w:cstheme="minorHAnsi"/>
        </w:rPr>
      </w:pPr>
      <w:r w:rsidRPr="004D5B89">
        <w:rPr>
          <w:rFonts w:cstheme="minorHAnsi"/>
        </w:rPr>
        <w:t xml:space="preserve">Značajnu ulogu u unaprjeđenju efikasnosti igra i </w:t>
      </w:r>
      <w:r w:rsidRPr="004D5B89">
        <w:rPr>
          <w:rFonts w:cstheme="minorHAnsi"/>
          <w:b/>
          <w:bCs/>
        </w:rPr>
        <w:t>IKT sistem u pravosuđu</w:t>
      </w:r>
      <w:r w:rsidRPr="004D5B89">
        <w:rPr>
          <w:rFonts w:cstheme="minorHAnsi"/>
        </w:rPr>
        <w:t>, čije stanje trenutno predstavlja jedan od većih problema. Postojeći sistem (PRIS) osim što nije u upotrebi u prekršajnim sudovima, zastario je i ne podržava potrebe za efektivnim upravljanjem predmetima i sve složenijim i detaljnijim izvještavanjem</w:t>
      </w:r>
      <w:r w:rsidRPr="00A17B4A">
        <w:rPr>
          <w:rFonts w:cstheme="minorHAnsi"/>
        </w:rPr>
        <w:t xml:space="preserve">. </w:t>
      </w:r>
      <w:r w:rsidRPr="00F5656C">
        <w:rPr>
          <w:rFonts w:cstheme="minorHAnsi"/>
        </w:rPr>
        <w:t>Rad na razvoju novog I</w:t>
      </w:r>
      <w:r w:rsidR="003D0AE7">
        <w:rPr>
          <w:rFonts w:cstheme="minorHAnsi"/>
        </w:rPr>
        <w:t>SP</w:t>
      </w:r>
      <w:r w:rsidRPr="00F5656C">
        <w:rPr>
          <w:rFonts w:cstheme="minorHAnsi"/>
        </w:rPr>
        <w:t xml:space="preserve">, </w:t>
      </w:r>
      <w:r w:rsidR="00A17B4A" w:rsidRPr="00F5656C">
        <w:rPr>
          <w:rFonts w:cstheme="minorHAnsi"/>
        </w:rPr>
        <w:t>uslijed nereali</w:t>
      </w:r>
      <w:r w:rsidR="00A17B4A" w:rsidRPr="00F5656C">
        <w:rPr>
          <w:rFonts w:cstheme="minorHAnsi"/>
          <w:lang w:val="en-GB"/>
        </w:rPr>
        <w:t>zacije</w:t>
      </w:r>
      <w:r w:rsidR="00A17B4A" w:rsidRPr="00F5656C">
        <w:rPr>
          <w:rFonts w:cstheme="minorHAnsi"/>
        </w:rPr>
        <w:t xml:space="preserve"> ugovornih obaveza od strane kompanije </w:t>
      </w:r>
      <w:r w:rsidRPr="00F5656C">
        <w:rPr>
          <w:rFonts w:cstheme="minorHAnsi"/>
        </w:rPr>
        <w:t xml:space="preserve">koja je trebalo da implementira sistem, </w:t>
      </w:r>
      <w:r w:rsidR="00A17B4A">
        <w:rPr>
          <w:rFonts w:cstheme="minorHAnsi"/>
        </w:rPr>
        <w:t xml:space="preserve">nije dovršen, </w:t>
      </w:r>
      <w:r w:rsidRPr="00F5656C">
        <w:rPr>
          <w:rFonts w:cstheme="minorHAnsi"/>
        </w:rPr>
        <w:t>nakon čega je donijeta odluka da se nastavi rad na unaprjeđenju PRIS-a kao vidu prelaznog rješenja do razvoja novog sistema</w:t>
      </w:r>
      <w:r w:rsidR="00A4143F" w:rsidRPr="00F5656C">
        <w:rPr>
          <w:rFonts w:cstheme="minorHAnsi"/>
        </w:rPr>
        <w:t xml:space="preserve"> koji bi objedinio sve IKT podsisteme u pravosuđu (sudove, tužilaštva, sistem izvršenja krivičnih sankcija, Ministarstvo pravde, </w:t>
      </w:r>
      <w:r w:rsidR="004E2978">
        <w:rPr>
          <w:rFonts w:cstheme="minorHAnsi"/>
        </w:rPr>
        <w:t>S</w:t>
      </w:r>
      <w:r w:rsidR="00A17B4A">
        <w:rPr>
          <w:rFonts w:cstheme="minorHAnsi"/>
        </w:rPr>
        <w:t>udski</w:t>
      </w:r>
      <w:r w:rsidR="004E2978">
        <w:rPr>
          <w:rFonts w:cstheme="minorHAnsi"/>
        </w:rPr>
        <w:t xml:space="preserve"> savjet</w:t>
      </w:r>
      <w:r w:rsidR="00A17B4A">
        <w:rPr>
          <w:rFonts w:cstheme="minorHAnsi"/>
        </w:rPr>
        <w:t xml:space="preserve"> i </w:t>
      </w:r>
      <w:r w:rsidR="004E2978">
        <w:rPr>
          <w:rFonts w:cstheme="minorHAnsi"/>
        </w:rPr>
        <w:t>T</w:t>
      </w:r>
      <w:r w:rsidR="00A17B4A">
        <w:rPr>
          <w:rFonts w:cstheme="minorHAnsi"/>
        </w:rPr>
        <w:t xml:space="preserve">užilački </w:t>
      </w:r>
      <w:r w:rsidR="00A4143F" w:rsidRPr="00F5656C">
        <w:rPr>
          <w:rFonts w:cstheme="minorHAnsi"/>
        </w:rPr>
        <w:t>savjet i Centar za obuku u sudstvu i državnom tužilaštvu).</w:t>
      </w:r>
    </w:p>
    <w:p w14:paraId="1EE75F31" w14:textId="7ABC080C" w:rsidR="004D5B89" w:rsidRDefault="004D5B89" w:rsidP="004D5B89">
      <w:pPr>
        <w:autoSpaceDE w:val="0"/>
        <w:autoSpaceDN w:val="0"/>
        <w:adjustRightInd w:val="0"/>
        <w:spacing w:after="120"/>
        <w:jc w:val="both"/>
        <w:rPr>
          <w:rFonts w:cstheme="minorHAnsi"/>
        </w:rPr>
      </w:pPr>
      <w:r w:rsidRPr="009A613C">
        <w:rPr>
          <w:rFonts w:cstheme="minorHAnsi"/>
        </w:rPr>
        <w:t xml:space="preserve">Imajući u vidu </w:t>
      </w:r>
      <w:r w:rsidRPr="009A613C">
        <w:rPr>
          <w:rFonts w:cstheme="minorHAnsi"/>
          <w:b/>
          <w:bCs/>
        </w:rPr>
        <w:t>značaj efikasnog prikupljanja i obrade statističkih podataka</w:t>
      </w:r>
      <w:r w:rsidRPr="009A613C">
        <w:rPr>
          <w:rFonts w:cstheme="minorHAnsi"/>
        </w:rPr>
        <w:t xml:space="preserve"> za unaprjeđenje efikasnosti pravosuđa, važno je napomenuti da je ovaj proces i dalje veliki izazov za crnogorsko pravosuđe</w:t>
      </w:r>
      <w:r w:rsidR="00C74115">
        <w:rPr>
          <w:rFonts w:cstheme="minorHAnsi"/>
        </w:rPr>
        <w:t>, upravo zbog manjkavosti IKT sistema.</w:t>
      </w:r>
    </w:p>
    <w:p w14:paraId="48FEB72A" w14:textId="02694C3F" w:rsidR="00E54FB6" w:rsidRPr="00204B2C" w:rsidRDefault="00E54FB6">
      <w:pPr>
        <w:pStyle w:val="ListParagraph"/>
        <w:numPr>
          <w:ilvl w:val="0"/>
          <w:numId w:val="13"/>
        </w:numPr>
        <w:spacing w:after="120" w:line="276" w:lineRule="auto"/>
        <w:ind w:left="714" w:hanging="357"/>
        <w:contextualSpacing w:val="0"/>
        <w:jc w:val="both"/>
        <w:rPr>
          <w:rFonts w:cstheme="minorHAnsi"/>
        </w:rPr>
      </w:pPr>
      <w:r w:rsidRPr="004D5B89">
        <w:rPr>
          <w:rFonts w:cstheme="minorHAnsi"/>
        </w:rPr>
        <w:t xml:space="preserve">Ozbiljan problem i dalje predstavlja </w:t>
      </w:r>
      <w:r w:rsidRPr="004D5B89">
        <w:rPr>
          <w:rFonts w:cstheme="minorHAnsi"/>
          <w:b/>
          <w:bCs/>
        </w:rPr>
        <w:t>stanje pravosudne infrastrukture i bezbjednost</w:t>
      </w:r>
      <w:r w:rsidR="004E2978">
        <w:rPr>
          <w:rFonts w:cstheme="minorHAnsi"/>
          <w:b/>
          <w:bCs/>
        </w:rPr>
        <w:t>i</w:t>
      </w:r>
      <w:r w:rsidRPr="004D5B89">
        <w:rPr>
          <w:rFonts w:cstheme="minorHAnsi"/>
          <w:b/>
          <w:bCs/>
        </w:rPr>
        <w:t xml:space="preserve"> </w:t>
      </w:r>
      <w:r w:rsidRPr="004D5B89">
        <w:rPr>
          <w:rFonts w:cstheme="minorHAnsi"/>
        </w:rPr>
        <w:t>nosilaca pravosudnih funkcija i građana koji posjećuju sudove i tužilaštva, a osim sprovedenih analiza i djelimično sprovedenog procesa planiranja, značajnijih pomaka u pogledu unaprjeđenja pravosudne infrastrukture nije bilo.</w:t>
      </w:r>
      <w:r w:rsidR="00204B2C">
        <w:rPr>
          <w:rFonts w:cstheme="minorHAnsi"/>
        </w:rPr>
        <w:t xml:space="preserve"> Prepo</w:t>
      </w:r>
      <w:r w:rsidR="00204B2C">
        <w:rPr>
          <w:rFonts w:cstheme="minorHAnsi"/>
          <w:lang w:val="en-GB"/>
        </w:rPr>
        <w:t>znaju</w:t>
      </w:r>
      <w:r w:rsidR="00204B2C" w:rsidRPr="00204B2C">
        <w:rPr>
          <w:rFonts w:cstheme="minorHAnsi"/>
        </w:rPr>
        <w:t>ć</w:t>
      </w:r>
      <w:r w:rsidR="00204B2C">
        <w:rPr>
          <w:rFonts w:cstheme="minorHAnsi"/>
          <w:lang w:val="en-GB"/>
        </w:rPr>
        <w:t>i</w:t>
      </w:r>
      <w:r w:rsidR="00204B2C" w:rsidRPr="00204B2C">
        <w:rPr>
          <w:rFonts w:cstheme="minorHAnsi"/>
        </w:rPr>
        <w:t xml:space="preserve"> </w:t>
      </w:r>
      <w:r w:rsidR="00204B2C">
        <w:rPr>
          <w:rFonts w:cstheme="minorHAnsi"/>
          <w:lang w:val="en-GB"/>
        </w:rPr>
        <w:t>potrebu</w:t>
      </w:r>
      <w:r w:rsidR="00204B2C" w:rsidRPr="00204B2C">
        <w:rPr>
          <w:rFonts w:cstheme="minorHAnsi"/>
        </w:rPr>
        <w:t xml:space="preserve"> </w:t>
      </w:r>
      <w:r w:rsidR="00204B2C">
        <w:rPr>
          <w:rFonts w:cstheme="minorHAnsi"/>
          <w:lang w:val="en-GB"/>
        </w:rPr>
        <w:t>da</w:t>
      </w:r>
      <w:r w:rsidR="00204B2C" w:rsidRPr="00204B2C">
        <w:rPr>
          <w:rFonts w:cstheme="minorHAnsi"/>
        </w:rPr>
        <w:t xml:space="preserve"> </w:t>
      </w:r>
      <w:r w:rsidR="00204B2C">
        <w:rPr>
          <w:rFonts w:cstheme="minorHAnsi"/>
          <w:lang w:val="en-GB"/>
        </w:rPr>
        <w:t>dalja</w:t>
      </w:r>
      <w:r w:rsidR="00204B2C" w:rsidRPr="00204B2C">
        <w:rPr>
          <w:rFonts w:cstheme="minorHAnsi"/>
        </w:rPr>
        <w:t xml:space="preserve"> </w:t>
      </w:r>
      <w:r w:rsidR="00204B2C">
        <w:rPr>
          <w:rFonts w:cstheme="minorHAnsi"/>
          <w:lang w:val="en-GB"/>
        </w:rPr>
        <w:t>ulaganja</w:t>
      </w:r>
      <w:r w:rsidR="00204B2C" w:rsidRPr="00204B2C">
        <w:rPr>
          <w:rFonts w:cstheme="minorHAnsi"/>
        </w:rPr>
        <w:t xml:space="preserve"> </w:t>
      </w:r>
      <w:r w:rsidR="00204B2C">
        <w:rPr>
          <w:rFonts w:cstheme="minorHAnsi"/>
          <w:lang w:val="en-GB"/>
        </w:rPr>
        <w:t>u</w:t>
      </w:r>
      <w:r w:rsidR="00204B2C" w:rsidRPr="00204B2C">
        <w:rPr>
          <w:rFonts w:cstheme="minorHAnsi"/>
        </w:rPr>
        <w:t xml:space="preserve"> </w:t>
      </w:r>
      <w:r w:rsidR="00204B2C">
        <w:rPr>
          <w:rFonts w:cstheme="minorHAnsi"/>
          <w:lang w:val="en-GB"/>
        </w:rPr>
        <w:t>pravosudnu</w:t>
      </w:r>
      <w:r w:rsidR="00204B2C" w:rsidRPr="00204B2C">
        <w:rPr>
          <w:rFonts w:cstheme="minorHAnsi"/>
        </w:rPr>
        <w:t xml:space="preserve"> </w:t>
      </w:r>
      <w:r w:rsidR="00204B2C">
        <w:rPr>
          <w:rFonts w:cstheme="minorHAnsi"/>
          <w:lang w:val="en-GB"/>
        </w:rPr>
        <w:t>infrastrukturu</w:t>
      </w:r>
      <w:r w:rsidR="00204B2C" w:rsidRPr="00204B2C">
        <w:rPr>
          <w:rFonts w:cstheme="minorHAnsi"/>
        </w:rPr>
        <w:t xml:space="preserve"> </w:t>
      </w:r>
      <w:r w:rsidR="00204B2C">
        <w:rPr>
          <w:rFonts w:cstheme="minorHAnsi"/>
          <w:lang w:val="en-GB"/>
        </w:rPr>
        <w:t>budu</w:t>
      </w:r>
      <w:r w:rsidR="00204B2C" w:rsidRPr="00204B2C">
        <w:rPr>
          <w:rFonts w:cstheme="minorHAnsi"/>
        </w:rPr>
        <w:t xml:space="preserve"> </w:t>
      </w:r>
      <w:r w:rsidR="00204B2C">
        <w:rPr>
          <w:rFonts w:cstheme="minorHAnsi"/>
          <w:lang w:val="en-GB"/>
        </w:rPr>
        <w:t>zasnovana</w:t>
      </w:r>
      <w:r w:rsidR="00204B2C" w:rsidRPr="00204B2C">
        <w:rPr>
          <w:rFonts w:cstheme="minorHAnsi"/>
        </w:rPr>
        <w:t xml:space="preserve"> </w:t>
      </w:r>
      <w:r w:rsidR="00204B2C">
        <w:rPr>
          <w:rFonts w:cstheme="minorHAnsi"/>
        </w:rPr>
        <w:t>na detaljnoj procjeni postojećeg stanja, 2019. godine je izražena studija</w:t>
      </w:r>
      <w:r w:rsidR="00204B2C" w:rsidRPr="000A0AEC">
        <w:rPr>
          <w:rStyle w:val="FootnoteReference"/>
          <w:rFonts w:ascii="Calibri" w:hAnsi="Calibri" w:cs="Calibri"/>
          <w14:ligatures w14:val="standardContextual"/>
        </w:rPr>
        <w:footnoteReference w:id="37"/>
      </w:r>
      <w:r w:rsidR="00204B2C" w:rsidRPr="000A0AEC">
        <w:rPr>
          <w:rFonts w:cstheme="minorHAnsi"/>
        </w:rPr>
        <w:t xml:space="preserve"> zasnovana</w:t>
      </w:r>
      <w:r w:rsidR="00204B2C">
        <w:rPr>
          <w:rFonts w:cstheme="minorHAnsi"/>
        </w:rPr>
        <w:t xml:space="preserve"> na procjeni potreba </w:t>
      </w:r>
      <w:r w:rsidRPr="00204B2C">
        <w:rPr>
          <w:rFonts w:ascii="Calibri" w:hAnsi="Calibri" w:cs="Calibri"/>
          <w14:ligatures w14:val="standardContextual"/>
        </w:rPr>
        <w:t>koj</w:t>
      </w:r>
      <w:r w:rsidR="00204B2C">
        <w:rPr>
          <w:rFonts w:ascii="Calibri" w:hAnsi="Calibri" w:cs="Calibri"/>
          <w14:ligatures w14:val="standardContextual"/>
        </w:rPr>
        <w:t>e</w:t>
      </w:r>
      <w:r w:rsidRPr="00204B2C">
        <w:rPr>
          <w:rFonts w:ascii="Calibri" w:hAnsi="Calibri" w:cs="Calibri"/>
          <w14:ligatures w14:val="standardContextual"/>
        </w:rPr>
        <w:t xml:space="preserve"> se odnose na poboljšanje programsko-prostornih,</w:t>
      </w:r>
      <w:r w:rsidR="00204B2C">
        <w:rPr>
          <w:rFonts w:ascii="Calibri" w:hAnsi="Calibri" w:cs="Calibri"/>
          <w14:ligatures w14:val="standardContextual"/>
        </w:rPr>
        <w:t xml:space="preserve"> </w:t>
      </w:r>
      <w:r w:rsidRPr="00204B2C">
        <w:rPr>
          <w:rFonts w:ascii="Calibri" w:hAnsi="Calibri" w:cs="Calibri"/>
          <w14:ligatures w14:val="standardContextual"/>
        </w:rPr>
        <w:t>tehnoloških, bezb</w:t>
      </w:r>
      <w:r w:rsidR="004E2978">
        <w:rPr>
          <w:rFonts w:ascii="Calibri" w:hAnsi="Calibri" w:cs="Calibri"/>
          <w14:ligatures w14:val="standardContextual"/>
        </w:rPr>
        <w:t>j</w:t>
      </w:r>
      <w:r w:rsidRPr="00204B2C">
        <w:rPr>
          <w:rFonts w:ascii="Calibri" w:hAnsi="Calibri" w:cs="Calibri"/>
          <w14:ligatures w14:val="standardContextual"/>
        </w:rPr>
        <w:t>ednosnih i energetskih uslova</w:t>
      </w:r>
      <w:r w:rsidR="00204B2C">
        <w:rPr>
          <w:rFonts w:ascii="Calibri" w:hAnsi="Calibri" w:cs="Calibri"/>
          <w14:ligatures w14:val="standardContextual"/>
        </w:rPr>
        <w:t xml:space="preserve"> ukupno 50 objekata na 30 pojedinačnih lokacija</w:t>
      </w:r>
      <w:r w:rsidRPr="00204B2C">
        <w:rPr>
          <w:rFonts w:ascii="Calibri" w:hAnsi="Calibri" w:cs="Calibri"/>
          <w14:ligatures w14:val="standardContextual"/>
        </w:rPr>
        <w:t xml:space="preserve">, </w:t>
      </w:r>
      <w:r w:rsidR="00204B2C">
        <w:rPr>
          <w:rFonts w:ascii="Calibri" w:hAnsi="Calibri" w:cs="Calibri"/>
          <w14:ligatures w14:val="standardContextual"/>
        </w:rPr>
        <w:t>što je neizostavni input u izradi tehničke dokumentacije za buduće projekte.</w:t>
      </w:r>
      <w:r w:rsidRPr="00204B2C">
        <w:rPr>
          <w:rFonts w:ascii="Calibri" w:hAnsi="Calibri" w:cs="Calibri"/>
          <w14:ligatures w14:val="standardContextual"/>
        </w:rPr>
        <w:t xml:space="preserve"> Ipak, prilikom sprovođenja ove analize, propuštena je prilika da se izvrši i proc</w:t>
      </w:r>
      <w:r w:rsidR="00204B2C">
        <w:rPr>
          <w:rFonts w:ascii="Calibri" w:hAnsi="Calibri" w:cs="Calibri"/>
          <w14:ligatures w14:val="standardContextual"/>
        </w:rPr>
        <w:t>j</w:t>
      </w:r>
      <w:r w:rsidRPr="00204B2C">
        <w:rPr>
          <w:rFonts w:ascii="Calibri" w:hAnsi="Calibri" w:cs="Calibri"/>
          <w14:ligatures w14:val="standardContextual"/>
        </w:rPr>
        <w:t xml:space="preserve">ena stanja u pogledu stanja pravosudne infrastrukture iz ugla pristupa pravdi za naročito ranjive grupe građana, poput </w:t>
      </w:r>
      <w:r w:rsidR="00204B2C">
        <w:rPr>
          <w:rFonts w:ascii="Calibri" w:hAnsi="Calibri" w:cs="Calibri"/>
          <w14:ligatures w14:val="standardContextual"/>
        </w:rPr>
        <w:t xml:space="preserve">djece, </w:t>
      </w:r>
      <w:r w:rsidRPr="00204B2C">
        <w:rPr>
          <w:rFonts w:ascii="Calibri" w:hAnsi="Calibri" w:cs="Calibri"/>
          <w14:ligatures w14:val="standardContextual"/>
        </w:rPr>
        <w:t>žrtava krivičnih d</w:t>
      </w:r>
      <w:r w:rsidR="00204B2C">
        <w:rPr>
          <w:rFonts w:ascii="Calibri" w:hAnsi="Calibri" w:cs="Calibri"/>
          <w14:ligatures w14:val="standardContextual"/>
        </w:rPr>
        <w:t>j</w:t>
      </w:r>
      <w:r w:rsidRPr="00204B2C">
        <w:rPr>
          <w:rFonts w:ascii="Calibri" w:hAnsi="Calibri" w:cs="Calibri"/>
          <w14:ligatures w14:val="standardContextual"/>
        </w:rPr>
        <w:t>ela i osoba sa invaliditetom, usl</w:t>
      </w:r>
      <w:r w:rsidR="00204B2C">
        <w:rPr>
          <w:rFonts w:ascii="Calibri" w:hAnsi="Calibri" w:cs="Calibri"/>
          <w14:ligatures w14:val="standardContextual"/>
        </w:rPr>
        <w:t>ij</w:t>
      </w:r>
      <w:r w:rsidRPr="00204B2C">
        <w:rPr>
          <w:rFonts w:ascii="Calibri" w:hAnsi="Calibri" w:cs="Calibri"/>
          <w14:ligatures w14:val="standardContextual"/>
        </w:rPr>
        <w:t xml:space="preserve">ed čega ne postoje adekvatne informacije na osnovu kojih bi mogli biti utvrđeni prioriteti u pogledu </w:t>
      </w:r>
      <w:r w:rsidR="00204B2C" w:rsidRPr="00204B2C">
        <w:rPr>
          <w:rFonts w:ascii="Calibri" w:hAnsi="Calibri" w:cs="Calibri"/>
          <w14:ligatures w14:val="standardContextual"/>
        </w:rPr>
        <w:t>upodobljavanja</w:t>
      </w:r>
      <w:r w:rsidRPr="00204B2C">
        <w:rPr>
          <w:rFonts w:ascii="Calibri" w:hAnsi="Calibri" w:cs="Calibri"/>
          <w14:ligatures w14:val="standardContextual"/>
        </w:rPr>
        <w:t xml:space="preserve"> postojećih i izgradnji novih objekata u skladu sa relevantnim </w:t>
      </w:r>
      <w:r w:rsidR="00204B2C" w:rsidRPr="00204B2C">
        <w:rPr>
          <w:rFonts w:ascii="Calibri" w:hAnsi="Calibri" w:cs="Calibri"/>
          <w14:ligatures w14:val="standardContextual"/>
        </w:rPr>
        <w:t>međunarodnim</w:t>
      </w:r>
      <w:r w:rsidRPr="00204B2C">
        <w:rPr>
          <w:rFonts w:ascii="Calibri" w:hAnsi="Calibri" w:cs="Calibri"/>
          <w14:ligatures w14:val="standardContextual"/>
        </w:rPr>
        <w:t xml:space="preserve"> standardima.</w:t>
      </w:r>
    </w:p>
    <w:p w14:paraId="0F5C6420" w14:textId="4EEE148E" w:rsidR="00E54FB6" w:rsidRPr="00F34229" w:rsidRDefault="00C44B4B">
      <w:pPr>
        <w:pStyle w:val="ListParagraph"/>
        <w:numPr>
          <w:ilvl w:val="0"/>
          <w:numId w:val="13"/>
        </w:numPr>
        <w:spacing w:line="276" w:lineRule="auto"/>
        <w:ind w:left="714" w:hanging="357"/>
        <w:contextualSpacing w:val="0"/>
        <w:jc w:val="both"/>
        <w:rPr>
          <w:rFonts w:ascii="Calibri" w:hAnsi="Calibri" w:cs="Calibri"/>
          <w:b/>
          <w:bCs/>
          <w:i/>
          <w:iCs/>
          <w14:ligatures w14:val="standardContextual"/>
        </w:rPr>
      </w:pPr>
      <w:r w:rsidRPr="00C44B4B">
        <w:rPr>
          <w:rFonts w:ascii="Calibri" w:hAnsi="Calibri" w:cs="Calibri"/>
          <w:b/>
          <w:bCs/>
          <w14:ligatures w14:val="standardContextual"/>
        </w:rPr>
        <w:t>Izvršenje sudskih odluka</w:t>
      </w:r>
      <w:r w:rsidR="000C5E23" w:rsidRPr="00C44B4B">
        <w:rPr>
          <w:rFonts w:ascii="Calibri" w:hAnsi="Calibri" w:cs="Calibri"/>
          <w:b/>
          <w:bCs/>
          <w:i/>
          <w:iCs/>
          <w14:ligatures w14:val="standardContextual"/>
        </w:rPr>
        <w:t xml:space="preserve">: </w:t>
      </w:r>
      <w:r w:rsidRPr="00C44B4B">
        <w:rPr>
          <w:rFonts w:ascii="Calibri" w:hAnsi="Calibri" w:cs="Calibri"/>
          <w14:ligatures w14:val="standardContextual"/>
        </w:rPr>
        <w:t xml:space="preserve">Sa ciljem procjene funkcionisanja ovog sistema, </w:t>
      </w:r>
      <w:r>
        <w:rPr>
          <w:rFonts w:ascii="Calibri" w:hAnsi="Calibri" w:cs="Calibri"/>
          <w14:ligatures w14:val="standardContextual"/>
        </w:rPr>
        <w:t xml:space="preserve">a u </w:t>
      </w:r>
      <w:r w:rsidR="00E54FB6" w:rsidRPr="00C44B4B">
        <w:rPr>
          <w:rFonts w:ascii="Calibri" w:hAnsi="Calibri" w:cs="Calibri"/>
          <w14:ligatures w14:val="standardContextual"/>
        </w:rPr>
        <w:t>skladu sa AP 23 i AP SRP 2021-2022</w:t>
      </w:r>
      <w:r>
        <w:rPr>
          <w:rFonts w:ascii="Calibri" w:hAnsi="Calibri" w:cs="Calibri"/>
          <w14:ligatures w14:val="standardContextual"/>
        </w:rPr>
        <w:t xml:space="preserve">, </w:t>
      </w:r>
      <w:r w:rsidR="00E54FB6" w:rsidRPr="00C44B4B">
        <w:rPr>
          <w:rFonts w:ascii="Calibri" w:hAnsi="Calibri" w:cs="Calibri"/>
          <w14:ligatures w14:val="standardContextual"/>
        </w:rPr>
        <w:t xml:space="preserve">Ministarstvo pravde je sprovelo analizu </w:t>
      </w:r>
      <w:r w:rsidRPr="00C44B4B">
        <w:rPr>
          <w:rFonts w:ascii="Calibri" w:hAnsi="Calibri" w:cs="Calibri"/>
          <w14:ligatures w14:val="standardContextual"/>
        </w:rPr>
        <w:t>funkcionisanja</w:t>
      </w:r>
      <w:r w:rsidR="00E54FB6" w:rsidRPr="00C44B4B">
        <w:rPr>
          <w:rFonts w:ascii="Calibri" w:hAnsi="Calibri" w:cs="Calibri"/>
          <w14:ligatures w14:val="standardContextual"/>
        </w:rPr>
        <w:t xml:space="preserve"> sistema izvršenja sudskih odluka 2022. godine.</w:t>
      </w:r>
      <w:r w:rsidRPr="00C44B4B">
        <w:rPr>
          <w:rStyle w:val="FootnoteReference"/>
          <w:rFonts w:ascii="Calibri" w:hAnsi="Calibri" w:cs="Calibri"/>
          <w14:ligatures w14:val="standardContextual"/>
        </w:rPr>
        <w:t xml:space="preserve"> </w:t>
      </w:r>
      <w:r w:rsidRPr="00C44B4B">
        <w:rPr>
          <w:rStyle w:val="FootnoteReference"/>
          <w:rFonts w:ascii="Calibri" w:hAnsi="Calibri" w:cs="Calibri"/>
          <w14:ligatures w14:val="standardContextual"/>
        </w:rPr>
        <w:footnoteReference w:id="38"/>
      </w:r>
      <w:r w:rsidR="00E54FB6" w:rsidRPr="00C44B4B">
        <w:rPr>
          <w:rFonts w:ascii="Calibri" w:hAnsi="Calibri" w:cs="Calibri"/>
          <w14:ligatures w14:val="standardContextual"/>
        </w:rPr>
        <w:t xml:space="preserve"> </w:t>
      </w:r>
      <w:r>
        <w:rPr>
          <w:rFonts w:ascii="Calibri" w:hAnsi="Calibri" w:cs="Calibri"/>
          <w14:ligatures w14:val="standardContextual"/>
        </w:rPr>
        <w:t xml:space="preserve">Nalazi pokazuju da je </w:t>
      </w:r>
      <w:r w:rsidR="00581B3B">
        <w:rPr>
          <w:rFonts w:ascii="Calibri" w:hAnsi="Calibri" w:cs="Calibri"/>
          <w14:ligatures w14:val="standardContextual"/>
        </w:rPr>
        <w:t xml:space="preserve">od strane </w:t>
      </w:r>
      <w:r w:rsidR="00581B3B" w:rsidRPr="00581B3B">
        <w:rPr>
          <w:rFonts w:ascii="Calibri" w:hAnsi="Calibri" w:cs="Calibri"/>
          <w:b/>
          <w:bCs/>
          <w:i/>
          <w:iCs/>
          <w14:ligatures w14:val="standardContextual"/>
        </w:rPr>
        <w:t xml:space="preserve">javnih izvršitelja </w:t>
      </w:r>
      <w:r>
        <w:rPr>
          <w:rFonts w:ascii="Calibri" w:hAnsi="Calibri" w:cs="Calibri"/>
          <w14:ligatures w14:val="standardContextual"/>
        </w:rPr>
        <w:t>uspješno riješeno</w:t>
      </w:r>
      <w:r w:rsidR="00E54FB6" w:rsidRPr="00C44B4B">
        <w:rPr>
          <w:rFonts w:ascii="Calibri" w:hAnsi="Calibri" w:cs="Calibri"/>
          <w14:ligatures w14:val="standardContextual"/>
        </w:rPr>
        <w:t xml:space="preserve"> 75,69% primljenih predmeta, odnosno 26,20% od ukupnog broja </w:t>
      </w:r>
      <w:r w:rsidRPr="00C44B4B">
        <w:rPr>
          <w:rFonts w:ascii="Calibri" w:hAnsi="Calibri" w:cs="Calibri"/>
          <w14:ligatures w14:val="standardContextual"/>
        </w:rPr>
        <w:t>predmeta</w:t>
      </w:r>
      <w:r w:rsidR="00E54FB6" w:rsidRPr="00C44B4B">
        <w:rPr>
          <w:rFonts w:ascii="Calibri" w:hAnsi="Calibri" w:cs="Calibri"/>
          <w14:ligatures w14:val="standardContextual"/>
        </w:rPr>
        <w:t xml:space="preserve"> u radu.</w:t>
      </w:r>
      <w:r>
        <w:rPr>
          <w:rFonts w:ascii="Calibri" w:hAnsi="Calibri" w:cs="Calibri"/>
          <w14:ligatures w14:val="standardContextual"/>
        </w:rPr>
        <w:t xml:space="preserve"> U okviru navedenih vrijednosti </w:t>
      </w:r>
      <w:r w:rsidR="00E54FB6" w:rsidRPr="00C44B4B">
        <w:rPr>
          <w:rFonts w:ascii="Calibri" w:hAnsi="Calibri" w:cs="Calibri"/>
          <w14:ligatures w14:val="standardContextual"/>
        </w:rPr>
        <w:t>92,62% r</w:t>
      </w:r>
      <w:r w:rsidR="004E2978">
        <w:rPr>
          <w:rFonts w:ascii="Calibri" w:hAnsi="Calibri" w:cs="Calibri"/>
          <w14:ligatures w14:val="standardContextual"/>
        </w:rPr>
        <w:t>ij</w:t>
      </w:r>
      <w:r w:rsidR="00E54FB6" w:rsidRPr="00C44B4B">
        <w:rPr>
          <w:rFonts w:ascii="Calibri" w:hAnsi="Calibri" w:cs="Calibri"/>
          <w14:ligatures w14:val="standardContextual"/>
        </w:rPr>
        <w:t>ešeno naplatom potraživanja u 100% iznosa</w:t>
      </w:r>
      <w:r>
        <w:rPr>
          <w:rFonts w:ascii="Calibri" w:hAnsi="Calibri" w:cs="Calibri"/>
          <w14:ligatures w14:val="standardContextual"/>
        </w:rPr>
        <w:t xml:space="preserve">. </w:t>
      </w:r>
      <w:r w:rsidR="00E54FB6" w:rsidRPr="00C44B4B">
        <w:rPr>
          <w:rFonts w:ascii="Calibri" w:hAnsi="Calibri" w:cs="Calibri"/>
          <w14:ligatures w14:val="standardContextual"/>
        </w:rPr>
        <w:t>U 90</w:t>
      </w:r>
      <w:r>
        <w:rPr>
          <w:rFonts w:ascii="Calibri" w:hAnsi="Calibri" w:cs="Calibri"/>
          <w14:ligatures w14:val="standardContextual"/>
        </w:rPr>
        <w:t>-</w:t>
      </w:r>
      <w:r w:rsidR="00E54FB6" w:rsidRPr="00C44B4B">
        <w:rPr>
          <w:rFonts w:ascii="Calibri" w:hAnsi="Calibri" w:cs="Calibri"/>
          <w14:ligatures w14:val="standardContextual"/>
        </w:rPr>
        <w:t>95% slučajeva ner</w:t>
      </w:r>
      <w:r>
        <w:rPr>
          <w:rFonts w:ascii="Calibri" w:hAnsi="Calibri" w:cs="Calibri"/>
          <w14:ligatures w14:val="standardContextual"/>
        </w:rPr>
        <w:t>ij</w:t>
      </w:r>
      <w:r w:rsidR="00E54FB6" w:rsidRPr="00C44B4B">
        <w:rPr>
          <w:rFonts w:ascii="Calibri" w:hAnsi="Calibri" w:cs="Calibri"/>
          <w14:ligatures w14:val="standardContextual"/>
        </w:rPr>
        <w:t>ešeni predmeti su oni kod kojih izvršenje nije moguće zbog nepostojanja imovine izvršnog dužnika.</w:t>
      </w:r>
      <w:r w:rsidR="00A056D7">
        <w:rPr>
          <w:rFonts w:ascii="Calibri" w:hAnsi="Calibri" w:cs="Calibri"/>
          <w14:ligatures w14:val="standardContextual"/>
        </w:rPr>
        <w:t xml:space="preserve"> </w:t>
      </w:r>
      <w:r w:rsidR="00E54FB6" w:rsidRPr="00A056D7">
        <w:rPr>
          <w:rFonts w:ascii="Calibri" w:hAnsi="Calibri" w:cs="Calibri"/>
          <w14:ligatures w14:val="standardContextual"/>
        </w:rPr>
        <w:t xml:space="preserve">Postupci izvršenja na osnovu izvršnih isprava u </w:t>
      </w:r>
      <w:r w:rsidRPr="00A056D7">
        <w:rPr>
          <w:rFonts w:ascii="Calibri" w:hAnsi="Calibri" w:cs="Calibri"/>
          <w14:ligatures w14:val="standardContextual"/>
        </w:rPr>
        <w:t>prosjeku</w:t>
      </w:r>
      <w:r w:rsidR="00E54FB6" w:rsidRPr="00A056D7">
        <w:rPr>
          <w:rFonts w:ascii="Calibri" w:hAnsi="Calibri" w:cs="Calibri"/>
          <w14:ligatures w14:val="standardContextual"/>
        </w:rPr>
        <w:t xml:space="preserve"> su trajali 24 dana</w:t>
      </w:r>
      <w:r w:rsidRPr="00A056D7">
        <w:rPr>
          <w:rFonts w:ascii="Calibri" w:hAnsi="Calibri" w:cs="Calibri"/>
          <w14:ligatures w14:val="standardContextual"/>
        </w:rPr>
        <w:t>, a u predmetima u kojima je potraživanje</w:t>
      </w:r>
      <w:r w:rsidR="00E54FB6" w:rsidRPr="00A056D7">
        <w:rPr>
          <w:rFonts w:ascii="Calibri" w:hAnsi="Calibri" w:cs="Calibri"/>
          <w14:ligatures w14:val="standardContextual"/>
        </w:rPr>
        <w:t xml:space="preserve"> naplaćeno 100% </w:t>
      </w:r>
      <w:r w:rsidRPr="00A056D7">
        <w:rPr>
          <w:rFonts w:ascii="Calibri" w:hAnsi="Calibri" w:cs="Calibri"/>
          <w14:ligatures w14:val="standardContextual"/>
        </w:rPr>
        <w:t xml:space="preserve"> postupci su trajali prosječno </w:t>
      </w:r>
      <w:r w:rsidR="00E54FB6" w:rsidRPr="00A056D7">
        <w:rPr>
          <w:rFonts w:ascii="Calibri" w:hAnsi="Calibri" w:cs="Calibri"/>
          <w14:ligatures w14:val="standardContextual"/>
        </w:rPr>
        <w:t>21 dan.</w:t>
      </w:r>
      <w:r w:rsidR="00A056D7">
        <w:rPr>
          <w:rFonts w:ascii="Calibri" w:hAnsi="Calibri" w:cs="Calibri"/>
          <w14:ligatures w14:val="standardContextual"/>
        </w:rPr>
        <w:t xml:space="preserve"> </w:t>
      </w:r>
      <w:r w:rsidRPr="00A056D7">
        <w:rPr>
          <w:rFonts w:ascii="Calibri" w:hAnsi="Calibri" w:cs="Calibri"/>
          <w14:ligatures w14:val="standardContextual"/>
        </w:rPr>
        <w:t>Situacija je drugačija u postupcima</w:t>
      </w:r>
      <w:r w:rsidR="00E54FB6" w:rsidRPr="00A056D7">
        <w:rPr>
          <w:rFonts w:ascii="Calibri" w:hAnsi="Calibri" w:cs="Calibri"/>
          <w14:ligatures w14:val="standardContextual"/>
        </w:rPr>
        <w:t xml:space="preserve"> izvršenja na osnovu </w:t>
      </w:r>
      <w:r w:rsidRPr="00A056D7">
        <w:rPr>
          <w:rFonts w:ascii="Calibri" w:hAnsi="Calibri" w:cs="Calibri"/>
          <w14:ligatures w14:val="standardContextual"/>
        </w:rPr>
        <w:t>vjerodostojne</w:t>
      </w:r>
      <w:r w:rsidR="00E54FB6" w:rsidRPr="00A056D7">
        <w:rPr>
          <w:rFonts w:ascii="Calibri" w:hAnsi="Calibri" w:cs="Calibri"/>
          <w14:ligatures w14:val="standardContextual"/>
        </w:rPr>
        <w:t xml:space="preserve"> isprave i </w:t>
      </w:r>
      <w:r w:rsidRPr="00A056D7">
        <w:rPr>
          <w:rFonts w:ascii="Calibri" w:hAnsi="Calibri" w:cs="Calibri"/>
          <w14:ligatures w14:val="standardContextual"/>
        </w:rPr>
        <w:t>mjenice</w:t>
      </w:r>
      <w:r w:rsidR="00E54FB6" w:rsidRPr="00A056D7">
        <w:rPr>
          <w:rFonts w:ascii="Calibri" w:hAnsi="Calibri" w:cs="Calibri"/>
          <w14:ligatures w14:val="standardContextual"/>
        </w:rPr>
        <w:t xml:space="preserve"> </w:t>
      </w:r>
      <w:r w:rsidRPr="00A056D7">
        <w:rPr>
          <w:rFonts w:ascii="Calibri" w:hAnsi="Calibri" w:cs="Calibri"/>
          <w14:ligatures w14:val="standardContextual"/>
        </w:rPr>
        <w:t xml:space="preserve">gdje je prosječno trajanje bilo </w:t>
      </w:r>
      <w:r w:rsidR="00E54FB6" w:rsidRPr="00A056D7">
        <w:rPr>
          <w:rFonts w:ascii="Calibri" w:hAnsi="Calibri" w:cs="Calibri"/>
          <w14:ligatures w14:val="standardContextual"/>
        </w:rPr>
        <w:t xml:space="preserve">57 dana ako nije izjavljen prigovor, </w:t>
      </w:r>
      <w:r w:rsidRPr="00A056D7">
        <w:rPr>
          <w:rFonts w:ascii="Calibri" w:hAnsi="Calibri" w:cs="Calibri"/>
          <w14:ligatures w14:val="standardContextual"/>
        </w:rPr>
        <w:t xml:space="preserve">odnosno </w:t>
      </w:r>
      <w:r w:rsidR="00E54FB6" w:rsidRPr="00A056D7">
        <w:rPr>
          <w:rFonts w:ascii="Calibri" w:hAnsi="Calibri" w:cs="Calibri"/>
          <w14:ligatures w14:val="standardContextual"/>
        </w:rPr>
        <w:t>132 dana ako je izjavljen prigovor</w:t>
      </w:r>
      <w:r w:rsidRPr="00A056D7">
        <w:rPr>
          <w:rFonts w:ascii="Calibri" w:hAnsi="Calibri" w:cs="Calibri"/>
          <w14:ligatures w14:val="standardContextual"/>
        </w:rPr>
        <w:t xml:space="preserve"> (</w:t>
      </w:r>
      <w:r w:rsidR="00E54FB6" w:rsidRPr="00A056D7">
        <w:rPr>
          <w:rFonts w:ascii="Calibri" w:hAnsi="Calibri" w:cs="Calibri"/>
          <w14:ligatures w14:val="standardContextual"/>
        </w:rPr>
        <w:t xml:space="preserve">60 dana ukupno </w:t>
      </w:r>
      <w:r w:rsidRPr="00A056D7">
        <w:rPr>
          <w:rFonts w:ascii="Calibri" w:hAnsi="Calibri" w:cs="Calibri"/>
          <w14:ligatures w14:val="standardContextual"/>
        </w:rPr>
        <w:lastRenderedPageBreak/>
        <w:t>prosječno</w:t>
      </w:r>
      <w:r w:rsidR="00E54FB6" w:rsidRPr="00A056D7">
        <w:rPr>
          <w:rFonts w:ascii="Calibri" w:hAnsi="Calibri" w:cs="Calibri"/>
          <w14:ligatures w14:val="standardContextual"/>
        </w:rPr>
        <w:t xml:space="preserve"> trajanje</w:t>
      </w:r>
      <w:r w:rsidRPr="00A056D7">
        <w:rPr>
          <w:rFonts w:ascii="Calibri" w:hAnsi="Calibri" w:cs="Calibri"/>
          <w14:ligatures w14:val="standardContextual"/>
        </w:rPr>
        <w:t>) budući da su p</w:t>
      </w:r>
      <w:r w:rsidR="00E54FB6" w:rsidRPr="009A613C">
        <w:rPr>
          <w:lang w:eastAsia="en-GB"/>
        </w:rPr>
        <w:t xml:space="preserve">rigovori izjavljeni u samo 1,87% predmeta, </w:t>
      </w:r>
      <w:r>
        <w:rPr>
          <w:lang w:eastAsia="en-GB"/>
        </w:rPr>
        <w:t xml:space="preserve">te da je </w:t>
      </w:r>
      <w:r w:rsidR="00E54FB6" w:rsidRPr="009A613C">
        <w:rPr>
          <w:lang w:eastAsia="en-GB"/>
        </w:rPr>
        <w:t xml:space="preserve">46,97% </w:t>
      </w:r>
      <w:r>
        <w:rPr>
          <w:lang w:eastAsia="en-GB"/>
        </w:rPr>
        <w:t>p</w:t>
      </w:r>
      <w:r w:rsidR="00E54FB6" w:rsidRPr="009A613C">
        <w:rPr>
          <w:lang w:eastAsia="en-GB"/>
        </w:rPr>
        <w:t>rigovora usvojeno</w:t>
      </w:r>
      <w:r>
        <w:rPr>
          <w:lang w:eastAsia="en-GB"/>
        </w:rPr>
        <w:t>.</w:t>
      </w:r>
      <w:r w:rsidR="009C6E0F">
        <w:rPr>
          <w:lang w:eastAsia="en-GB"/>
        </w:rPr>
        <w:t xml:space="preserve"> I pored zadovoljavajućih rezultata, preostali, neriješeni</w:t>
      </w:r>
      <w:r w:rsidR="00581B3B">
        <w:rPr>
          <w:lang w:eastAsia="en-GB"/>
        </w:rPr>
        <w:t xml:space="preserve"> </w:t>
      </w:r>
      <w:r w:rsidR="009C6E0F">
        <w:rPr>
          <w:lang w:eastAsia="en-GB"/>
        </w:rPr>
        <w:t xml:space="preserve">predmeti na godišnjem nivou </w:t>
      </w:r>
      <w:r w:rsidR="00E270E5">
        <w:rPr>
          <w:lang w:eastAsia="en-GB"/>
        </w:rPr>
        <w:t>po</w:t>
      </w:r>
      <w:r w:rsidR="003D0AE7">
        <w:rPr>
          <w:lang w:val="en-GB" w:eastAsia="en-GB"/>
        </w:rPr>
        <w:t>stepeno</w:t>
      </w:r>
      <w:r w:rsidR="003D0AE7" w:rsidRPr="00F5656C">
        <w:rPr>
          <w:lang w:eastAsia="en-GB"/>
        </w:rPr>
        <w:t xml:space="preserve"> </w:t>
      </w:r>
      <w:r w:rsidR="003D0AE7">
        <w:rPr>
          <w:lang w:eastAsia="en-GB"/>
        </w:rPr>
        <w:t>kumuliraju</w:t>
      </w:r>
      <w:r w:rsidR="009C6E0F">
        <w:rPr>
          <w:lang w:eastAsia="en-GB"/>
        </w:rPr>
        <w:t xml:space="preserve"> značajniji broj neriješenih predmeta. </w:t>
      </w:r>
      <w:r w:rsidR="00581B3B">
        <w:rPr>
          <w:lang w:eastAsia="en-GB"/>
        </w:rPr>
        <w:t xml:space="preserve">Kada je riječ o </w:t>
      </w:r>
      <w:r w:rsidR="00581B3B">
        <w:rPr>
          <w:b/>
          <w:bCs/>
          <w:i/>
          <w:iCs/>
          <w:lang w:eastAsia="en-GB"/>
        </w:rPr>
        <w:t>postupanju</w:t>
      </w:r>
      <w:r w:rsidR="00581B3B" w:rsidRPr="00581B3B">
        <w:rPr>
          <w:b/>
          <w:bCs/>
          <w:i/>
          <w:iCs/>
          <w:lang w:eastAsia="en-GB"/>
        </w:rPr>
        <w:t xml:space="preserve"> sudova u predmetima izvršenja</w:t>
      </w:r>
      <w:r w:rsidR="00581B3B">
        <w:rPr>
          <w:lang w:eastAsia="en-GB"/>
        </w:rPr>
        <w:t>, osnovni sudovi i Privredni sud u analiziranom periodu riješili su 90,57% predmeta na osnovu izvršnih isprava i 76,75% predmeta na osnovu vjerodostojne izjave ili mjenice. Ohrabrujući je podatak da su sudovi čak 92,54% predmeta riješili u roku kraćem od tri mjeseca, što predstavlja napredak u odnosu na prethodni period.</w:t>
      </w:r>
    </w:p>
    <w:p w14:paraId="22FDEE0D" w14:textId="6B8323FB" w:rsidR="00AB3CD8" w:rsidRDefault="005E68C2" w:rsidP="00F5656C">
      <w:pPr>
        <w:pStyle w:val="ListParagraph"/>
        <w:numPr>
          <w:ilvl w:val="0"/>
          <w:numId w:val="13"/>
        </w:numPr>
        <w:spacing w:line="276" w:lineRule="auto"/>
        <w:ind w:left="714" w:hanging="357"/>
        <w:contextualSpacing w:val="0"/>
        <w:jc w:val="both"/>
        <w:rPr>
          <w:rFonts w:cstheme="minorHAnsi"/>
          <w:lang w:eastAsia="en-GB"/>
        </w:rPr>
      </w:pPr>
      <w:r w:rsidRPr="005E68C2">
        <w:rPr>
          <w:rFonts w:cstheme="minorHAnsi"/>
          <w:b/>
          <w:bCs/>
          <w:lang w:eastAsia="en-GB"/>
        </w:rPr>
        <w:t>Kada je riječ o f</w:t>
      </w:r>
      <w:r w:rsidR="00A056D7" w:rsidRPr="005E68C2">
        <w:rPr>
          <w:rFonts w:cstheme="minorHAnsi"/>
          <w:b/>
          <w:bCs/>
          <w:lang w:eastAsia="en-GB"/>
        </w:rPr>
        <w:t>unkcionisanj</w:t>
      </w:r>
      <w:r w:rsidRPr="005E68C2">
        <w:rPr>
          <w:rFonts w:cstheme="minorHAnsi"/>
          <w:b/>
          <w:bCs/>
          <w:lang w:eastAsia="en-GB"/>
        </w:rPr>
        <w:t>u</w:t>
      </w:r>
      <w:r w:rsidR="00A056D7" w:rsidRPr="005E68C2">
        <w:rPr>
          <w:rFonts w:cstheme="minorHAnsi"/>
          <w:b/>
          <w:bCs/>
          <w:lang w:eastAsia="en-GB"/>
        </w:rPr>
        <w:t xml:space="preserve"> sistema notarijata</w:t>
      </w:r>
      <w:r w:rsidR="00A056D7" w:rsidRPr="005E68C2">
        <w:rPr>
          <w:rFonts w:cstheme="minorHAnsi"/>
          <w:lang w:eastAsia="en-GB"/>
        </w:rPr>
        <w:t xml:space="preserve"> u Crnoj Gori</w:t>
      </w:r>
      <w:r w:rsidRPr="005E68C2">
        <w:rPr>
          <w:rFonts w:cstheme="minorHAnsi"/>
          <w:lang w:eastAsia="en-GB"/>
        </w:rPr>
        <w:t xml:space="preserve"> tokom 2022. godine notarima je </w:t>
      </w:r>
      <w:r w:rsidR="00E54FB6" w:rsidRPr="005E68C2">
        <w:rPr>
          <w:rFonts w:cstheme="minorHAnsi"/>
        </w:rPr>
        <w:t>povjeren u rad 8561 ostavinski predmet</w:t>
      </w:r>
      <w:r w:rsidRPr="005E68C2">
        <w:rPr>
          <w:rFonts w:cstheme="minorHAnsi"/>
        </w:rPr>
        <w:t>, od čega je</w:t>
      </w:r>
      <w:r w:rsidR="00E54FB6" w:rsidRPr="005E68C2">
        <w:rPr>
          <w:rFonts w:cstheme="minorHAnsi"/>
        </w:rPr>
        <w:t xml:space="preserve"> sudu vraćen 21 predmet ili 0,24%, zbog nenadležnosti notara za postupanje u tim predmeta, dok je uspješno riješeno 6</w:t>
      </w:r>
      <w:r w:rsidRPr="005E68C2">
        <w:rPr>
          <w:rFonts w:cstheme="minorHAnsi"/>
        </w:rPr>
        <w:t>.</w:t>
      </w:r>
      <w:r w:rsidR="00E54FB6" w:rsidRPr="005E68C2">
        <w:rPr>
          <w:rFonts w:cstheme="minorHAnsi"/>
        </w:rPr>
        <w:t>148 ili 71,99%, tako da je ostalo neriješeno 2</w:t>
      </w:r>
      <w:r w:rsidRPr="005E68C2">
        <w:rPr>
          <w:rFonts w:cstheme="minorHAnsi"/>
        </w:rPr>
        <w:t>.</w:t>
      </w:r>
      <w:r w:rsidR="00E54FB6" w:rsidRPr="005E68C2">
        <w:rPr>
          <w:rFonts w:cstheme="minorHAnsi"/>
        </w:rPr>
        <w:t>391 predmet ili 27,99% od ukupnog broja povjerenih predmeta. Riječ je o prilično visokom procentu riješenih predmeta koji, iako nešto niži u odnosu na prethodni period kada je iznosio 75,48%, upućuje na zaključak da su ostavinski predmeti u posmatranom periodu uspješno rješavani, te da u tom smislu treba održati kontinuitet u postupanju, te uložiti dodatne napore kako bi broj okončanih postupaka u narednom periodu bio još veći.</w:t>
      </w:r>
      <w:r w:rsidRPr="005E68C2">
        <w:rPr>
          <w:rFonts w:cstheme="minorHAnsi"/>
        </w:rPr>
        <w:t xml:space="preserve"> </w:t>
      </w:r>
      <w:r w:rsidR="00E54FB6" w:rsidRPr="005E68C2">
        <w:rPr>
          <w:rFonts w:cstheme="minorHAnsi"/>
        </w:rPr>
        <w:t xml:space="preserve">U pretežnom broju povjerenih ostavinskih predmeta postupak raspravljanja zaostavštine okončan je u zakonskom roku od 60 dana. Razlozi za prekoračenje navedenog roka u pojedinim povjerenim ostavinskim predmetima, prema dostavljenim podacima, u </w:t>
      </w:r>
      <w:r w:rsidRPr="005E68C2">
        <w:rPr>
          <w:rFonts w:cstheme="minorHAnsi"/>
        </w:rPr>
        <w:t>bitnom</w:t>
      </w:r>
      <w:r w:rsidR="00E54FB6" w:rsidRPr="005E68C2">
        <w:rPr>
          <w:rFonts w:cstheme="minorHAnsi"/>
        </w:rPr>
        <w:t xml:space="preserve"> su se odnosili na teškoće u vezi sa sprovođenjem ostavinskog postupka usljed situacije izazvane pandemijom virusa COVID 19,</w:t>
      </w:r>
      <w:r w:rsidRPr="005E68C2">
        <w:rPr>
          <w:rFonts w:cstheme="minorHAnsi"/>
        </w:rPr>
        <w:t xml:space="preserve"> </w:t>
      </w:r>
      <w:r w:rsidR="00E54FB6" w:rsidRPr="005E68C2">
        <w:rPr>
          <w:rFonts w:cstheme="minorHAnsi"/>
        </w:rPr>
        <w:t>dok su preostali procesne prirode i najčešće se odnose na: nepotpune podatke u smrtovnicama (neprecizne adrese o nasljednicima itd.); nepotpunu dokumentaciju i teškoće u njenom pribavljanju (podaci iz katastra nepokretnosti i drugi potrebni podaci); nemogućnost urednog dostavljanja poziva i drugih akata učesnicima u ostavinskom postupku (izbjegavanje prijema poziva, netačne adrese itd.); prekogranično dostavljanje poziva i drugih akata itd.  Dakle, radi se o objektivnim okolnostima na koje notari nisu bili u mogućnosti da utiču. I pored toga, u narednom periodu treba intenzivirati preduzimanje svih odgovarajućih zakonom propisanih radnji sa ciljem uspješnog rješavanja svih povjerenih ostavinskih predmeta, a naročito onih koji datiraju iz ranijeg perioda. Što se tiče prigovora izjavljenih protiv rješenja notara donesenih u ostavinskom postupku može se konstatovati da je u posmatranom periodu izjavljen vrlo mali broj prigovora - 39, tako da je njihov procenat, posmatrano prema broju završenih predmeta, izuzetno nizak i iznosi 0,63%. Mali broj izjavljenih prigovora govori u prilog činjenici da su građani zadovoljni postupanjem notara i da imaju visok nivo povjerenja u njihov rad.</w:t>
      </w:r>
      <w:r w:rsidR="00202B06">
        <w:rPr>
          <w:rFonts w:cstheme="minorHAnsi"/>
        </w:rPr>
        <w:t xml:space="preserve"> Ipak, za dalje unapređenje efikasnosti rada notara, potrebno je uložiti dodatne napore za otklanjanje izazova </w:t>
      </w:r>
      <w:r w:rsidR="007C1AE7">
        <w:rPr>
          <w:rFonts w:cstheme="minorHAnsi"/>
        </w:rPr>
        <w:t>povezanih</w:t>
      </w:r>
      <w:r w:rsidR="00202B06">
        <w:rPr>
          <w:rFonts w:cstheme="minorHAnsi"/>
        </w:rPr>
        <w:t xml:space="preserve"> sa ograničenim mogućnostima direktnog pristupa relevantnim bazama podataka u realnom vremenu. </w:t>
      </w:r>
    </w:p>
    <w:p w14:paraId="3A07B7A7" w14:textId="1D40A17D" w:rsidR="00AB3CD8" w:rsidRPr="005C4299" w:rsidRDefault="00ED7CDB" w:rsidP="005C4299">
      <w:pPr>
        <w:pStyle w:val="ListParagraph"/>
        <w:numPr>
          <w:ilvl w:val="0"/>
          <w:numId w:val="13"/>
        </w:numPr>
        <w:spacing w:line="276" w:lineRule="auto"/>
        <w:jc w:val="both"/>
        <w:rPr>
          <w:rFonts w:cstheme="minorHAnsi"/>
          <w:lang w:eastAsia="en-GB"/>
        </w:rPr>
      </w:pPr>
      <w:r>
        <w:rPr>
          <w:rFonts w:cstheme="minorHAnsi"/>
        </w:rPr>
        <w:t xml:space="preserve">Uslijed zakonskih ograničenja u pogledu </w:t>
      </w:r>
      <w:r w:rsidR="00D72BAF">
        <w:rPr>
          <w:rFonts w:cstheme="minorHAnsi"/>
        </w:rPr>
        <w:t xml:space="preserve">statusa, stručnosti, </w:t>
      </w:r>
      <w:r>
        <w:rPr>
          <w:rFonts w:cstheme="minorHAnsi"/>
        </w:rPr>
        <w:t>naknada</w:t>
      </w:r>
      <w:r w:rsidR="004E2978">
        <w:rPr>
          <w:rFonts w:cstheme="minorHAnsi"/>
        </w:rPr>
        <w:t xml:space="preserve"> </w:t>
      </w:r>
      <w:r w:rsidR="00D72BAF">
        <w:rPr>
          <w:rFonts w:cstheme="minorHAnsi"/>
        </w:rPr>
        <w:t xml:space="preserve">za rad i mehanizama odgovornosti, </w:t>
      </w:r>
      <w:r>
        <w:rPr>
          <w:rFonts w:cstheme="minorHAnsi"/>
        </w:rPr>
        <w:t>u praksi veliki izazov predstavlja nemotivisanost sudskih vještaka da prihvataju predmete, naročito u udaljenim sudovima koji zahtijevaju putovanja na ročišta</w:t>
      </w:r>
      <w:r w:rsidR="00D72BAF">
        <w:rPr>
          <w:rFonts w:cstheme="minorHAnsi"/>
        </w:rPr>
        <w:t>, ali i</w:t>
      </w:r>
      <w:r>
        <w:rPr>
          <w:rFonts w:cstheme="minorHAnsi"/>
        </w:rPr>
        <w:t xml:space="preserve"> </w:t>
      </w:r>
      <w:r w:rsidR="00D72BAF">
        <w:rPr>
          <w:rFonts w:cstheme="minorHAnsi"/>
        </w:rPr>
        <w:t xml:space="preserve">preveliko </w:t>
      </w:r>
      <w:r>
        <w:rPr>
          <w:rFonts w:cstheme="minorHAnsi"/>
        </w:rPr>
        <w:t>opterećenje</w:t>
      </w:r>
      <w:r w:rsidR="00D72BAF">
        <w:rPr>
          <w:rFonts w:cstheme="minorHAnsi"/>
        </w:rPr>
        <w:t xml:space="preserve"> brojem predmeta</w:t>
      </w:r>
      <w:r>
        <w:rPr>
          <w:rFonts w:cstheme="minorHAnsi"/>
        </w:rPr>
        <w:t xml:space="preserve"> i neefikasno</w:t>
      </w:r>
      <w:r w:rsidR="00D72BAF">
        <w:rPr>
          <w:rFonts w:cstheme="minorHAnsi"/>
        </w:rPr>
        <w:t>st</w:t>
      </w:r>
      <w:r>
        <w:rPr>
          <w:rFonts w:cstheme="minorHAnsi"/>
        </w:rPr>
        <w:t xml:space="preserve"> rada pojedinih vještaka</w:t>
      </w:r>
      <w:r w:rsidR="00D72BAF">
        <w:rPr>
          <w:rFonts w:cstheme="minorHAnsi"/>
        </w:rPr>
        <w:t>, što negativno utiče na efikasnost sudskih postupaka.</w:t>
      </w:r>
    </w:p>
    <w:p w14:paraId="76342960" w14:textId="77777777" w:rsidR="005E68C2" w:rsidRPr="005E68C2" w:rsidRDefault="005E68C2" w:rsidP="005E68C2">
      <w:pPr>
        <w:pStyle w:val="ListParagraph"/>
        <w:spacing w:line="276" w:lineRule="auto"/>
        <w:jc w:val="both"/>
        <w:rPr>
          <w:rFonts w:cstheme="minorHAnsi"/>
          <w:lang w:eastAsia="en-GB"/>
        </w:rPr>
      </w:pPr>
    </w:p>
    <w:p w14:paraId="60558CCC" w14:textId="3C75E361" w:rsidR="004F212C" w:rsidRPr="009A613C" w:rsidRDefault="004F212C">
      <w:pPr>
        <w:pStyle w:val="Heading2"/>
        <w:numPr>
          <w:ilvl w:val="0"/>
          <w:numId w:val="12"/>
        </w:numPr>
        <w:spacing w:after="240"/>
        <w:jc w:val="center"/>
        <w:rPr>
          <w:rFonts w:cstheme="minorHAnsi"/>
        </w:rPr>
      </w:pPr>
      <w:bookmarkStart w:id="22" w:name="_Toc156937950"/>
      <w:r>
        <w:lastRenderedPageBreak/>
        <w:t>D</w:t>
      </w:r>
      <w:r w:rsidRPr="009A613C">
        <w:t>ostupnost pravde, transparentnost i povjerenj</w:t>
      </w:r>
      <w:r>
        <w:t>e</w:t>
      </w:r>
      <w:r w:rsidRPr="009A613C">
        <w:t xml:space="preserve"> u pravosuđe</w:t>
      </w:r>
      <w:bookmarkEnd w:id="22"/>
    </w:p>
    <w:p w14:paraId="76268DAC" w14:textId="537FF567" w:rsidR="00202B06" w:rsidRDefault="00202B06" w:rsidP="00313A2C">
      <w:pPr>
        <w:autoSpaceDE w:val="0"/>
        <w:autoSpaceDN w:val="0"/>
        <w:adjustRightInd w:val="0"/>
        <w:spacing w:after="120" w:line="276" w:lineRule="auto"/>
        <w:jc w:val="both"/>
        <w:rPr>
          <w:rFonts w:cstheme="minorHAnsi"/>
        </w:rPr>
      </w:pPr>
      <w:r>
        <w:rPr>
          <w:rFonts w:cstheme="minorHAnsi"/>
        </w:rPr>
        <w:t xml:space="preserve">Bitan element </w:t>
      </w:r>
      <w:r w:rsidRPr="00202B06">
        <w:rPr>
          <w:rFonts w:cstheme="minorHAnsi"/>
          <w:b/>
          <w:bCs/>
        </w:rPr>
        <w:t>dostupnosti pravde</w:t>
      </w:r>
      <w:r>
        <w:rPr>
          <w:rFonts w:cstheme="minorHAnsi"/>
        </w:rPr>
        <w:t xml:space="preserve"> za građane Crne Gore ogleda se u omogućavanju procesni</w:t>
      </w:r>
      <w:r w:rsidR="004E2978">
        <w:rPr>
          <w:rFonts w:cstheme="minorHAnsi"/>
        </w:rPr>
        <w:t>h</w:t>
      </w:r>
      <w:r>
        <w:rPr>
          <w:rFonts w:cstheme="minorHAnsi"/>
        </w:rPr>
        <w:t xml:space="preserve"> i infrastrukturnih pretpostavki za pristup pravdi i procesnu zaštitu naročito osjetljivih kategorija građana poput žrtava krivičnih djela, djece u kontaktu sa zakonom i lica sa invaliditetom.</w:t>
      </w:r>
    </w:p>
    <w:p w14:paraId="12F40700" w14:textId="1522A4D5" w:rsidR="00202B06" w:rsidRPr="00E270E5" w:rsidRDefault="00202B06" w:rsidP="00313A2C">
      <w:pPr>
        <w:autoSpaceDE w:val="0"/>
        <w:autoSpaceDN w:val="0"/>
        <w:adjustRightInd w:val="0"/>
        <w:spacing w:after="120" w:line="276" w:lineRule="auto"/>
        <w:jc w:val="both"/>
        <w:rPr>
          <w:rFonts w:cstheme="minorHAnsi"/>
        </w:rPr>
      </w:pPr>
      <w:r w:rsidRPr="00F5656C">
        <w:rPr>
          <w:rFonts w:cstheme="minorHAnsi"/>
        </w:rPr>
        <w:t xml:space="preserve">U pogledu </w:t>
      </w:r>
      <w:r w:rsidRPr="00F5656C">
        <w:rPr>
          <w:rFonts w:cstheme="minorHAnsi"/>
          <w:b/>
          <w:bCs/>
          <w:i/>
          <w:iCs/>
        </w:rPr>
        <w:t xml:space="preserve">pristupa pravdi </w:t>
      </w:r>
      <w:r w:rsidRPr="00F5656C">
        <w:rPr>
          <w:rFonts w:cstheme="minorHAnsi"/>
          <w:b/>
          <w:bCs/>
          <w:i/>
          <w:iCs/>
          <w:lang w:val="it-IT"/>
        </w:rPr>
        <w:t>za</w:t>
      </w:r>
      <w:r w:rsidRPr="00F5656C">
        <w:rPr>
          <w:rFonts w:cstheme="minorHAnsi"/>
          <w:b/>
          <w:bCs/>
          <w:i/>
          <w:iCs/>
        </w:rPr>
        <w:t xml:space="preserve"> ž</w:t>
      </w:r>
      <w:r w:rsidRPr="00F5656C">
        <w:rPr>
          <w:rFonts w:cstheme="minorHAnsi"/>
          <w:b/>
          <w:bCs/>
          <w:i/>
          <w:iCs/>
          <w:lang w:val="it-IT"/>
        </w:rPr>
        <w:t>rtve</w:t>
      </w:r>
      <w:r w:rsidRPr="00F5656C">
        <w:rPr>
          <w:rFonts w:cstheme="minorHAnsi"/>
          <w:b/>
          <w:bCs/>
          <w:i/>
          <w:iCs/>
        </w:rPr>
        <w:t xml:space="preserve"> krivičnih djela</w:t>
      </w:r>
      <w:r w:rsidRPr="00F5656C">
        <w:rPr>
          <w:rFonts w:cstheme="minorHAnsi"/>
        </w:rPr>
        <w:t>,</w:t>
      </w:r>
      <w:r w:rsidRPr="00E270E5">
        <w:rPr>
          <w:rFonts w:cstheme="minorHAnsi"/>
        </w:rPr>
        <w:t xml:space="preserve"> </w:t>
      </w:r>
      <w:r w:rsidRPr="00F5656C">
        <w:rPr>
          <w:rFonts w:cstheme="minorHAnsi"/>
        </w:rPr>
        <w:t>zaht</w:t>
      </w:r>
      <w:r w:rsidR="00417C1D" w:rsidRPr="00F5656C">
        <w:rPr>
          <w:rFonts w:cstheme="minorHAnsi"/>
        </w:rPr>
        <w:t>ij</w:t>
      </w:r>
      <w:r w:rsidRPr="00F5656C">
        <w:rPr>
          <w:rFonts w:cstheme="minorHAnsi"/>
        </w:rPr>
        <w:t xml:space="preserve">evni i brzorastući </w:t>
      </w:r>
      <w:r w:rsidR="00417C1D" w:rsidRPr="00F5656C">
        <w:rPr>
          <w:rFonts w:cstheme="minorHAnsi"/>
        </w:rPr>
        <w:t>međunarodni</w:t>
      </w:r>
      <w:r w:rsidRPr="00F5656C">
        <w:rPr>
          <w:rFonts w:cstheme="minorHAnsi"/>
        </w:rPr>
        <w:t xml:space="preserve"> standardi u ovoj oblasti </w:t>
      </w:r>
      <w:r w:rsidR="00417C1D" w:rsidRPr="00F5656C">
        <w:rPr>
          <w:rFonts w:cstheme="minorHAnsi"/>
        </w:rPr>
        <w:t>zahtijevaju</w:t>
      </w:r>
      <w:r w:rsidRPr="00E270E5">
        <w:rPr>
          <w:rFonts w:cstheme="minorHAnsi"/>
        </w:rPr>
        <w:t xml:space="preserve"> s</w:t>
      </w:r>
      <w:r w:rsidR="00417C1D" w:rsidRPr="00E270E5">
        <w:rPr>
          <w:rFonts w:cstheme="minorHAnsi"/>
        </w:rPr>
        <w:t xml:space="preserve">istemski i strateški pristup unaprjeđenju normativnog okvira, uspostavljanju procedura postupanja sa žrtvama počev od prvog kontakta sa organima postupka, uspostavljanje službi podrške žrtvama na čitavoj teritoriji Crne Gore, </w:t>
      </w:r>
      <w:r w:rsidR="00417C1D" w:rsidRPr="00F5656C">
        <w:rPr>
          <w:rFonts w:cstheme="minorHAnsi"/>
        </w:rPr>
        <w:t>sveobuhvatan pristup obukama nosilaca pravosudnih funkcija</w:t>
      </w:r>
      <w:r w:rsidR="00417C1D" w:rsidRPr="00E270E5">
        <w:rPr>
          <w:rFonts w:cstheme="minorHAnsi"/>
        </w:rPr>
        <w:t xml:space="preserve">, kao i omogućavanje infrastrukturnih pretpostavki procesne zaštite u skladu sa Direktivom (2012)029EU. </w:t>
      </w:r>
    </w:p>
    <w:p w14:paraId="212F0C75" w14:textId="6EF644B6" w:rsidR="00417C1D" w:rsidRDefault="00417C1D" w:rsidP="00313A2C">
      <w:pPr>
        <w:autoSpaceDE w:val="0"/>
        <w:autoSpaceDN w:val="0"/>
        <w:adjustRightInd w:val="0"/>
        <w:spacing w:after="120" w:line="276" w:lineRule="auto"/>
        <w:jc w:val="both"/>
        <w:rPr>
          <w:rFonts w:cstheme="minorHAnsi"/>
        </w:rPr>
      </w:pPr>
      <w:r w:rsidRPr="00F5656C">
        <w:rPr>
          <w:rFonts w:cstheme="minorHAnsi"/>
        </w:rPr>
        <w:t xml:space="preserve">Kada je riječ o </w:t>
      </w:r>
      <w:r w:rsidRPr="00F5656C">
        <w:rPr>
          <w:rFonts w:cstheme="minorHAnsi"/>
          <w:b/>
          <w:bCs/>
          <w:i/>
          <w:iCs/>
        </w:rPr>
        <w:t>pristupu pravdi za d</w:t>
      </w:r>
      <w:r w:rsidR="004E2978">
        <w:rPr>
          <w:rFonts w:cstheme="minorHAnsi"/>
          <w:b/>
          <w:bCs/>
          <w:i/>
          <w:iCs/>
        </w:rPr>
        <w:t>j</w:t>
      </w:r>
      <w:r w:rsidRPr="00F5656C">
        <w:rPr>
          <w:rFonts w:cstheme="minorHAnsi"/>
          <w:b/>
          <w:bCs/>
          <w:i/>
          <w:iCs/>
        </w:rPr>
        <w:t>ecu u kontaktu sa zakonom</w:t>
      </w:r>
      <w:r w:rsidRPr="00F5656C">
        <w:rPr>
          <w:rFonts w:cstheme="minorHAnsi"/>
        </w:rPr>
        <w:t>, iako započete, izmjene zakonskog okvira nisu okončane, što odlaže i sveobuhvatniji pristup obukama koji će biti neophodan radi unaprjeđenja znanja nosilaca pravosudnih funkcija, advokata i policije</w:t>
      </w:r>
      <w:r w:rsidRPr="00E270E5">
        <w:rPr>
          <w:rFonts w:cstheme="minorHAnsi"/>
        </w:rPr>
        <w:t>.</w:t>
      </w:r>
      <w:r>
        <w:rPr>
          <w:rFonts w:cstheme="minorHAnsi"/>
        </w:rPr>
        <w:t xml:space="preserve"> Isto važi i za omogućavanje infrastrukturnih preduslova za zaštitu maloljetnih žrtava i svjedoka za čije ispitivanje su prilagođene prostorije samo u malom broju crnogorskih sudova i tužilaštava. Ispitivanje putem video linka takođe nije moguće u svim sudovima i tužilaštvima uslijed manjka adekvatne opreme.</w:t>
      </w:r>
    </w:p>
    <w:p w14:paraId="1B1E3034" w14:textId="78B81038" w:rsidR="00417C1D" w:rsidRPr="00202B06" w:rsidRDefault="00417C1D" w:rsidP="00313A2C">
      <w:pPr>
        <w:autoSpaceDE w:val="0"/>
        <w:autoSpaceDN w:val="0"/>
        <w:adjustRightInd w:val="0"/>
        <w:spacing w:after="120" w:line="276" w:lineRule="auto"/>
        <w:jc w:val="both"/>
        <w:rPr>
          <w:rFonts w:cstheme="minorHAnsi"/>
        </w:rPr>
      </w:pPr>
      <w:r>
        <w:rPr>
          <w:rFonts w:cstheme="minorHAnsi"/>
        </w:rPr>
        <w:t xml:space="preserve">Pristup pravdi za </w:t>
      </w:r>
      <w:r w:rsidRPr="00417C1D">
        <w:rPr>
          <w:rFonts w:cstheme="minorHAnsi"/>
          <w:b/>
          <w:bCs/>
          <w:i/>
          <w:iCs/>
        </w:rPr>
        <w:t>lica sa invaliditetom</w:t>
      </w:r>
      <w:r>
        <w:rPr>
          <w:rFonts w:cstheme="minorHAnsi"/>
        </w:rPr>
        <w:t xml:space="preserve"> u velikoj mjeri je uslovljen, s jedne strane adekvatnom pravosudnom infrastrukturom ali i nivoom svijesti o potrebama ove kategorije građana. Imajući ovo u vidu, samo u malom broju nedavno adaptirani</w:t>
      </w:r>
      <w:r w:rsidR="00802A44">
        <w:rPr>
          <w:rFonts w:cstheme="minorHAnsi"/>
        </w:rPr>
        <w:t>h</w:t>
      </w:r>
      <w:r>
        <w:rPr>
          <w:rFonts w:cstheme="minorHAnsi"/>
        </w:rPr>
        <w:t xml:space="preserve"> objekata pravosudne infrastrukture omogućeni su fizički pristup (liftovi i rampe) ili informacije (zvučne i table na Brajevoj azbuci) za lica sa invaliditetom.</w:t>
      </w:r>
    </w:p>
    <w:p w14:paraId="5BC16658" w14:textId="48533BBD" w:rsidR="00417C1D" w:rsidRDefault="004F212C" w:rsidP="00313A2C">
      <w:pPr>
        <w:autoSpaceDE w:val="0"/>
        <w:autoSpaceDN w:val="0"/>
        <w:adjustRightInd w:val="0"/>
        <w:spacing w:after="120" w:line="276" w:lineRule="auto"/>
        <w:jc w:val="both"/>
        <w:rPr>
          <w:rFonts w:cstheme="minorHAnsi"/>
        </w:rPr>
      </w:pPr>
      <w:r w:rsidRPr="00417C1D">
        <w:rPr>
          <w:rFonts w:cstheme="minorHAnsi"/>
          <w:b/>
          <w:bCs/>
          <w:i/>
          <w:iCs/>
        </w:rPr>
        <w:t>Sistem besplatne pravne</w:t>
      </w:r>
      <w:r w:rsidRPr="009A613C">
        <w:rPr>
          <w:rFonts w:cstheme="minorHAnsi"/>
          <w:b/>
          <w:bCs/>
        </w:rPr>
        <w:t xml:space="preserve"> pomoći</w:t>
      </w:r>
      <w:r w:rsidRPr="009A613C">
        <w:rPr>
          <w:rFonts w:cstheme="minorHAnsi"/>
        </w:rPr>
        <w:t xml:space="preserve"> funkcioniše bez većih poteškoća</w:t>
      </w:r>
      <w:r w:rsidR="00802A44">
        <w:rPr>
          <w:rFonts w:cstheme="minorHAnsi"/>
        </w:rPr>
        <w:t>,</w:t>
      </w:r>
      <w:r w:rsidRPr="009A613C">
        <w:rPr>
          <w:rFonts w:cstheme="minorHAnsi"/>
        </w:rPr>
        <w:t xml:space="preserve"> ali se kasni sa njegovim daljim unaprjeđenjem kroz izmjene i dopune Zakona o besplatnoj pravnoj pomoći i proširenje kruga korisnika</w:t>
      </w:r>
      <w:r w:rsidR="00417C1D">
        <w:rPr>
          <w:rFonts w:cstheme="minorHAnsi"/>
        </w:rPr>
        <w:t>, prvenstveno na žrtve torture.</w:t>
      </w:r>
      <w:r w:rsidRPr="009A613C">
        <w:rPr>
          <w:rFonts w:cstheme="minorHAnsi"/>
        </w:rPr>
        <w:t xml:space="preserve"> </w:t>
      </w:r>
    </w:p>
    <w:p w14:paraId="7A65CB5B" w14:textId="649E607F" w:rsidR="00FC7383" w:rsidRPr="00FC7383" w:rsidRDefault="00417C1D" w:rsidP="00313A2C">
      <w:pPr>
        <w:autoSpaceDE w:val="0"/>
        <w:autoSpaceDN w:val="0"/>
        <w:adjustRightInd w:val="0"/>
        <w:spacing w:line="276" w:lineRule="auto"/>
        <w:jc w:val="both"/>
        <w:rPr>
          <w:rFonts w:cstheme="minorHAnsi"/>
        </w:rPr>
      </w:pPr>
      <w:r w:rsidRPr="005C39E4">
        <w:rPr>
          <w:rFonts w:cstheme="minorHAnsi"/>
          <w:b/>
          <w:bCs/>
        </w:rPr>
        <w:t>Transparentnost rada pravosuđa</w:t>
      </w:r>
      <w:r>
        <w:rPr>
          <w:rFonts w:cstheme="minorHAnsi"/>
        </w:rPr>
        <w:t xml:space="preserve">, zajedno sa nezavisnošću, nepristrasnošću, odgovornošću i efikasnošću predstavlja neophodni preduslov </w:t>
      </w:r>
      <w:r w:rsidRPr="005C39E4">
        <w:rPr>
          <w:rFonts w:cstheme="minorHAnsi"/>
          <w:b/>
          <w:bCs/>
        </w:rPr>
        <w:t>povjerenja građana u pravosuđe</w:t>
      </w:r>
      <w:r>
        <w:rPr>
          <w:rFonts w:cstheme="minorHAnsi"/>
        </w:rPr>
        <w:t xml:space="preserve">. </w:t>
      </w:r>
      <w:r w:rsidR="00FC7383">
        <w:t>Trenutna situacija pokazuje da je dalje unaprjeđenje potrebno u najmanje nekoliko ključnih oblasti:</w:t>
      </w:r>
    </w:p>
    <w:p w14:paraId="2BD1C1B9" w14:textId="57D2C02B" w:rsidR="00FC7383" w:rsidRDefault="007C3DB7" w:rsidP="00802A44">
      <w:pPr>
        <w:pStyle w:val="ListParagraph"/>
        <w:numPr>
          <w:ilvl w:val="0"/>
          <w:numId w:val="2"/>
        </w:numPr>
        <w:spacing w:line="276" w:lineRule="auto"/>
        <w:jc w:val="both"/>
      </w:pPr>
      <w:r>
        <w:t>Postojeća</w:t>
      </w:r>
      <w:r w:rsidR="00FC7383">
        <w:t xml:space="preserve"> IT rješenja </w:t>
      </w:r>
      <w:r>
        <w:t>ne omogućavaju u dovoljnoj mjeri praćenje rada pravosuđa u realnom vremenu</w:t>
      </w:r>
      <w:r w:rsidR="00FC7383">
        <w:t>;</w:t>
      </w:r>
    </w:p>
    <w:p w14:paraId="2901B033" w14:textId="40336D1F" w:rsidR="00FC7383" w:rsidRDefault="007C3DB7" w:rsidP="00802A44">
      <w:pPr>
        <w:pStyle w:val="ListParagraph"/>
        <w:numPr>
          <w:ilvl w:val="0"/>
          <w:numId w:val="2"/>
        </w:numPr>
        <w:spacing w:line="276" w:lineRule="auto"/>
        <w:jc w:val="both"/>
      </w:pPr>
      <w:r>
        <w:t>Dostupnost e</w:t>
      </w:r>
      <w:r w:rsidR="00FC7383">
        <w:t xml:space="preserve">lektronskih servisa za građane i </w:t>
      </w:r>
      <w:r>
        <w:t>advokate je ograničena</w:t>
      </w:r>
      <w:r w:rsidR="00FC7383">
        <w:t>;</w:t>
      </w:r>
    </w:p>
    <w:p w14:paraId="40D14DC6" w14:textId="43A4D84C" w:rsidR="00FC7383" w:rsidRDefault="007C3DB7" w:rsidP="00802A44">
      <w:pPr>
        <w:pStyle w:val="ListParagraph"/>
        <w:numPr>
          <w:ilvl w:val="0"/>
          <w:numId w:val="2"/>
        </w:numPr>
        <w:spacing w:line="276" w:lineRule="auto"/>
        <w:jc w:val="both"/>
      </w:pPr>
      <w:r>
        <w:t>Preciznost i detaljnost s</w:t>
      </w:r>
      <w:r w:rsidR="00FC7383">
        <w:t xml:space="preserve">tatističkih izvještaja o radu </w:t>
      </w:r>
      <w:r w:rsidR="000B1ABE">
        <w:t>pravosuđa je</w:t>
      </w:r>
      <w:r>
        <w:t xml:space="preserve"> ograničena i uslovljena nedostacima IKT sistema u pravosuđu</w:t>
      </w:r>
      <w:r w:rsidR="00FC7383">
        <w:t>;</w:t>
      </w:r>
    </w:p>
    <w:p w14:paraId="137DC815" w14:textId="238F3BA7" w:rsidR="00FC7383" w:rsidRDefault="007C3DB7" w:rsidP="00802A44">
      <w:pPr>
        <w:pStyle w:val="ListParagraph"/>
        <w:numPr>
          <w:ilvl w:val="0"/>
          <w:numId w:val="2"/>
        </w:numPr>
        <w:spacing w:after="0" w:line="276" w:lineRule="auto"/>
        <w:jc w:val="both"/>
      </w:pPr>
      <w:r>
        <w:t>Proces</w:t>
      </w:r>
      <w:r w:rsidR="00FC7383">
        <w:t xml:space="preserve"> sačinjavanj</w:t>
      </w:r>
      <w:r w:rsidR="00802A44">
        <w:t>a</w:t>
      </w:r>
      <w:r w:rsidR="00FC7383">
        <w:t xml:space="preserve"> i objavljivanj</w:t>
      </w:r>
      <w:r w:rsidR="00802A44">
        <w:t>a</w:t>
      </w:r>
      <w:r w:rsidR="00FC7383">
        <w:t xml:space="preserve"> objektivnih i sveobuhvatnih izvještaja o toku pravosudne reforme u Crnoj Gori</w:t>
      </w:r>
      <w:r>
        <w:t xml:space="preserve"> je uslovljen neadekvatnim administrativnim kapacitetima, manjkom standardizovan</w:t>
      </w:r>
      <w:r w:rsidR="00CD080D">
        <w:t>e</w:t>
      </w:r>
      <w:r>
        <w:t xml:space="preserve"> </w:t>
      </w:r>
      <w:r w:rsidR="00CD080D">
        <w:t>metodologije</w:t>
      </w:r>
      <w:r>
        <w:t xml:space="preserve"> i izostankom pomoćnih digitalnih alata.</w:t>
      </w:r>
    </w:p>
    <w:p w14:paraId="37D85190" w14:textId="20C6E04C" w:rsidR="00D74D58" w:rsidRPr="00D74D58" w:rsidRDefault="00D74D58" w:rsidP="00802A44">
      <w:pPr>
        <w:pStyle w:val="ListParagraph"/>
        <w:numPr>
          <w:ilvl w:val="0"/>
          <w:numId w:val="2"/>
        </w:numPr>
        <w:spacing w:after="0" w:line="276" w:lineRule="auto"/>
        <w:jc w:val="both"/>
        <w:rPr>
          <w:rFonts w:cstheme="minorHAnsi"/>
        </w:rPr>
      </w:pPr>
      <w:r>
        <w:t xml:space="preserve">Potrebno je nastaviti redovno objavljivanje pravnosnažnih sudskih odluka u bazi sudske prakse </w:t>
      </w:r>
      <w:r w:rsidRPr="00D74D58">
        <w:rPr>
          <w:rFonts w:cstheme="minorHAnsi"/>
        </w:rPr>
        <w:t>(</w:t>
      </w:r>
      <w:r w:rsidRPr="00F5656C">
        <w:rPr>
          <w:rStyle w:val="cf01"/>
          <w:rFonts w:asciiTheme="minorHAnsi" w:hAnsiTheme="minorHAnsi" w:cstheme="minorHAnsi"/>
          <w:sz w:val="22"/>
          <w:szCs w:val="22"/>
        </w:rPr>
        <w:t>498.390 odluka je trenutno dostupno).</w:t>
      </w:r>
    </w:p>
    <w:p w14:paraId="09995C44" w14:textId="77777777" w:rsidR="00313A2C" w:rsidRPr="008E2558" w:rsidRDefault="00313A2C" w:rsidP="008E2558">
      <w:pPr>
        <w:spacing w:line="276" w:lineRule="auto"/>
        <w:jc w:val="both"/>
      </w:pPr>
    </w:p>
    <w:p w14:paraId="51C38FA7" w14:textId="7D3322A7" w:rsidR="00C638FC" w:rsidRPr="009A613C" w:rsidRDefault="00C638FC">
      <w:pPr>
        <w:pStyle w:val="Heading2"/>
        <w:numPr>
          <w:ilvl w:val="0"/>
          <w:numId w:val="6"/>
        </w:numPr>
        <w:jc w:val="center"/>
      </w:pPr>
      <w:bookmarkStart w:id="23" w:name="_Toc156937951"/>
      <w:r w:rsidRPr="009A613C">
        <w:lastRenderedPageBreak/>
        <w:t>Orodnjavanje javnih politika</w:t>
      </w:r>
      <w:bookmarkEnd w:id="23"/>
    </w:p>
    <w:p w14:paraId="0E778BDD" w14:textId="77777777" w:rsidR="00C638FC" w:rsidRPr="009A613C" w:rsidRDefault="00C638FC" w:rsidP="00C638FC"/>
    <w:p w14:paraId="53B098FF" w14:textId="77777777" w:rsidR="00C638FC" w:rsidRPr="00CF37B0" w:rsidRDefault="00C638FC" w:rsidP="00C638FC">
      <w:pPr>
        <w:autoSpaceDE w:val="0"/>
        <w:autoSpaceDN w:val="0"/>
        <w:adjustRightInd w:val="0"/>
        <w:spacing w:after="0"/>
        <w:jc w:val="both"/>
        <w:rPr>
          <w:rFonts w:cstheme="minorHAnsi"/>
          <w:lang w:eastAsia="en-GB"/>
        </w:rPr>
      </w:pPr>
      <w:r w:rsidRPr="00CF37B0">
        <w:rPr>
          <w:rFonts w:cstheme="minorHAnsi"/>
          <w:lang w:eastAsia="en-GB"/>
        </w:rPr>
        <w:t>Relevantnost ovog strateškog dokumenta u odnosu na potrebe žena i muškaraca treba posmatrati na tri nivoa:</w:t>
      </w:r>
    </w:p>
    <w:p w14:paraId="38EA3F1C" w14:textId="767FFE07" w:rsidR="00C638FC" w:rsidRPr="00CF37B0" w:rsidRDefault="00C638FC">
      <w:pPr>
        <w:pStyle w:val="Pa5"/>
        <w:numPr>
          <w:ilvl w:val="0"/>
          <w:numId w:val="8"/>
        </w:numPr>
        <w:spacing w:after="240" w:line="276" w:lineRule="auto"/>
        <w:jc w:val="both"/>
        <w:rPr>
          <w:rFonts w:asciiTheme="minorHAnsi" w:hAnsiTheme="minorHAnsi" w:cstheme="minorHAnsi"/>
          <w:color w:val="000000"/>
          <w:sz w:val="22"/>
          <w:szCs w:val="22"/>
          <w:lang w:val="sr-Latn-ME"/>
        </w:rPr>
      </w:pPr>
      <w:r w:rsidRPr="00CF37B0">
        <w:rPr>
          <w:rFonts w:asciiTheme="minorHAnsi" w:hAnsiTheme="minorHAnsi" w:cstheme="minorHAnsi"/>
          <w:sz w:val="22"/>
          <w:szCs w:val="22"/>
          <w:lang w:val="sr-Latn-ME"/>
        </w:rPr>
        <w:t xml:space="preserve">Najprije, uticaj </w:t>
      </w:r>
      <w:r w:rsidRPr="00CF37B0">
        <w:rPr>
          <w:rFonts w:asciiTheme="minorHAnsi" w:hAnsiTheme="minorHAnsi" w:cstheme="minorHAnsi"/>
          <w:b/>
          <w:bCs/>
          <w:sz w:val="22"/>
          <w:szCs w:val="22"/>
          <w:lang w:val="sr-Latn-ME"/>
        </w:rPr>
        <w:t>na potrebe građana i građanki</w:t>
      </w:r>
      <w:r w:rsidRPr="00CF37B0">
        <w:rPr>
          <w:rFonts w:asciiTheme="minorHAnsi" w:hAnsiTheme="minorHAnsi" w:cstheme="minorHAnsi"/>
          <w:sz w:val="22"/>
          <w:szCs w:val="22"/>
          <w:lang w:val="sr-Latn-ME"/>
        </w:rPr>
        <w:t xml:space="preserve"> koji treba da uživaju benefite reformi sprovedenih u procesu sprovođenja Strategije, a kroz unaprjeđenje pristupa pravdi i kvaliteta pravde. U tom smislu, ve</w:t>
      </w:r>
      <w:r w:rsidR="00543225" w:rsidRPr="00CF37B0">
        <w:rPr>
          <w:rFonts w:asciiTheme="minorHAnsi" w:hAnsiTheme="minorHAnsi" w:cstheme="minorHAnsi"/>
          <w:sz w:val="22"/>
          <w:szCs w:val="22"/>
          <w:lang w:val="sr-Latn-ME"/>
        </w:rPr>
        <w:t>liki dio</w:t>
      </w:r>
      <w:r w:rsidRPr="00CF37B0">
        <w:rPr>
          <w:rFonts w:asciiTheme="minorHAnsi" w:hAnsiTheme="minorHAnsi" w:cstheme="minorHAnsi"/>
          <w:sz w:val="22"/>
          <w:szCs w:val="22"/>
          <w:lang w:val="sr-Latn-ME"/>
        </w:rPr>
        <w:t xml:space="preserve"> planiranih reformi u podjednakoj mjeri </w:t>
      </w:r>
      <w:r w:rsidR="00543225" w:rsidRPr="00CF37B0">
        <w:rPr>
          <w:rFonts w:asciiTheme="minorHAnsi" w:hAnsiTheme="minorHAnsi" w:cstheme="minorHAnsi"/>
          <w:sz w:val="22"/>
          <w:szCs w:val="22"/>
          <w:lang w:val="sr-Latn-ME"/>
        </w:rPr>
        <w:t xml:space="preserve">će </w:t>
      </w:r>
      <w:r w:rsidRPr="00CF37B0">
        <w:rPr>
          <w:rFonts w:asciiTheme="minorHAnsi" w:hAnsiTheme="minorHAnsi" w:cstheme="minorHAnsi"/>
          <w:sz w:val="22"/>
          <w:szCs w:val="22"/>
          <w:lang w:val="sr-Latn-ME"/>
        </w:rPr>
        <w:t xml:space="preserve">se </w:t>
      </w:r>
      <w:r w:rsidR="00543225" w:rsidRPr="00CF37B0">
        <w:rPr>
          <w:rFonts w:asciiTheme="minorHAnsi" w:hAnsiTheme="minorHAnsi" w:cstheme="minorHAnsi"/>
          <w:sz w:val="22"/>
          <w:szCs w:val="22"/>
          <w:lang w:val="sr-Latn-ME"/>
        </w:rPr>
        <w:t xml:space="preserve">podjednako </w:t>
      </w:r>
      <w:r w:rsidRPr="00CF37B0">
        <w:rPr>
          <w:rFonts w:asciiTheme="minorHAnsi" w:hAnsiTheme="minorHAnsi" w:cstheme="minorHAnsi"/>
          <w:sz w:val="22"/>
          <w:szCs w:val="22"/>
          <w:lang w:val="sr-Latn-ME"/>
        </w:rPr>
        <w:t>odnosi</w:t>
      </w:r>
      <w:r w:rsidR="00543225" w:rsidRPr="00CF37B0">
        <w:rPr>
          <w:rFonts w:asciiTheme="minorHAnsi" w:hAnsiTheme="minorHAnsi" w:cstheme="minorHAnsi"/>
          <w:sz w:val="22"/>
          <w:szCs w:val="22"/>
          <w:lang w:val="sr-Latn-ME"/>
        </w:rPr>
        <w:t>ti</w:t>
      </w:r>
      <w:r w:rsidRPr="00CF37B0">
        <w:rPr>
          <w:rFonts w:asciiTheme="minorHAnsi" w:hAnsiTheme="minorHAnsi" w:cstheme="minorHAnsi"/>
          <w:sz w:val="22"/>
          <w:szCs w:val="22"/>
          <w:lang w:val="sr-Latn-ME"/>
        </w:rPr>
        <w:t xml:space="preserve"> na žene i muškarce. Izuzetak predstavljaju a</w:t>
      </w:r>
      <w:r w:rsidR="00543225" w:rsidRPr="00CF37B0">
        <w:rPr>
          <w:rFonts w:asciiTheme="minorHAnsi" w:hAnsiTheme="minorHAnsi" w:cstheme="minorHAnsi"/>
          <w:sz w:val="22"/>
          <w:szCs w:val="22"/>
          <w:lang w:val="sr-Latn-ME"/>
        </w:rPr>
        <w:t xml:space="preserve">ktivnosti u okviru realizacije operativnih ciljeva usmjerenih na pristup pravdi za žrtve krivičnih djela, koje će omogućiti dodatnu zaštitu i za žene žrtve trgovine ljudima i porodičnog nasilja koje su naročito </w:t>
      </w:r>
      <w:r w:rsidR="00CF37B0" w:rsidRPr="00CF37B0">
        <w:rPr>
          <w:rFonts w:asciiTheme="minorHAnsi" w:hAnsiTheme="minorHAnsi" w:cstheme="minorHAnsi"/>
          <w:sz w:val="22"/>
          <w:szCs w:val="22"/>
          <w:lang w:val="sr-Latn-ME"/>
        </w:rPr>
        <w:t>osjetljive</w:t>
      </w:r>
      <w:r w:rsidR="00543225" w:rsidRPr="00CF37B0">
        <w:rPr>
          <w:rFonts w:asciiTheme="minorHAnsi" w:hAnsiTheme="minorHAnsi" w:cstheme="minorHAnsi"/>
          <w:sz w:val="22"/>
          <w:szCs w:val="22"/>
          <w:lang w:val="sr-Latn-ME"/>
        </w:rPr>
        <w:t>.</w:t>
      </w:r>
      <w:r w:rsidRPr="00CF37B0">
        <w:rPr>
          <w:rFonts w:asciiTheme="minorHAnsi" w:hAnsiTheme="minorHAnsi" w:cstheme="minorHAnsi"/>
          <w:sz w:val="22"/>
          <w:szCs w:val="22"/>
          <w:lang w:val="sr-Latn-ME"/>
        </w:rPr>
        <w:t xml:space="preserve"> </w:t>
      </w:r>
    </w:p>
    <w:p w14:paraId="0D83F229" w14:textId="48F049AA" w:rsidR="00C638FC" w:rsidRPr="00A229E9" w:rsidRDefault="00C638FC">
      <w:pPr>
        <w:pStyle w:val="ListParagraph"/>
        <w:numPr>
          <w:ilvl w:val="0"/>
          <w:numId w:val="8"/>
        </w:numPr>
        <w:autoSpaceDE w:val="0"/>
        <w:autoSpaceDN w:val="0"/>
        <w:adjustRightInd w:val="0"/>
        <w:spacing w:after="200" w:line="276" w:lineRule="auto"/>
        <w:jc w:val="both"/>
        <w:rPr>
          <w:rFonts w:cstheme="minorHAnsi"/>
          <w:lang w:eastAsia="en-GB"/>
        </w:rPr>
      </w:pPr>
      <w:r w:rsidRPr="00A229E9">
        <w:rPr>
          <w:rFonts w:cstheme="minorHAnsi"/>
          <w:lang w:eastAsia="en-GB"/>
        </w:rPr>
        <w:t xml:space="preserve">Potom, ova vrsta strateških dokumenata od značaja je i za </w:t>
      </w:r>
      <w:r w:rsidRPr="00A229E9">
        <w:rPr>
          <w:rFonts w:cstheme="minorHAnsi"/>
          <w:b/>
          <w:bCs/>
          <w:lang w:eastAsia="en-GB"/>
        </w:rPr>
        <w:t>obezb</w:t>
      </w:r>
      <w:r w:rsidR="00802A44">
        <w:rPr>
          <w:rFonts w:cstheme="minorHAnsi"/>
          <w:b/>
          <w:bCs/>
          <w:lang w:eastAsia="en-GB"/>
        </w:rPr>
        <w:t>j</w:t>
      </w:r>
      <w:r w:rsidRPr="00A229E9">
        <w:rPr>
          <w:rFonts w:cstheme="minorHAnsi"/>
          <w:b/>
          <w:bCs/>
          <w:lang w:eastAsia="en-GB"/>
        </w:rPr>
        <w:t>eđivanje jednakog položaja žena i muškaraca koji su nosioci pravosudnih funkcija</w:t>
      </w:r>
      <w:r w:rsidRPr="00A229E9">
        <w:rPr>
          <w:rFonts w:cstheme="minorHAnsi"/>
          <w:lang w:eastAsia="en-GB"/>
        </w:rPr>
        <w:t>. U studiji Rodna ravnopravnost u sudstvu u Crnoj Gori</w:t>
      </w:r>
      <w:r w:rsidRPr="00A229E9">
        <w:rPr>
          <w:rStyle w:val="FootnoteReference"/>
          <w:rFonts w:cstheme="minorHAnsi"/>
          <w:lang w:eastAsia="en-GB"/>
        </w:rPr>
        <w:footnoteReference w:id="39"/>
      </w:r>
      <w:r w:rsidRPr="00A229E9">
        <w:rPr>
          <w:rFonts w:cstheme="minorHAnsi"/>
          <w:lang w:eastAsia="en-GB"/>
        </w:rPr>
        <w:t xml:space="preserve">, navodi se da Prema </w:t>
      </w:r>
      <w:r w:rsidRPr="00A229E9">
        <w:rPr>
          <w:rFonts w:cstheme="minorHAnsi"/>
          <w:i/>
          <w:iCs/>
          <w:lang w:eastAsia="en-GB"/>
        </w:rPr>
        <w:t xml:space="preserve">Globalnom izvještaju o rodnoj nejednakosti za 2021. godinu,  </w:t>
      </w:r>
      <w:r w:rsidRPr="00A229E9">
        <w:rPr>
          <w:rFonts w:cstheme="minorHAnsi"/>
          <w:lang w:eastAsia="en-GB"/>
        </w:rPr>
        <w:t xml:space="preserve">Crna Gora je rangirana na 48. mjestu od 156 zemalja. U ovom izvještaju se analizira napredak prema rodnom paritetu u odnosu na četiri dimenzije: ekonomsko učešće i mogućnosti, naučna dostignuća, zdravlje i političko osnaživanje. </w:t>
      </w:r>
      <w:r w:rsidRPr="00A229E9">
        <w:rPr>
          <w:rFonts w:cstheme="minorHAnsi"/>
          <w:i/>
          <w:iCs/>
          <w:lang w:eastAsia="en-GB"/>
        </w:rPr>
        <w:t>Indeks rodnog razvoja</w:t>
      </w:r>
      <w:r w:rsidRPr="00A229E9">
        <w:rPr>
          <w:rFonts w:cstheme="minorHAnsi"/>
          <w:lang w:eastAsia="en-GB"/>
        </w:rPr>
        <w:t xml:space="preserve"> (IRR), koji mjeri rodne nejednakosti u postignućima u tri osnovne dimenzije ljudskog razvoja – zdravstvu, obrazovanju  i upravljanju ekonomskim resursima, te zaključuje da se Crna Gora svrstava u Grupu 2 koju čine zemlje sa srednjom i visokom jednakošću između žena i muškaraca.</w:t>
      </w:r>
      <w:r w:rsidRPr="00A229E9">
        <w:rPr>
          <w:rStyle w:val="FootnoteReference"/>
          <w:rFonts w:cstheme="minorHAnsi"/>
          <w:lang w:eastAsia="en-GB"/>
        </w:rPr>
        <w:footnoteReference w:id="40"/>
      </w:r>
    </w:p>
    <w:p w14:paraId="19EDD255" w14:textId="59153D2A" w:rsidR="00C638FC" w:rsidRPr="00A229E9" w:rsidRDefault="00ED7CDB" w:rsidP="00C638FC">
      <w:pPr>
        <w:autoSpaceDE w:val="0"/>
        <w:autoSpaceDN w:val="0"/>
        <w:adjustRightInd w:val="0"/>
        <w:ind w:left="720"/>
        <w:jc w:val="both"/>
        <w:rPr>
          <w:rFonts w:cstheme="minorHAnsi"/>
          <w:lang w:eastAsia="en-GB"/>
        </w:rPr>
      </w:pPr>
      <w:r>
        <w:rPr>
          <w:rFonts w:cstheme="minorHAnsi"/>
          <w:lang w:eastAsia="en-GB"/>
        </w:rPr>
        <w:t>Prema analizi Savjeta Evrope, u</w:t>
      </w:r>
      <w:r w:rsidR="00C638FC" w:rsidRPr="00A229E9">
        <w:rPr>
          <w:rFonts w:cstheme="minorHAnsi"/>
          <w:lang w:eastAsia="en-GB"/>
        </w:rPr>
        <w:t>kupan broj sudija u Crnoj Gori je 266</w:t>
      </w:r>
      <w:r w:rsidR="00802A44">
        <w:rPr>
          <w:rFonts w:cstheme="minorHAnsi"/>
          <w:lang w:eastAsia="en-GB"/>
        </w:rPr>
        <w:t>.</w:t>
      </w:r>
      <w:r w:rsidR="00C638FC" w:rsidRPr="00A229E9">
        <w:rPr>
          <w:rFonts w:cstheme="minorHAnsi"/>
          <w:lang w:eastAsia="en-GB"/>
        </w:rPr>
        <w:t xml:space="preserve"> Od navedenog ukupnog broja, 57,2% odnosno 152 su žene, dok 42,8% (114) su muškarci. U Vrhovnom sudu, 83,3% sudija su žene; u Apelacionom sudu, 62,5% sudija su žene; u specijalizovanim sudovima, 45,4% sudija su žene u Upravnom sudu, dok u Privrednom sudu 54,5% sudija su žene. U redovnom sastavu, Sudski savjet treba da ima 10 članova. Međutim, kada je riječ o predsjednicima/predsjednicama sudova, od ukupno 25 samo 7 odnosno 28% su žene.</w:t>
      </w:r>
      <w:r w:rsidR="00C638FC" w:rsidRPr="00A229E9">
        <w:rPr>
          <w:rStyle w:val="FootnoteReference"/>
          <w:rFonts w:cstheme="minorHAnsi"/>
          <w:lang w:eastAsia="en-GB"/>
        </w:rPr>
        <w:footnoteReference w:id="41"/>
      </w:r>
      <w:r w:rsidR="00C638FC" w:rsidRPr="00A229E9">
        <w:rPr>
          <w:rFonts w:cstheme="minorHAnsi"/>
          <w:lang w:eastAsia="en-GB"/>
        </w:rPr>
        <w:t xml:space="preserve"> </w:t>
      </w:r>
      <w:r w:rsidR="00611443">
        <w:rPr>
          <w:rFonts w:cstheme="minorHAnsi"/>
          <w:lang w:eastAsia="en-GB"/>
        </w:rPr>
        <w:t xml:space="preserve"> Najvećim sudom u državi rukovodi žena.</w:t>
      </w:r>
    </w:p>
    <w:p w14:paraId="53AACCA3" w14:textId="47BFB079" w:rsidR="00C638FC" w:rsidRPr="00A229E9" w:rsidRDefault="00C638FC" w:rsidP="00C638FC">
      <w:pPr>
        <w:autoSpaceDE w:val="0"/>
        <w:autoSpaceDN w:val="0"/>
        <w:adjustRightInd w:val="0"/>
        <w:ind w:left="720"/>
        <w:jc w:val="both"/>
        <w:rPr>
          <w:rFonts w:cstheme="minorHAnsi"/>
          <w:lang w:eastAsia="en-GB"/>
        </w:rPr>
      </w:pPr>
      <w:r w:rsidRPr="00F5656C">
        <w:rPr>
          <w:rFonts w:cstheme="minorHAnsi"/>
          <w:lang w:eastAsia="en-GB"/>
        </w:rPr>
        <w:t>Kao osnovne prepreke karijernog napredovanja sutkinja do rukovodećih pozicija, u Studiji su identifikovane poteškoće sa kojima se žene susreću u kontekstu</w:t>
      </w:r>
      <w:r w:rsidRPr="00ED7CDB">
        <w:rPr>
          <w:rFonts w:cstheme="minorHAnsi"/>
          <w:lang w:eastAsia="en-GB"/>
        </w:rPr>
        <w:t xml:space="preserve"> roditeljskih i porodičnih obaveza, koje iziskuju (ponekad) i višegodišnje pauze u karijeri uslijed korišćenja trudničkih i porodiljskih bolovanja, </w:t>
      </w:r>
      <w:r w:rsidRPr="00F5656C">
        <w:rPr>
          <w:rFonts w:cstheme="minorHAnsi"/>
          <w:lang w:eastAsia="en-GB"/>
        </w:rPr>
        <w:t>kao i obaveza promjene mjesta prebivališta tokom pohađanja inicijalne obuke koja se odvija u Podgorici,</w:t>
      </w:r>
      <w:r w:rsidRPr="00A229E9">
        <w:rPr>
          <w:rFonts w:cstheme="minorHAnsi"/>
          <w:lang w:eastAsia="en-GB"/>
        </w:rPr>
        <w:t xml:space="preserve"> uslijed izbora u sud više instance ili prilikom premještaja bez saglasnosti sudije. </w:t>
      </w:r>
    </w:p>
    <w:p w14:paraId="1C3E8445" w14:textId="4827B424" w:rsidR="00C638FC" w:rsidRPr="00A229E9" w:rsidRDefault="00C638FC" w:rsidP="00802A44">
      <w:pPr>
        <w:jc w:val="both"/>
        <w:rPr>
          <w:rFonts w:cstheme="minorHAnsi"/>
          <w:lang w:eastAsia="en-GB"/>
        </w:rPr>
      </w:pPr>
      <w:r w:rsidRPr="00A229E9">
        <w:rPr>
          <w:rFonts w:cstheme="minorHAnsi"/>
          <w:lang w:eastAsia="en-GB"/>
        </w:rPr>
        <w:t xml:space="preserve">SRP 2019-2022. nije </w:t>
      </w:r>
      <w:r w:rsidR="00A229E9" w:rsidRPr="00A229E9">
        <w:rPr>
          <w:rFonts w:cstheme="minorHAnsi"/>
          <w:lang w:eastAsia="en-GB"/>
        </w:rPr>
        <w:t xml:space="preserve">bila </w:t>
      </w:r>
      <w:r w:rsidRPr="00A229E9">
        <w:rPr>
          <w:rFonts w:cstheme="minorHAnsi"/>
          <w:lang w:eastAsia="en-GB"/>
        </w:rPr>
        <w:t>usklađena sa relevantnim međunarodnim standardima rodne ravnopravnosti. Naime, kao što je ranije navedeno Strategija i prateći akcioni planovi n</w:t>
      </w:r>
      <w:r w:rsidR="00A229E9" w:rsidRPr="00A229E9">
        <w:rPr>
          <w:rFonts w:cstheme="minorHAnsi"/>
          <w:lang w:eastAsia="en-GB"/>
        </w:rPr>
        <w:t xml:space="preserve">isu prepoznavali i adresirali </w:t>
      </w:r>
      <w:r w:rsidRPr="00A229E9">
        <w:rPr>
          <w:rFonts w:cstheme="minorHAnsi"/>
          <w:lang w:eastAsia="en-GB"/>
        </w:rPr>
        <w:t xml:space="preserve"> </w:t>
      </w:r>
      <w:r w:rsidRPr="00A229E9">
        <w:rPr>
          <w:rFonts w:cstheme="minorHAnsi"/>
          <w:lang w:eastAsia="en-GB"/>
        </w:rPr>
        <w:lastRenderedPageBreak/>
        <w:t>manjkavosti postojećeg normativnog i institucionalnog okvira u Crnoj Gori, koji trenutno ne osigurava rodnu ravnopravnost nosilaca pravosudnih funkcija.</w:t>
      </w:r>
    </w:p>
    <w:p w14:paraId="15BB046E" w14:textId="1FE1E953" w:rsidR="00C638FC" w:rsidRDefault="00A229E9" w:rsidP="00802A44">
      <w:pPr>
        <w:spacing w:after="0"/>
        <w:jc w:val="both"/>
        <w:rPr>
          <w:rFonts w:cstheme="minorHAnsi"/>
          <w:lang w:eastAsia="en-GB"/>
        </w:rPr>
      </w:pPr>
      <w:r w:rsidRPr="00A229E9">
        <w:rPr>
          <w:rFonts w:cstheme="minorHAnsi"/>
          <w:lang w:eastAsia="en-GB"/>
        </w:rPr>
        <w:t>Imajući to u vidu, ovom</w:t>
      </w:r>
      <w:r w:rsidR="00C638FC" w:rsidRPr="00A229E9">
        <w:rPr>
          <w:rFonts w:cstheme="minorHAnsi"/>
          <w:lang w:eastAsia="en-GB"/>
        </w:rPr>
        <w:t xml:space="preserve"> Strategijom</w:t>
      </w:r>
      <w:r w:rsidRPr="00A229E9">
        <w:rPr>
          <w:rFonts w:cstheme="minorHAnsi"/>
          <w:lang w:eastAsia="en-GB"/>
        </w:rPr>
        <w:t xml:space="preserve"> i pratećim Akcionim planom biće predviđene </w:t>
      </w:r>
      <w:r w:rsidR="00C638FC" w:rsidRPr="00A229E9">
        <w:rPr>
          <w:rFonts w:cstheme="minorHAnsi"/>
          <w:lang w:eastAsia="en-GB"/>
        </w:rPr>
        <w:t>aktivnosti usmjerene na otklanjanje prepreka za karijerno napredovanje sutkinja</w:t>
      </w:r>
      <w:r w:rsidRPr="00A229E9">
        <w:rPr>
          <w:rFonts w:cstheme="minorHAnsi"/>
          <w:lang w:eastAsia="en-GB"/>
        </w:rPr>
        <w:t>.</w:t>
      </w:r>
    </w:p>
    <w:p w14:paraId="52598E5C" w14:textId="77777777" w:rsidR="00714363" w:rsidRPr="009A613C" w:rsidRDefault="00714363" w:rsidP="00C638FC"/>
    <w:p w14:paraId="2D4BD5A3" w14:textId="48156C37" w:rsidR="00C638FC" w:rsidRPr="009A613C" w:rsidRDefault="00C638FC">
      <w:pPr>
        <w:pStyle w:val="Heading2"/>
        <w:numPr>
          <w:ilvl w:val="0"/>
          <w:numId w:val="6"/>
        </w:numPr>
        <w:spacing w:after="240"/>
        <w:jc w:val="center"/>
        <w:rPr>
          <w:rFonts w:cstheme="minorHAnsi"/>
          <w:lang w:eastAsia="en-GB"/>
        </w:rPr>
      </w:pPr>
      <w:bookmarkStart w:id="24" w:name="_Toc156937952"/>
      <w:r w:rsidRPr="009A613C">
        <w:t>Strateška analiza uticaja na životnu sredinu u fazi definisanja ciljeva</w:t>
      </w:r>
      <w:bookmarkEnd w:id="24"/>
    </w:p>
    <w:p w14:paraId="5FC2DAC7" w14:textId="5B6CA5A7" w:rsidR="00DE6436" w:rsidRDefault="00543225" w:rsidP="00543225">
      <w:pPr>
        <w:jc w:val="both"/>
      </w:pPr>
      <w:r>
        <w:t>Kao što je ranije konstatovano, pravosudna infrastruktura u Crnoj Gori je u kritičnom stanju i značajno otežava efikasno funkcionisanje pravosuđa. Ovo u praksi znači da će u predstojećem periodu značajni napori biti ulagani u rekonstrukciju postojećih i izgradnju novih objekata, pa ovaj proces treba iskoristiti za uvođenje inovativnih praksi i dostizanj</w:t>
      </w:r>
      <w:r w:rsidR="00802A44">
        <w:t>e</w:t>
      </w:r>
      <w:r>
        <w:t xml:space="preserve"> najviših standarda energetske efikasnosti i </w:t>
      </w:r>
      <w:r w:rsidR="00CA3987" w:rsidRPr="009A613C">
        <w:t>odgovornij</w:t>
      </w:r>
      <w:r>
        <w:t>eg</w:t>
      </w:r>
      <w:r w:rsidR="00CA3987" w:rsidRPr="009A613C">
        <w:t xml:space="preserve"> odnos</w:t>
      </w:r>
      <w:r>
        <w:t>a</w:t>
      </w:r>
      <w:r w:rsidR="00CA3987" w:rsidRPr="009A613C">
        <w:t xml:space="preserve"> prema životnoj sredini i utrošku resursa</w:t>
      </w:r>
      <w:r>
        <w:t>.</w:t>
      </w:r>
      <w:r w:rsidR="00CA3987" w:rsidRPr="009A613C">
        <w:t xml:space="preserve"> </w:t>
      </w:r>
    </w:p>
    <w:p w14:paraId="71FF412A" w14:textId="02BA26A4" w:rsidR="00E54FB6" w:rsidRPr="00543225" w:rsidRDefault="00543225" w:rsidP="00543225">
      <w:pPr>
        <w:jc w:val="both"/>
      </w:pPr>
      <w:r>
        <w:t xml:space="preserve">U ovom procesu treba se starati ne samo u kontekstu temeljnih rekonstrukcija i izgradnji potpuno novih objekata, već i kroz manje investicione poduhvate u vidu zamjene krovnog pokrivača, stolarije ili obnavljanja fasada objekata. Takođe, kada god postoje tehnički uslovi za to, potrebno je iskoristiti mogućnosti snabdijevanja iz obnovljivih izvora energije. </w:t>
      </w:r>
    </w:p>
    <w:p w14:paraId="70837BD1" w14:textId="0BE4A738" w:rsidR="00C151D7" w:rsidRDefault="00C02223" w:rsidP="00714363">
      <w:pPr>
        <w:pStyle w:val="Heading1"/>
        <w:spacing w:after="240"/>
        <w:jc w:val="center"/>
      </w:pPr>
      <w:bookmarkStart w:id="25" w:name="_Toc156937953"/>
      <w:r>
        <w:t>III</w:t>
      </w:r>
      <w:r w:rsidR="00B35331" w:rsidRPr="009A613C">
        <w:t xml:space="preserve"> </w:t>
      </w:r>
      <w:r w:rsidR="00860B74" w:rsidRPr="009A613C">
        <w:t>VIZIJA,</w:t>
      </w:r>
      <w:r w:rsidR="00653C3F" w:rsidRPr="009A613C">
        <w:t xml:space="preserve"> ADRESATI,</w:t>
      </w:r>
      <w:r w:rsidR="00860B74" w:rsidRPr="009A613C">
        <w:t xml:space="preserve"> </w:t>
      </w:r>
      <w:r w:rsidR="00C151D7" w:rsidRPr="009A613C">
        <w:t>STRATEŠKI</w:t>
      </w:r>
      <w:r w:rsidR="00860B74" w:rsidRPr="009A613C">
        <w:t xml:space="preserve"> I OPERATIVNI</w:t>
      </w:r>
      <w:r w:rsidR="00C151D7" w:rsidRPr="009A613C">
        <w:t xml:space="preserve"> CILJEVI REFORME PRAVOSUĐA</w:t>
      </w:r>
      <w:bookmarkEnd w:id="25"/>
    </w:p>
    <w:p w14:paraId="5B5B49C7" w14:textId="77777777" w:rsidR="00B36456" w:rsidRPr="00B36456" w:rsidRDefault="00B36456" w:rsidP="00B36456"/>
    <w:p w14:paraId="105477E8" w14:textId="42C6CBA4" w:rsidR="00860B74" w:rsidRPr="009A613C" w:rsidRDefault="00120317" w:rsidP="00653C3F">
      <w:pPr>
        <w:jc w:val="both"/>
      </w:pPr>
      <w:r w:rsidRPr="009A613C">
        <w:rPr>
          <w:b/>
          <w:bCs/>
        </w:rPr>
        <w:t>Vizija Strategije</w:t>
      </w:r>
      <w:r w:rsidRPr="009A613C">
        <w:t xml:space="preserve"> je n</w:t>
      </w:r>
      <w:r w:rsidR="00860B74" w:rsidRPr="009A613C">
        <w:t>ezavisno i samostalno, moderno, efikasno pravosuđe, odgovorno i otvoreno prema građanima i društvu</w:t>
      </w:r>
      <w:r w:rsidRPr="009A613C">
        <w:t xml:space="preserve"> Crne Gore.</w:t>
      </w:r>
    </w:p>
    <w:p w14:paraId="1388C42E" w14:textId="0CF316A0" w:rsidR="00860B74" w:rsidRPr="009A613C" w:rsidRDefault="00653C3F" w:rsidP="00653C3F">
      <w:pPr>
        <w:spacing w:line="276" w:lineRule="auto"/>
        <w:jc w:val="both"/>
      </w:pPr>
      <w:r w:rsidRPr="009A613C">
        <w:rPr>
          <w:b/>
          <w:bCs/>
        </w:rPr>
        <w:t>Adresati Strategije:</w:t>
      </w:r>
      <w:r w:rsidRPr="009A613C">
        <w:t xml:space="preserve"> </w:t>
      </w:r>
      <w:r w:rsidR="004132BC" w:rsidRPr="009A613C">
        <w:t xml:space="preserve">Iako su neposredni adresati ove strategije nosioci </w:t>
      </w:r>
      <w:r w:rsidR="00860B74" w:rsidRPr="009A613C">
        <w:t>pravosudnih funkcija, institucije pravosuđa</w:t>
      </w:r>
      <w:r w:rsidR="004132BC" w:rsidRPr="009A613C">
        <w:t xml:space="preserve"> i </w:t>
      </w:r>
      <w:r w:rsidR="00860B74" w:rsidRPr="009A613C">
        <w:t>pravosudne profesije,</w:t>
      </w:r>
      <w:r w:rsidR="004132BC" w:rsidRPr="009A613C">
        <w:t xml:space="preserve"> očekivani rezultati njenog sprovođenja direktno su usmjereni i na</w:t>
      </w:r>
      <w:r w:rsidR="00860B74" w:rsidRPr="009A613C">
        <w:t xml:space="preserve"> </w:t>
      </w:r>
      <w:r w:rsidR="004132BC" w:rsidRPr="009A613C">
        <w:t xml:space="preserve">dobrobit svih, a naročito ranjivih ili marginalizovanih kategorija </w:t>
      </w:r>
      <w:r w:rsidR="00860B74" w:rsidRPr="009A613C">
        <w:t>građan</w:t>
      </w:r>
      <w:r w:rsidR="004132BC" w:rsidRPr="009A613C">
        <w:t>a Crne Gore, ali i na stvaranje povoljnijeg poslovnog ambijenta koji pogoduje efikasnijem poslovanju pravnih lica i podstiče razvoj privredne djelatnosti.</w:t>
      </w:r>
    </w:p>
    <w:p w14:paraId="70D3A2FD" w14:textId="7322D8B6" w:rsidR="00FF1837" w:rsidRPr="009A613C" w:rsidRDefault="00FF1837" w:rsidP="00FF1837">
      <w:pPr>
        <w:jc w:val="both"/>
      </w:pPr>
      <w:r w:rsidRPr="009A613C">
        <w:rPr>
          <w:b/>
          <w:bCs/>
        </w:rPr>
        <w:t>Opšti cilj Strategije:</w:t>
      </w:r>
      <w:r w:rsidRPr="009A613C">
        <w:t xml:space="preserve"> Dalje osnaživanje pravne države, kroz  jačanje nezavisnosti, odgovornosti, stručnosti i efikasnosti pravosuđa, kao i unaprijeđenu dostupnost pravde i pravnu sigurnost u postupku ostvarivanja zaštite prava i sloboda građana i podizanje nivoa povjerenja u pravosudni sistem.</w:t>
      </w:r>
    </w:p>
    <w:p w14:paraId="4BF38567" w14:textId="3F987660" w:rsidR="00FF1837" w:rsidRPr="009A613C" w:rsidRDefault="00DF4F42" w:rsidP="00FF1837">
      <w:pPr>
        <w:jc w:val="both"/>
      </w:pPr>
      <w:r w:rsidRPr="009A613C">
        <w:t xml:space="preserve">Nadalje, </w:t>
      </w:r>
      <w:r w:rsidR="00FF1837" w:rsidRPr="009A613C">
        <w:t xml:space="preserve">Strategija počiva na </w:t>
      </w:r>
      <w:r w:rsidR="00FF1837" w:rsidRPr="009A613C">
        <w:rPr>
          <w:b/>
          <w:bCs/>
        </w:rPr>
        <w:t>tri posebna strateška cilja</w:t>
      </w:r>
      <w:r w:rsidRPr="009A613C">
        <w:t xml:space="preserve"> koji se oslanjaju na viziju i opšti cilj Strategije i u jasnoj su vezi sa strateškim ciljevima SRP 2019-2022.</w:t>
      </w:r>
    </w:p>
    <w:p w14:paraId="66806D74" w14:textId="3A69223E" w:rsidR="00B36456" w:rsidRPr="009A613C" w:rsidRDefault="00DF4F42" w:rsidP="00DF4F42">
      <w:pPr>
        <w:jc w:val="both"/>
        <w:rPr>
          <w:sz w:val="23"/>
          <w:szCs w:val="23"/>
        </w:rPr>
      </w:pPr>
      <w:r w:rsidRPr="009A613C">
        <w:rPr>
          <w:sz w:val="23"/>
          <w:szCs w:val="23"/>
        </w:rPr>
        <w:t xml:space="preserve">Navedeni strateški ciljevi će se realizovati kroz </w:t>
      </w:r>
      <w:r w:rsidR="00420D11" w:rsidRPr="00420D11">
        <w:rPr>
          <w:b/>
          <w:bCs/>
          <w:sz w:val="23"/>
          <w:szCs w:val="23"/>
        </w:rPr>
        <w:t>22</w:t>
      </w:r>
      <w:r w:rsidRPr="00420D11">
        <w:rPr>
          <w:b/>
          <w:bCs/>
          <w:sz w:val="23"/>
          <w:szCs w:val="23"/>
        </w:rPr>
        <w:t xml:space="preserve"> </w:t>
      </w:r>
      <w:r w:rsidRPr="009A613C">
        <w:rPr>
          <w:b/>
          <w:bCs/>
          <w:sz w:val="23"/>
          <w:szCs w:val="23"/>
        </w:rPr>
        <w:t>operativn</w:t>
      </w:r>
      <w:r w:rsidR="00420D11">
        <w:rPr>
          <w:b/>
          <w:bCs/>
          <w:sz w:val="23"/>
          <w:szCs w:val="23"/>
        </w:rPr>
        <w:t>a</w:t>
      </w:r>
      <w:r w:rsidRPr="009A613C">
        <w:rPr>
          <w:b/>
          <w:bCs/>
          <w:sz w:val="23"/>
          <w:szCs w:val="23"/>
        </w:rPr>
        <w:t xml:space="preserve"> cilj</w:t>
      </w:r>
      <w:r w:rsidR="00420D11">
        <w:rPr>
          <w:b/>
          <w:bCs/>
          <w:sz w:val="23"/>
          <w:szCs w:val="23"/>
        </w:rPr>
        <w:t>a</w:t>
      </w:r>
      <w:r w:rsidRPr="009A613C">
        <w:rPr>
          <w:sz w:val="23"/>
          <w:szCs w:val="23"/>
        </w:rPr>
        <w:t>, uvažavajući napredak postignut u periodu sprovođenja prethodnog strateškog dokumenta, kao i aktuelne izazove.</w:t>
      </w:r>
    </w:p>
    <w:p w14:paraId="7EC27C25" w14:textId="77777777" w:rsidR="00410E6B" w:rsidRDefault="00410E6B" w:rsidP="007D46F3">
      <w:pPr>
        <w:jc w:val="center"/>
        <w:rPr>
          <w:i/>
          <w:iCs/>
          <w:sz w:val="20"/>
          <w:szCs w:val="20"/>
        </w:rPr>
      </w:pPr>
    </w:p>
    <w:p w14:paraId="3BC02F3C" w14:textId="77777777" w:rsidR="00410E6B" w:rsidRDefault="00410E6B" w:rsidP="007D46F3">
      <w:pPr>
        <w:jc w:val="center"/>
        <w:rPr>
          <w:i/>
          <w:iCs/>
          <w:sz w:val="20"/>
          <w:szCs w:val="20"/>
        </w:rPr>
      </w:pPr>
    </w:p>
    <w:p w14:paraId="347BD0A1" w14:textId="571E2D64" w:rsidR="007D46F3" w:rsidRPr="009A613C" w:rsidRDefault="007D46F3" w:rsidP="007D46F3">
      <w:pPr>
        <w:jc w:val="center"/>
        <w:rPr>
          <w:i/>
          <w:iCs/>
          <w:sz w:val="20"/>
          <w:szCs w:val="20"/>
        </w:rPr>
      </w:pPr>
      <w:r w:rsidRPr="009A613C">
        <w:rPr>
          <w:i/>
          <w:iCs/>
          <w:sz w:val="20"/>
          <w:szCs w:val="20"/>
        </w:rPr>
        <w:lastRenderedPageBreak/>
        <w:t xml:space="preserve">Tabela </w:t>
      </w:r>
      <w:r w:rsidR="00714363">
        <w:rPr>
          <w:i/>
          <w:iCs/>
          <w:sz w:val="20"/>
          <w:szCs w:val="20"/>
        </w:rPr>
        <w:t>1</w:t>
      </w:r>
      <w:r w:rsidRPr="009A613C">
        <w:rPr>
          <w:i/>
          <w:iCs/>
          <w:sz w:val="20"/>
          <w:szCs w:val="20"/>
        </w:rPr>
        <w:t>: Vizija i strateški ciljevi Strategije</w:t>
      </w:r>
    </w:p>
    <w:tbl>
      <w:tblPr>
        <w:tblStyle w:val="TableGrid"/>
        <w:tblW w:w="0" w:type="auto"/>
        <w:tblLook w:val="04A0" w:firstRow="1" w:lastRow="0" w:firstColumn="1" w:lastColumn="0" w:noHBand="0" w:noVBand="1"/>
      </w:tblPr>
      <w:tblGrid>
        <w:gridCol w:w="3116"/>
        <w:gridCol w:w="3117"/>
        <w:gridCol w:w="3117"/>
      </w:tblGrid>
      <w:tr w:rsidR="00860B74" w:rsidRPr="009A613C" w14:paraId="3745FDF4" w14:textId="77777777" w:rsidTr="00860B74">
        <w:tc>
          <w:tcPr>
            <w:tcW w:w="9350" w:type="dxa"/>
            <w:gridSpan w:val="3"/>
            <w:shd w:val="clear" w:color="auto" w:fill="2F5496" w:themeFill="accent1" w:themeFillShade="BF"/>
          </w:tcPr>
          <w:p w14:paraId="74929AB5" w14:textId="03B90591" w:rsidR="00860B74" w:rsidRPr="009A613C" w:rsidRDefault="00860B74" w:rsidP="00860B74">
            <w:pPr>
              <w:jc w:val="center"/>
              <w:rPr>
                <w:b/>
                <w:bCs/>
              </w:rPr>
            </w:pPr>
            <w:r w:rsidRPr="009A613C">
              <w:rPr>
                <w:b/>
                <w:bCs/>
                <w:color w:val="FFFFFF" w:themeColor="background1"/>
              </w:rPr>
              <w:t>Vizija Strategije</w:t>
            </w:r>
          </w:p>
        </w:tc>
      </w:tr>
      <w:tr w:rsidR="00860B74" w:rsidRPr="009A613C" w14:paraId="6E85C5CF" w14:textId="77777777" w:rsidTr="00BE13A3">
        <w:tc>
          <w:tcPr>
            <w:tcW w:w="9350" w:type="dxa"/>
            <w:gridSpan w:val="3"/>
          </w:tcPr>
          <w:p w14:paraId="7D9C4165" w14:textId="081FB5DB" w:rsidR="00860B74" w:rsidRPr="009A613C" w:rsidRDefault="00860B74" w:rsidP="00860B74">
            <w:pPr>
              <w:jc w:val="both"/>
            </w:pPr>
            <w:r w:rsidRPr="009A613C">
              <w:t>Nezavisno i samostalno, moderno, efikasno pravosuđe, odgovorno i otvoreno prema građanima i društvu.</w:t>
            </w:r>
          </w:p>
        </w:tc>
      </w:tr>
      <w:tr w:rsidR="00860B74" w:rsidRPr="009A613C" w14:paraId="3921EB32" w14:textId="77777777" w:rsidTr="00860B74">
        <w:tc>
          <w:tcPr>
            <w:tcW w:w="9350" w:type="dxa"/>
            <w:gridSpan w:val="3"/>
            <w:shd w:val="clear" w:color="auto" w:fill="B4C6E7" w:themeFill="accent1" w:themeFillTint="66"/>
          </w:tcPr>
          <w:p w14:paraId="00EA5740" w14:textId="0E1B9147" w:rsidR="00860B74" w:rsidRPr="009A613C" w:rsidRDefault="00860B74" w:rsidP="00860B74">
            <w:pPr>
              <w:jc w:val="center"/>
              <w:rPr>
                <w:b/>
                <w:bCs/>
              </w:rPr>
            </w:pPr>
            <w:r w:rsidRPr="009A613C">
              <w:rPr>
                <w:b/>
                <w:bCs/>
              </w:rPr>
              <w:t>Opšti cilj Strategije</w:t>
            </w:r>
          </w:p>
        </w:tc>
      </w:tr>
      <w:tr w:rsidR="00860B74" w:rsidRPr="009A613C" w14:paraId="428A54FF" w14:textId="77777777" w:rsidTr="00BE13A3">
        <w:tc>
          <w:tcPr>
            <w:tcW w:w="9350" w:type="dxa"/>
            <w:gridSpan w:val="3"/>
          </w:tcPr>
          <w:p w14:paraId="4FEB9500" w14:textId="0EB40FC2" w:rsidR="00860B74" w:rsidRPr="009A613C" w:rsidRDefault="00860B74" w:rsidP="00860B74">
            <w:pPr>
              <w:jc w:val="both"/>
            </w:pPr>
            <w:r w:rsidRPr="009A613C">
              <w:t>Dalje osnaživanje pravne države, kroz jačanje nezavisnosti, odgovornosti, stručnosti i efikasnosti pravosuđa, kao i unaprijeđenu dostupnost pravde i pravnu sigurnost u postupku ostvarivanja zaštite prava i sloboda građana i podizanje nivoa povjerenja u pravosudni sistem.</w:t>
            </w:r>
          </w:p>
          <w:p w14:paraId="43919192" w14:textId="77777777" w:rsidR="00860B74" w:rsidRPr="009A613C" w:rsidRDefault="00860B74" w:rsidP="004F6A83"/>
        </w:tc>
      </w:tr>
      <w:tr w:rsidR="00860B74" w:rsidRPr="009A613C" w14:paraId="47635134" w14:textId="77777777" w:rsidTr="00860B74">
        <w:tc>
          <w:tcPr>
            <w:tcW w:w="3116" w:type="dxa"/>
            <w:shd w:val="clear" w:color="auto" w:fill="D9E2F3" w:themeFill="accent1" w:themeFillTint="33"/>
          </w:tcPr>
          <w:p w14:paraId="634F0679" w14:textId="3F7F1254" w:rsidR="00860B74" w:rsidRPr="009A613C" w:rsidRDefault="00860B74" w:rsidP="00860B74">
            <w:pPr>
              <w:jc w:val="center"/>
              <w:rPr>
                <w:b/>
                <w:bCs/>
              </w:rPr>
            </w:pPr>
            <w:r w:rsidRPr="009A613C">
              <w:rPr>
                <w:b/>
                <w:bCs/>
              </w:rPr>
              <w:t>Strateški cilj 1</w:t>
            </w:r>
          </w:p>
        </w:tc>
        <w:tc>
          <w:tcPr>
            <w:tcW w:w="3117" w:type="dxa"/>
            <w:shd w:val="clear" w:color="auto" w:fill="D9E2F3" w:themeFill="accent1" w:themeFillTint="33"/>
          </w:tcPr>
          <w:p w14:paraId="69B84CA3" w14:textId="737E4EA1" w:rsidR="00860B74" w:rsidRPr="009A613C" w:rsidRDefault="00860B74" w:rsidP="00860B74">
            <w:pPr>
              <w:jc w:val="center"/>
              <w:rPr>
                <w:b/>
                <w:bCs/>
              </w:rPr>
            </w:pPr>
            <w:r w:rsidRPr="009A613C">
              <w:rPr>
                <w:b/>
                <w:bCs/>
              </w:rPr>
              <w:t>Strateški cilj 2</w:t>
            </w:r>
          </w:p>
        </w:tc>
        <w:tc>
          <w:tcPr>
            <w:tcW w:w="3117" w:type="dxa"/>
            <w:shd w:val="clear" w:color="auto" w:fill="D9E2F3" w:themeFill="accent1" w:themeFillTint="33"/>
          </w:tcPr>
          <w:p w14:paraId="5E60ECA5" w14:textId="72AC8840" w:rsidR="00860B74" w:rsidRPr="009A613C" w:rsidRDefault="00860B74" w:rsidP="00860B74">
            <w:pPr>
              <w:jc w:val="center"/>
              <w:rPr>
                <w:b/>
                <w:bCs/>
              </w:rPr>
            </w:pPr>
            <w:r w:rsidRPr="009A613C">
              <w:rPr>
                <w:b/>
                <w:bCs/>
              </w:rPr>
              <w:t>Strateški cilj 3</w:t>
            </w:r>
          </w:p>
        </w:tc>
      </w:tr>
      <w:tr w:rsidR="00860B74" w:rsidRPr="009A613C" w14:paraId="38A164C2" w14:textId="77777777" w:rsidTr="00860B74">
        <w:tc>
          <w:tcPr>
            <w:tcW w:w="3116" w:type="dxa"/>
          </w:tcPr>
          <w:p w14:paraId="2D48A626" w14:textId="77777777" w:rsidR="00860B74" w:rsidRPr="009A613C" w:rsidRDefault="00860B74" w:rsidP="00860B74">
            <w:pPr>
              <w:jc w:val="center"/>
            </w:pPr>
            <w:r w:rsidRPr="009A613C">
              <w:t>Jačanje nezavisnosti, nepristrasnosti i odgovornosti pravosuđa</w:t>
            </w:r>
          </w:p>
          <w:p w14:paraId="6548B8CD" w14:textId="77777777" w:rsidR="00860B74" w:rsidRPr="009A613C" w:rsidRDefault="00860B74" w:rsidP="00860B74">
            <w:pPr>
              <w:jc w:val="center"/>
            </w:pPr>
          </w:p>
        </w:tc>
        <w:tc>
          <w:tcPr>
            <w:tcW w:w="3117" w:type="dxa"/>
          </w:tcPr>
          <w:p w14:paraId="3B394AD5" w14:textId="467C6B5A" w:rsidR="00860B74" w:rsidRPr="009A613C" w:rsidRDefault="0025255B" w:rsidP="00860B74">
            <w:pPr>
              <w:jc w:val="center"/>
            </w:pPr>
            <w:r w:rsidRPr="00F5656C">
              <w:t>Unaprjeđ</w:t>
            </w:r>
            <w:r w:rsidR="00860B74" w:rsidRPr="00F5656C">
              <w:t>enje stručnosti i efikasnosti pravosuđa</w:t>
            </w:r>
          </w:p>
          <w:p w14:paraId="31E67B66" w14:textId="77777777" w:rsidR="00860B74" w:rsidRPr="009A613C" w:rsidRDefault="00860B74" w:rsidP="00860B74">
            <w:pPr>
              <w:jc w:val="center"/>
              <w:rPr>
                <w:b/>
                <w:bCs/>
              </w:rPr>
            </w:pPr>
          </w:p>
        </w:tc>
        <w:tc>
          <w:tcPr>
            <w:tcW w:w="3117" w:type="dxa"/>
          </w:tcPr>
          <w:p w14:paraId="1E2EA3CE" w14:textId="6384A1AF" w:rsidR="00860B74" w:rsidRPr="009A613C" w:rsidRDefault="0025255B" w:rsidP="00860B74">
            <w:pPr>
              <w:jc w:val="center"/>
            </w:pPr>
            <w:r w:rsidRPr="009A613C">
              <w:t>Unaprjeđ</w:t>
            </w:r>
            <w:r w:rsidR="00860B74" w:rsidRPr="009A613C">
              <w:t>enje dostupnosti pravde, transparentnosti i povjerenja u pravosuđe</w:t>
            </w:r>
          </w:p>
          <w:p w14:paraId="7218B33F" w14:textId="77777777" w:rsidR="00860B74" w:rsidRPr="009A613C" w:rsidRDefault="00860B74" w:rsidP="00860B74">
            <w:pPr>
              <w:jc w:val="center"/>
            </w:pPr>
          </w:p>
        </w:tc>
      </w:tr>
    </w:tbl>
    <w:p w14:paraId="4360912B" w14:textId="67F720D9" w:rsidR="00120317" w:rsidRPr="009A613C" w:rsidRDefault="00120317" w:rsidP="00120317">
      <w:pPr>
        <w:spacing w:before="240"/>
        <w:jc w:val="both"/>
        <w:rPr>
          <w:sz w:val="23"/>
          <w:szCs w:val="23"/>
        </w:rPr>
      </w:pPr>
      <w:r w:rsidRPr="009A613C">
        <w:rPr>
          <w:sz w:val="23"/>
          <w:szCs w:val="23"/>
        </w:rPr>
        <w:t>Za svaki hijerarhijski nivo ciljeva, definisani su odgovarajući indikatori uspjeha sa početnim i ciljnim vrijednostima na polovini perioda sprovođenja Strategije, kao i u završnoj godini. Konkretnije, za strateške ciljeve se definišu indikatori uticaja (</w:t>
      </w:r>
      <w:r w:rsidRPr="009A613C">
        <w:rPr>
          <w:i/>
          <w:iCs/>
          <w:sz w:val="23"/>
          <w:szCs w:val="23"/>
        </w:rPr>
        <w:t>impact indicators</w:t>
      </w:r>
      <w:r w:rsidRPr="009A613C">
        <w:rPr>
          <w:sz w:val="23"/>
          <w:szCs w:val="23"/>
        </w:rPr>
        <w:t>), a za operativne ciljeve, indikator učinka (</w:t>
      </w:r>
      <w:r w:rsidRPr="009A613C">
        <w:rPr>
          <w:i/>
          <w:iCs/>
          <w:sz w:val="23"/>
          <w:szCs w:val="23"/>
        </w:rPr>
        <w:t>outcome indicators</w:t>
      </w:r>
      <w:r w:rsidRPr="009A613C">
        <w:rPr>
          <w:sz w:val="23"/>
          <w:szCs w:val="23"/>
        </w:rPr>
        <w:t>). Dodatno, za konkretne aktivnosti na sprovođenju Strategije definisani su indikatori rezultata (</w:t>
      </w:r>
      <w:r w:rsidRPr="009A613C">
        <w:rPr>
          <w:i/>
          <w:iCs/>
          <w:sz w:val="23"/>
          <w:szCs w:val="23"/>
        </w:rPr>
        <w:t>result indicators</w:t>
      </w:r>
      <w:r w:rsidRPr="009A613C">
        <w:rPr>
          <w:sz w:val="23"/>
          <w:szCs w:val="23"/>
        </w:rPr>
        <w:t>) u sklopu Akcionog plana.</w:t>
      </w:r>
    </w:p>
    <w:p w14:paraId="5022023D" w14:textId="4055ED81" w:rsidR="005C4299" w:rsidRPr="000D1C6B" w:rsidRDefault="00120317" w:rsidP="008649C4">
      <w:pPr>
        <w:spacing w:before="240" w:after="0"/>
        <w:jc w:val="both"/>
        <w:rPr>
          <w:sz w:val="23"/>
          <w:szCs w:val="23"/>
        </w:rPr>
      </w:pPr>
      <w:r w:rsidRPr="009A613C">
        <w:rPr>
          <w:sz w:val="23"/>
          <w:szCs w:val="23"/>
        </w:rPr>
        <w:t>Dakle, vizija razvoja pravosuđa Crne Gore i strateški ciljevi koji su definisani, daju odgovor na rješenje ključnog problema, dok su uzroci problema pretočeni u operativne ciljeve koji zapravo predstavljaju odgovor na pitanje kroz koje aktivnosti je moguće doći do unaprjeđenja stanja u periodu 2024-2027. godine.</w:t>
      </w:r>
    </w:p>
    <w:p w14:paraId="1B3604BD" w14:textId="574BF9B6" w:rsidR="004F6A83" w:rsidRPr="009A613C" w:rsidRDefault="004F6A83">
      <w:pPr>
        <w:pStyle w:val="Heading2"/>
        <w:numPr>
          <w:ilvl w:val="0"/>
          <w:numId w:val="1"/>
        </w:numPr>
        <w:spacing w:before="0" w:after="240"/>
        <w:jc w:val="center"/>
      </w:pPr>
      <w:bookmarkStart w:id="26" w:name="_Toc156937954"/>
      <w:r w:rsidRPr="009A613C">
        <w:t>Jačanje nezavisnosti, nepristrasnosti i odgovornosti pravosuđa</w:t>
      </w:r>
      <w:bookmarkEnd w:id="26"/>
    </w:p>
    <w:p w14:paraId="026083BB" w14:textId="39C102F7" w:rsidR="004F6A83" w:rsidRPr="009A613C" w:rsidRDefault="00374873" w:rsidP="0062443B">
      <w:pPr>
        <w:jc w:val="both"/>
      </w:pPr>
      <w:r w:rsidRPr="009A613C">
        <w:t xml:space="preserve">Analizom trenutnog stanja i uočavanjem ključnih problema u reformi pravosuđa tokom primjene prethodne SRP 2019-2022. definisan je strateški cilj 1 kao i set operativnih ciljeva </w:t>
      </w:r>
      <w:r w:rsidR="0062443B" w:rsidRPr="009A613C">
        <w:t>za dostizanje</w:t>
      </w:r>
      <w:r w:rsidR="00023B47" w:rsidRPr="009A613C">
        <w:t xml:space="preserve"> tog</w:t>
      </w:r>
      <w:r w:rsidR="0062443B" w:rsidRPr="009A613C">
        <w:t xml:space="preserve"> strateškog cilja</w:t>
      </w:r>
      <w:r w:rsidR="00023B47" w:rsidRPr="009A613C">
        <w:t>.</w:t>
      </w:r>
    </w:p>
    <w:p w14:paraId="373537AB" w14:textId="6F9C3620" w:rsidR="00023B47" w:rsidRPr="009A613C" w:rsidRDefault="00023B47" w:rsidP="0062443B">
      <w:pPr>
        <w:jc w:val="both"/>
      </w:pPr>
      <w:r w:rsidRPr="009A613C">
        <w:t>Napredak ostvaren u pogledu dostizanja Strateškog cilja 1 biće mjeren putem seta pokazatelja (indikatora) uticaja.</w:t>
      </w:r>
    </w:p>
    <w:p w14:paraId="7C4532F7" w14:textId="33746C85" w:rsidR="00D448ED" w:rsidRPr="009A613C" w:rsidRDefault="00D448ED" w:rsidP="00D448ED">
      <w:pPr>
        <w:jc w:val="center"/>
        <w:rPr>
          <w:sz w:val="23"/>
          <w:szCs w:val="23"/>
        </w:rPr>
      </w:pPr>
      <w:r w:rsidRPr="009A613C">
        <w:rPr>
          <w:i/>
          <w:iCs/>
          <w:sz w:val="20"/>
          <w:szCs w:val="20"/>
        </w:rPr>
        <w:t xml:space="preserve">Tabela </w:t>
      </w:r>
      <w:r w:rsidR="00714363">
        <w:rPr>
          <w:i/>
          <w:iCs/>
          <w:sz w:val="20"/>
          <w:szCs w:val="20"/>
        </w:rPr>
        <w:t>2</w:t>
      </w:r>
      <w:r w:rsidRPr="009A613C">
        <w:rPr>
          <w:i/>
          <w:iCs/>
          <w:sz w:val="20"/>
          <w:szCs w:val="20"/>
        </w:rPr>
        <w:t>:</w:t>
      </w:r>
      <w:r w:rsidR="00714363">
        <w:rPr>
          <w:i/>
          <w:iCs/>
          <w:sz w:val="20"/>
          <w:szCs w:val="20"/>
        </w:rPr>
        <w:t xml:space="preserve"> Operativni ciljevi u okviru Strateškog cilja 1</w:t>
      </w: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374873" w:rsidRPr="009A613C" w14:paraId="5ACBB304" w14:textId="77777777" w:rsidTr="00BE13A3">
        <w:trPr>
          <w:trHeight w:val="575"/>
        </w:trPr>
        <w:tc>
          <w:tcPr>
            <w:tcW w:w="5000" w:type="pct"/>
            <w:gridSpan w:val="4"/>
            <w:tcBorders>
              <w:top w:val="double" w:sz="4" w:space="0" w:color="auto"/>
              <w:right w:val="double" w:sz="4" w:space="0" w:color="auto"/>
            </w:tcBorders>
            <w:shd w:val="clear" w:color="auto" w:fill="D9E2F3" w:themeFill="accent1" w:themeFillTint="33"/>
          </w:tcPr>
          <w:p w14:paraId="7EF7F2A5" w14:textId="77777777" w:rsidR="00374873" w:rsidRPr="009A613C" w:rsidRDefault="00374873" w:rsidP="00BE13A3">
            <w:pPr>
              <w:rPr>
                <w:rFonts w:cstheme="minorHAnsi"/>
                <w:b/>
                <w:bCs/>
              </w:rPr>
            </w:pPr>
            <w:r w:rsidRPr="009A613C">
              <w:rPr>
                <w:rFonts w:cstheme="minorHAnsi"/>
                <w:b/>
                <w:bCs/>
              </w:rPr>
              <w:t>Strateški cilj 1: Jačanje nezavisnosti, nepristrasnosti i odgovornosti pravosuđa</w:t>
            </w:r>
          </w:p>
          <w:p w14:paraId="09249097" w14:textId="77777777" w:rsidR="00374873" w:rsidRPr="009A613C" w:rsidRDefault="00374873" w:rsidP="00BE13A3">
            <w:pPr>
              <w:rPr>
                <w:rFonts w:cstheme="minorHAnsi"/>
              </w:rPr>
            </w:pPr>
          </w:p>
        </w:tc>
      </w:tr>
      <w:tr w:rsidR="00374873" w:rsidRPr="009A613C" w14:paraId="63E1080C" w14:textId="77777777" w:rsidTr="00374873">
        <w:trPr>
          <w:trHeight w:val="575"/>
        </w:trPr>
        <w:tc>
          <w:tcPr>
            <w:tcW w:w="2344" w:type="pct"/>
            <w:tcBorders>
              <w:top w:val="double" w:sz="4" w:space="0" w:color="auto"/>
            </w:tcBorders>
            <w:shd w:val="clear" w:color="auto" w:fill="FBE4D5" w:themeFill="accent2" w:themeFillTint="33"/>
          </w:tcPr>
          <w:p w14:paraId="29064101" w14:textId="3F992EB4" w:rsidR="00374873" w:rsidRPr="009A613C" w:rsidRDefault="00374873" w:rsidP="00BE13A3">
            <w:pPr>
              <w:rPr>
                <w:rFonts w:cstheme="minorHAnsi"/>
              </w:rPr>
            </w:pPr>
            <w:r w:rsidRPr="009A613C">
              <w:rPr>
                <w:rFonts w:cstheme="minorHAnsi"/>
              </w:rPr>
              <w:t>Indikator uticaja</w:t>
            </w:r>
          </w:p>
        </w:tc>
        <w:tc>
          <w:tcPr>
            <w:tcW w:w="859" w:type="pct"/>
            <w:tcBorders>
              <w:top w:val="double" w:sz="4" w:space="0" w:color="auto"/>
            </w:tcBorders>
            <w:shd w:val="clear" w:color="auto" w:fill="FBE4D5" w:themeFill="accent2" w:themeFillTint="33"/>
          </w:tcPr>
          <w:p w14:paraId="59B4B377" w14:textId="77777777" w:rsidR="00374873" w:rsidRDefault="00374873" w:rsidP="00BE13A3">
            <w:pPr>
              <w:rPr>
                <w:rFonts w:cstheme="minorHAnsi"/>
              </w:rPr>
            </w:pPr>
            <w:r w:rsidRPr="009A613C">
              <w:rPr>
                <w:rFonts w:cstheme="minorHAnsi"/>
              </w:rPr>
              <w:t xml:space="preserve">Početna </w:t>
            </w:r>
            <w:r w:rsidR="00CB1B1E" w:rsidRPr="009A613C">
              <w:rPr>
                <w:rFonts w:cstheme="minorHAnsi"/>
              </w:rPr>
              <w:t>vrijednost</w:t>
            </w:r>
          </w:p>
          <w:p w14:paraId="6FF88F6A" w14:textId="1DF2082F" w:rsidR="007124FA" w:rsidRPr="009A613C" w:rsidRDefault="007124FA" w:rsidP="00BE13A3">
            <w:pPr>
              <w:rPr>
                <w:rFonts w:cstheme="minorHAnsi"/>
              </w:rPr>
            </w:pPr>
            <w:r>
              <w:rPr>
                <w:rFonts w:cstheme="minorHAnsi"/>
              </w:rPr>
              <w:t>2023.</w:t>
            </w:r>
          </w:p>
        </w:tc>
        <w:tc>
          <w:tcPr>
            <w:tcW w:w="859" w:type="pct"/>
            <w:tcBorders>
              <w:top w:val="double" w:sz="4" w:space="0" w:color="auto"/>
            </w:tcBorders>
            <w:shd w:val="clear" w:color="auto" w:fill="FBE4D5" w:themeFill="accent2" w:themeFillTint="33"/>
          </w:tcPr>
          <w:p w14:paraId="2DA2BD5C" w14:textId="77777777" w:rsidR="00374873" w:rsidRPr="009A613C" w:rsidRDefault="00374873" w:rsidP="00BE13A3">
            <w:pPr>
              <w:rPr>
                <w:rFonts w:cstheme="minorHAnsi"/>
              </w:rPr>
            </w:pPr>
            <w:r w:rsidRPr="009A613C">
              <w:rPr>
                <w:rFonts w:cstheme="minorHAnsi"/>
              </w:rPr>
              <w:t>Ciljana vrijednost 2025.</w:t>
            </w:r>
          </w:p>
        </w:tc>
        <w:tc>
          <w:tcPr>
            <w:tcW w:w="938" w:type="pct"/>
            <w:tcBorders>
              <w:top w:val="double" w:sz="4" w:space="0" w:color="auto"/>
              <w:right w:val="double" w:sz="4" w:space="0" w:color="auto"/>
            </w:tcBorders>
            <w:shd w:val="clear" w:color="auto" w:fill="FBE4D5" w:themeFill="accent2" w:themeFillTint="33"/>
          </w:tcPr>
          <w:p w14:paraId="574742F8" w14:textId="77777777" w:rsidR="00374873" w:rsidRPr="009A613C" w:rsidRDefault="00374873" w:rsidP="00BE13A3">
            <w:pPr>
              <w:rPr>
                <w:rFonts w:cstheme="minorHAnsi"/>
              </w:rPr>
            </w:pPr>
            <w:r w:rsidRPr="009A613C">
              <w:rPr>
                <w:rFonts w:cstheme="minorHAnsi"/>
              </w:rPr>
              <w:t>Ciljana vrijednost 2027.</w:t>
            </w:r>
          </w:p>
        </w:tc>
      </w:tr>
      <w:tr w:rsidR="00374873" w:rsidRPr="009A613C" w14:paraId="4D85F3A1" w14:textId="77777777" w:rsidTr="00374873">
        <w:trPr>
          <w:trHeight w:val="254"/>
        </w:trPr>
        <w:tc>
          <w:tcPr>
            <w:tcW w:w="2344" w:type="pct"/>
            <w:tcBorders>
              <w:top w:val="double" w:sz="4" w:space="0" w:color="auto"/>
              <w:bottom w:val="double" w:sz="4" w:space="0" w:color="auto"/>
            </w:tcBorders>
            <w:shd w:val="clear" w:color="auto" w:fill="FFFFFF" w:themeFill="background1"/>
          </w:tcPr>
          <w:p w14:paraId="4D3034A4" w14:textId="51CA54F5" w:rsidR="00374873" w:rsidRPr="009A613C" w:rsidRDefault="00D82062" w:rsidP="00D82062">
            <w:pPr>
              <w:shd w:val="clear" w:color="auto" w:fill="FFFFFF" w:themeFill="background1"/>
              <w:spacing w:after="240"/>
              <w:jc w:val="both"/>
              <w:rPr>
                <w:rFonts w:cstheme="minorHAnsi"/>
              </w:rPr>
            </w:pPr>
            <w:r>
              <w:rPr>
                <w:rFonts w:cstheme="minorHAnsi"/>
              </w:rPr>
              <w:t xml:space="preserve">Normativni okvir kojim se uređuje izbor, ocjenjivanje, </w:t>
            </w:r>
            <w:r w:rsidR="002651AE">
              <w:rPr>
                <w:rFonts w:cstheme="minorHAnsi"/>
              </w:rPr>
              <w:t xml:space="preserve">materijalni položaj, </w:t>
            </w:r>
            <w:r>
              <w:rPr>
                <w:rFonts w:cstheme="minorHAnsi"/>
              </w:rPr>
              <w:t xml:space="preserve">napredovanje i prestanak pravosudnih funkcija usklađen sa relevantnim </w:t>
            </w:r>
            <w:r>
              <w:rPr>
                <w:rFonts w:cstheme="minorHAnsi"/>
              </w:rPr>
              <w:lastRenderedPageBreak/>
              <w:t>međunarodnim standardima i preporukama Venecijanske komisije.</w:t>
            </w:r>
          </w:p>
        </w:tc>
        <w:tc>
          <w:tcPr>
            <w:tcW w:w="859" w:type="pct"/>
            <w:tcBorders>
              <w:top w:val="double" w:sz="4" w:space="0" w:color="auto"/>
              <w:bottom w:val="double" w:sz="4" w:space="0" w:color="auto"/>
            </w:tcBorders>
            <w:shd w:val="clear" w:color="auto" w:fill="FFFFFF" w:themeFill="background1"/>
          </w:tcPr>
          <w:p w14:paraId="4D605AA2" w14:textId="32D2A960" w:rsidR="00374873" w:rsidRPr="009A613C" w:rsidRDefault="00D82062" w:rsidP="00BE13A3">
            <w:pPr>
              <w:shd w:val="clear" w:color="auto" w:fill="FFFFFF" w:themeFill="background1"/>
              <w:jc w:val="center"/>
              <w:rPr>
                <w:rFonts w:cstheme="minorHAnsi"/>
              </w:rPr>
            </w:pPr>
            <w:r>
              <w:rPr>
                <w:rFonts w:cstheme="minorHAnsi"/>
              </w:rPr>
              <w:lastRenderedPageBreak/>
              <w:t>NE</w:t>
            </w:r>
          </w:p>
        </w:tc>
        <w:tc>
          <w:tcPr>
            <w:tcW w:w="859" w:type="pct"/>
            <w:tcBorders>
              <w:top w:val="double" w:sz="4" w:space="0" w:color="auto"/>
              <w:bottom w:val="double" w:sz="4" w:space="0" w:color="auto"/>
            </w:tcBorders>
            <w:shd w:val="clear" w:color="auto" w:fill="FFFFFF" w:themeFill="background1"/>
          </w:tcPr>
          <w:p w14:paraId="0481D7A4" w14:textId="0479D726" w:rsidR="00374873" w:rsidRPr="009A613C" w:rsidRDefault="00D82062" w:rsidP="00BE13A3">
            <w:pPr>
              <w:shd w:val="clear" w:color="auto" w:fill="FFFFFF" w:themeFill="background1"/>
              <w:jc w:val="center"/>
              <w:rPr>
                <w:rFonts w:cstheme="minorHAnsi"/>
              </w:rPr>
            </w:pPr>
            <w:r>
              <w:rPr>
                <w:rFonts w:cstheme="minorHAnsi"/>
              </w:rPr>
              <w:t>DA</w:t>
            </w:r>
          </w:p>
        </w:tc>
        <w:tc>
          <w:tcPr>
            <w:tcW w:w="938" w:type="pct"/>
            <w:tcBorders>
              <w:top w:val="double" w:sz="4" w:space="0" w:color="auto"/>
              <w:bottom w:val="double" w:sz="4" w:space="0" w:color="auto"/>
              <w:right w:val="double" w:sz="4" w:space="0" w:color="auto"/>
            </w:tcBorders>
            <w:shd w:val="clear" w:color="auto" w:fill="FFFFFF" w:themeFill="background1"/>
          </w:tcPr>
          <w:p w14:paraId="043A5971" w14:textId="0A321277" w:rsidR="00374873" w:rsidRPr="009A613C" w:rsidRDefault="00D82062" w:rsidP="00BE13A3">
            <w:pPr>
              <w:shd w:val="clear" w:color="auto" w:fill="FFFFFF" w:themeFill="background1"/>
              <w:jc w:val="center"/>
              <w:rPr>
                <w:rFonts w:cstheme="minorHAnsi"/>
              </w:rPr>
            </w:pPr>
            <w:r>
              <w:rPr>
                <w:rFonts w:cstheme="minorHAnsi"/>
              </w:rPr>
              <w:t>DA</w:t>
            </w:r>
          </w:p>
        </w:tc>
      </w:tr>
      <w:tr w:rsidR="00374873" w:rsidRPr="009A613C" w14:paraId="43F1DC66" w14:textId="77777777" w:rsidTr="00374873">
        <w:trPr>
          <w:trHeight w:val="254"/>
        </w:trPr>
        <w:tc>
          <w:tcPr>
            <w:tcW w:w="2344" w:type="pct"/>
            <w:tcBorders>
              <w:top w:val="double" w:sz="4" w:space="0" w:color="auto"/>
              <w:bottom w:val="double" w:sz="4" w:space="0" w:color="auto"/>
            </w:tcBorders>
            <w:shd w:val="clear" w:color="auto" w:fill="FFFFFF" w:themeFill="background1"/>
          </w:tcPr>
          <w:p w14:paraId="062E0E8F" w14:textId="4B4C50A6" w:rsidR="00374873" w:rsidRPr="009A613C" w:rsidRDefault="00B119B4" w:rsidP="00CB1B1E">
            <w:pPr>
              <w:shd w:val="clear" w:color="auto" w:fill="FFFFFF" w:themeFill="background1"/>
              <w:spacing w:after="240"/>
              <w:jc w:val="both"/>
              <w:rPr>
                <w:rFonts w:cstheme="minorHAnsi"/>
              </w:rPr>
            </w:pPr>
            <w:r>
              <w:rPr>
                <w:rFonts w:cstheme="minorHAnsi"/>
              </w:rPr>
              <w:t xml:space="preserve">Sudski i </w:t>
            </w:r>
            <w:r w:rsidR="00EB01D2">
              <w:rPr>
                <w:rFonts w:cstheme="minorHAnsi"/>
              </w:rPr>
              <w:t>T</w:t>
            </w:r>
            <w:r>
              <w:rPr>
                <w:rFonts w:cstheme="minorHAnsi"/>
              </w:rPr>
              <w:t>užilački savjet</w:t>
            </w:r>
            <w:r w:rsidR="00D82062">
              <w:rPr>
                <w:rFonts w:cstheme="minorHAnsi"/>
              </w:rPr>
              <w:t xml:space="preserve"> funkcionišu u punom sastavu, podržani adekvatnim ljudskim, finansijskim i infrastrukturnim resursima, čime se osiguravaju blagovremeni postupci izbora, ocjenjivanja i</w:t>
            </w:r>
            <w:r w:rsidR="00CB1B1E">
              <w:rPr>
                <w:rFonts w:cstheme="minorHAnsi"/>
              </w:rPr>
              <w:t xml:space="preserve"> disciplinske odgovornosti</w:t>
            </w:r>
            <w:r>
              <w:rPr>
                <w:rFonts w:cstheme="minorHAnsi"/>
              </w:rPr>
              <w:t xml:space="preserve"> sudija i državnih tužilaca</w:t>
            </w:r>
            <w:r w:rsidR="00CB1B1E">
              <w:rPr>
                <w:rFonts w:cstheme="minorHAnsi"/>
              </w:rPr>
              <w:t>.</w:t>
            </w:r>
            <w:r w:rsidR="00D82062">
              <w:rPr>
                <w:rFonts w:cstheme="minorHAnsi"/>
              </w:rPr>
              <w:t xml:space="preserve"> </w:t>
            </w:r>
          </w:p>
        </w:tc>
        <w:tc>
          <w:tcPr>
            <w:tcW w:w="859" w:type="pct"/>
            <w:tcBorders>
              <w:top w:val="double" w:sz="4" w:space="0" w:color="auto"/>
              <w:bottom w:val="double" w:sz="4" w:space="0" w:color="auto"/>
            </w:tcBorders>
            <w:shd w:val="clear" w:color="auto" w:fill="FFFFFF" w:themeFill="background1"/>
          </w:tcPr>
          <w:p w14:paraId="2FF13EB2" w14:textId="34B8D0BF" w:rsidR="00374873" w:rsidRPr="009A613C" w:rsidRDefault="00CB1B1E" w:rsidP="00BE13A3">
            <w:pPr>
              <w:shd w:val="clear" w:color="auto" w:fill="FFFFFF" w:themeFill="background1"/>
              <w:jc w:val="center"/>
              <w:rPr>
                <w:rFonts w:cstheme="minorHAnsi"/>
              </w:rPr>
            </w:pPr>
            <w:r>
              <w:rPr>
                <w:rFonts w:cstheme="minorHAnsi"/>
              </w:rPr>
              <w:t>NE</w:t>
            </w:r>
          </w:p>
        </w:tc>
        <w:tc>
          <w:tcPr>
            <w:tcW w:w="859" w:type="pct"/>
            <w:tcBorders>
              <w:top w:val="double" w:sz="4" w:space="0" w:color="auto"/>
              <w:bottom w:val="double" w:sz="4" w:space="0" w:color="auto"/>
            </w:tcBorders>
            <w:shd w:val="clear" w:color="auto" w:fill="FFFFFF" w:themeFill="background1"/>
          </w:tcPr>
          <w:p w14:paraId="54FEF5B9" w14:textId="08D5FD12" w:rsidR="00374873" w:rsidRPr="009A613C" w:rsidRDefault="00F50808" w:rsidP="00BE13A3">
            <w:pPr>
              <w:shd w:val="clear" w:color="auto" w:fill="FFFFFF" w:themeFill="background1"/>
              <w:jc w:val="center"/>
              <w:rPr>
                <w:rFonts w:cstheme="minorHAnsi"/>
              </w:rPr>
            </w:pPr>
            <w:r w:rsidRPr="00F5656C">
              <w:rPr>
                <w:rFonts w:cstheme="minorHAnsi"/>
              </w:rPr>
              <w:t>NE</w:t>
            </w:r>
          </w:p>
        </w:tc>
        <w:tc>
          <w:tcPr>
            <w:tcW w:w="938" w:type="pct"/>
            <w:tcBorders>
              <w:top w:val="double" w:sz="4" w:space="0" w:color="auto"/>
              <w:bottom w:val="double" w:sz="4" w:space="0" w:color="auto"/>
              <w:right w:val="double" w:sz="4" w:space="0" w:color="auto"/>
            </w:tcBorders>
            <w:shd w:val="clear" w:color="auto" w:fill="FFFFFF" w:themeFill="background1"/>
          </w:tcPr>
          <w:p w14:paraId="5425A9D9" w14:textId="65C8230F" w:rsidR="00374873" w:rsidRPr="009A613C" w:rsidRDefault="00CB1B1E" w:rsidP="00BE13A3">
            <w:pPr>
              <w:shd w:val="clear" w:color="auto" w:fill="FFFFFF" w:themeFill="background1"/>
              <w:jc w:val="center"/>
              <w:rPr>
                <w:rFonts w:cstheme="minorHAnsi"/>
              </w:rPr>
            </w:pPr>
            <w:r>
              <w:rPr>
                <w:rFonts w:cstheme="minorHAnsi"/>
              </w:rPr>
              <w:t>DA</w:t>
            </w:r>
          </w:p>
        </w:tc>
      </w:tr>
      <w:tr w:rsidR="003B47E8" w:rsidRPr="00610D06" w14:paraId="0E748A30"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364D3DE3" w14:textId="721BDFE4" w:rsidR="003B47E8" w:rsidRPr="00610D06" w:rsidRDefault="003B47E8" w:rsidP="00610D06">
            <w:pPr>
              <w:rPr>
                <w:b/>
                <w:bCs/>
                <w:u w:val="single"/>
              </w:rPr>
            </w:pPr>
            <w:r w:rsidRPr="00610D06">
              <w:rPr>
                <w:b/>
                <w:bCs/>
                <w:u w:val="single"/>
              </w:rPr>
              <w:t>U okviru Strateškog cilja 1 definisani su sl</w:t>
            </w:r>
            <w:r w:rsidR="00802A44">
              <w:rPr>
                <w:b/>
                <w:bCs/>
                <w:u w:val="single"/>
              </w:rPr>
              <w:t>j</w:t>
            </w:r>
            <w:r w:rsidRPr="00610D06">
              <w:rPr>
                <w:b/>
                <w:bCs/>
                <w:u w:val="single"/>
              </w:rPr>
              <w:t>edeći operativni ciljevi:</w:t>
            </w:r>
          </w:p>
          <w:p w14:paraId="4C4BF9BE" w14:textId="7225C3EB" w:rsidR="003B47E8" w:rsidRPr="00610D06" w:rsidRDefault="003B47E8" w:rsidP="00802A44">
            <w:pPr>
              <w:jc w:val="both"/>
            </w:pPr>
            <w:r w:rsidRPr="00610D06">
              <w:t xml:space="preserve">OC </w:t>
            </w:r>
            <w:r w:rsidR="00F069AE" w:rsidRPr="00610D06">
              <w:t>1</w:t>
            </w:r>
            <w:r w:rsidRPr="00610D06">
              <w:t xml:space="preserve">.1. </w:t>
            </w:r>
            <w:r w:rsidR="0025255B" w:rsidRPr="00610D06">
              <w:t>Unaprjeđ</w:t>
            </w:r>
            <w:r w:rsidR="00F069AE" w:rsidRPr="00610D06">
              <w:t xml:space="preserve">enje normativnog okvira koji garantuje nezavisnost pravosuđa </w:t>
            </w:r>
          </w:p>
          <w:p w14:paraId="19B8C46B" w14:textId="3F414662" w:rsidR="003B47E8" w:rsidRPr="00610D06" w:rsidRDefault="003B47E8" w:rsidP="00802A44">
            <w:pPr>
              <w:jc w:val="both"/>
            </w:pPr>
            <w:r w:rsidRPr="00610D06">
              <w:t xml:space="preserve">OC </w:t>
            </w:r>
            <w:r w:rsidR="00F069AE" w:rsidRPr="00610D06">
              <w:t>1</w:t>
            </w:r>
            <w:r w:rsidRPr="00610D06">
              <w:t xml:space="preserve">.2. </w:t>
            </w:r>
            <w:r w:rsidR="00F069AE" w:rsidRPr="00610D06">
              <w:t>Efektivna implementacija sistema za izbor, ocjenjivanje rada i napredovanje sudija i državnih tužilaca</w:t>
            </w:r>
          </w:p>
          <w:p w14:paraId="605400E8" w14:textId="5EBBF5F4" w:rsidR="003B47E8" w:rsidRPr="00610D06" w:rsidRDefault="003B47E8" w:rsidP="00802A44">
            <w:pPr>
              <w:jc w:val="both"/>
            </w:pPr>
            <w:r w:rsidRPr="00610D06">
              <w:t xml:space="preserve">OC </w:t>
            </w:r>
            <w:r w:rsidR="00F069AE" w:rsidRPr="00610D06">
              <w:t>1</w:t>
            </w:r>
            <w:r w:rsidRPr="00610D06">
              <w:t xml:space="preserve">.3. </w:t>
            </w:r>
            <w:r w:rsidR="00F069AE" w:rsidRPr="00610D06">
              <w:t xml:space="preserve">Jačanje kapaciteta </w:t>
            </w:r>
            <w:r w:rsidR="00B119B4">
              <w:t xml:space="preserve">Sudskog i </w:t>
            </w:r>
            <w:r w:rsidR="007124FA">
              <w:t>T</w:t>
            </w:r>
            <w:r w:rsidR="00B119B4">
              <w:t>užilačkog</w:t>
            </w:r>
            <w:r w:rsidR="00F069AE" w:rsidRPr="00610D06">
              <w:t xml:space="preserve"> savjeta</w:t>
            </w:r>
          </w:p>
          <w:p w14:paraId="11B39B6D" w14:textId="20207E27" w:rsidR="003B47E8" w:rsidRPr="00610D06" w:rsidRDefault="003B47E8" w:rsidP="00802A44">
            <w:pPr>
              <w:jc w:val="both"/>
            </w:pPr>
            <w:r w:rsidRPr="00610D06">
              <w:t xml:space="preserve">OC </w:t>
            </w:r>
            <w:r w:rsidR="00F069AE" w:rsidRPr="00610D06">
              <w:t>1</w:t>
            </w:r>
            <w:r w:rsidRPr="00610D06">
              <w:t xml:space="preserve">.4. </w:t>
            </w:r>
            <w:r w:rsidR="0025255B" w:rsidRPr="00610D06">
              <w:t>Unaprjeđ</w:t>
            </w:r>
            <w:r w:rsidR="00F069AE" w:rsidRPr="00610D06">
              <w:t>enje finansijske nezavisnosti pravosuđa</w:t>
            </w:r>
          </w:p>
          <w:p w14:paraId="325E6197" w14:textId="14342DFB" w:rsidR="003B47E8" w:rsidRPr="00610D06" w:rsidRDefault="003B47E8" w:rsidP="00802A44">
            <w:pPr>
              <w:jc w:val="both"/>
            </w:pPr>
            <w:r w:rsidRPr="00610D06">
              <w:t xml:space="preserve">OC </w:t>
            </w:r>
            <w:r w:rsidR="00F069AE" w:rsidRPr="00610D06">
              <w:t>1</w:t>
            </w:r>
            <w:r w:rsidRPr="00610D06">
              <w:t xml:space="preserve">.5. </w:t>
            </w:r>
            <w:r w:rsidR="00F069AE" w:rsidRPr="00610D06">
              <w:t xml:space="preserve">Jačanje nepristrasnosti i integriteta nosilaca pravosudnih funkcija kroz dosljedno poštovanje principa slučajne dodjele predmeta, primjenu odredaba o izuzeću i poštovanje etičkih kodeksa </w:t>
            </w:r>
          </w:p>
          <w:p w14:paraId="69D2B226" w14:textId="6E537ECB" w:rsidR="003B47E8" w:rsidRPr="00610D06" w:rsidRDefault="003B47E8" w:rsidP="00802A44">
            <w:pPr>
              <w:jc w:val="both"/>
            </w:pPr>
            <w:r w:rsidRPr="00610D06">
              <w:t xml:space="preserve">OC </w:t>
            </w:r>
            <w:r w:rsidR="00F069AE" w:rsidRPr="00610D06">
              <w:t>1</w:t>
            </w:r>
            <w:r w:rsidRPr="00610D06">
              <w:t xml:space="preserve">.6. </w:t>
            </w:r>
            <w:r w:rsidR="00F069AE" w:rsidRPr="00610D06">
              <w:t>Jačanje sistema disciplinske odgovornosti nosilaca pravosudnih funkcija</w:t>
            </w:r>
          </w:p>
          <w:p w14:paraId="530942E8" w14:textId="4A8513C0" w:rsidR="003B47E8" w:rsidRPr="00610D06" w:rsidRDefault="003B47E8" w:rsidP="00802A44">
            <w:pPr>
              <w:jc w:val="both"/>
            </w:pPr>
            <w:r w:rsidRPr="00610D06">
              <w:t xml:space="preserve">OC </w:t>
            </w:r>
            <w:r w:rsidR="00F069AE" w:rsidRPr="00610D06">
              <w:t>1</w:t>
            </w:r>
            <w:r w:rsidRPr="00610D06">
              <w:t xml:space="preserve">.7. </w:t>
            </w:r>
            <w:r w:rsidR="00F069AE" w:rsidRPr="00610D06">
              <w:t>Jačanje sistema disciplinske odgovornosti pravosudnih profesija</w:t>
            </w:r>
          </w:p>
          <w:p w14:paraId="7ACFBC37" w14:textId="33C365B8" w:rsidR="003B47E8" w:rsidRPr="00610D06" w:rsidRDefault="003B47E8" w:rsidP="00610D06"/>
        </w:tc>
      </w:tr>
      <w:tr w:rsidR="00610D06" w:rsidRPr="00610D06" w14:paraId="2C04275D"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F2F2F2" w:themeFill="background1" w:themeFillShade="F2"/>
          </w:tcPr>
          <w:p w14:paraId="3FB5D23C" w14:textId="77777777" w:rsidR="00342BA6" w:rsidRDefault="00342BA6" w:rsidP="00F5656C">
            <w:pPr>
              <w:spacing w:after="120"/>
              <w:rPr>
                <w:b/>
                <w:bCs/>
                <w:u w:val="single"/>
              </w:rPr>
            </w:pPr>
            <w:r>
              <w:rPr>
                <w:b/>
                <w:bCs/>
                <w:u w:val="single"/>
              </w:rPr>
              <w:t xml:space="preserve">Relevantna privremena mjerila, Poglavlje 23: </w:t>
            </w:r>
          </w:p>
          <w:p w14:paraId="6B2721CD" w14:textId="63E4F387" w:rsidR="00004F17" w:rsidRPr="00004F17" w:rsidRDefault="00F42994" w:rsidP="00F5656C">
            <w:pPr>
              <w:spacing w:after="120"/>
              <w:ind w:left="360"/>
              <w:jc w:val="both"/>
              <w:rPr>
                <w:lang w:val="bs-Latn-BA"/>
              </w:rPr>
            </w:pPr>
            <w:r w:rsidRPr="00F5656C">
              <w:rPr>
                <w:b/>
                <w:bCs/>
                <w:lang w:val="bs-Latn-BA"/>
              </w:rPr>
              <w:t>PM 3:</w:t>
            </w:r>
            <w:r>
              <w:rPr>
                <w:lang w:val="bs-Latn-BA"/>
              </w:rPr>
              <w:t xml:space="preserve"> </w:t>
            </w:r>
            <w:r w:rsidR="00004F17" w:rsidRPr="00004F17">
              <w:rPr>
                <w:lang w:val="bs-Latn-BA"/>
              </w:rPr>
              <w:t>Crna Gora sprovodi ustavne promjene u skladu s preporukama Venecijanske komisije i evropskim standardima i najboljim praksama. Shodno tome, Crna Gora usvaja sekundarno zakonodavstvo. Na osnovu toga:</w:t>
            </w:r>
          </w:p>
          <w:p w14:paraId="1832A4D8" w14:textId="452876E1" w:rsidR="00004F17" w:rsidRPr="00F42994" w:rsidRDefault="00F42994" w:rsidP="00F5656C">
            <w:pPr>
              <w:spacing w:after="120"/>
              <w:ind w:left="360"/>
              <w:jc w:val="both"/>
              <w:rPr>
                <w:lang w:val="bs-Latn-BA"/>
              </w:rPr>
            </w:pPr>
            <w:r w:rsidRPr="00F5656C">
              <w:rPr>
                <w:b/>
                <w:bCs/>
                <w:lang w:val="bs-Latn-BA"/>
              </w:rPr>
              <w:t>PM 4</w:t>
            </w:r>
            <w:r>
              <w:rPr>
                <w:lang w:val="bs-Latn-BA"/>
              </w:rPr>
              <w:t xml:space="preserve">: </w:t>
            </w:r>
            <w:r w:rsidR="00004F17" w:rsidRPr="00004F17">
              <w:rPr>
                <w:lang w:val="bs-Latn-BA"/>
              </w:rPr>
              <w:t>Crna Gora uspostavlja početni bilans ostvarenih rezultata u imenovanju sudija i tužilaca na višim instancama na osnovu transparentnog i postupka zasnovanog na zaslugama i substancijalnih pragova kvalifikovane većine gdje je uključena i Skupština;</w:t>
            </w:r>
          </w:p>
          <w:p w14:paraId="6A8B1F79" w14:textId="0993E1CA" w:rsidR="00004F17" w:rsidRPr="00F42994" w:rsidRDefault="00F42994" w:rsidP="005C4299">
            <w:pPr>
              <w:spacing w:after="120"/>
              <w:ind w:left="345"/>
              <w:jc w:val="both"/>
              <w:rPr>
                <w:lang w:val="bs-Latn-BA"/>
              </w:rPr>
            </w:pPr>
            <w:r w:rsidRPr="00BF05E3">
              <w:rPr>
                <w:b/>
                <w:bCs/>
                <w:lang w:val="bs-Latn-BA"/>
              </w:rPr>
              <w:t xml:space="preserve">PM </w:t>
            </w:r>
            <w:r>
              <w:rPr>
                <w:b/>
                <w:bCs/>
                <w:lang w:val="bs-Latn-BA"/>
              </w:rPr>
              <w:t xml:space="preserve">5: </w:t>
            </w:r>
            <w:r w:rsidR="00004F17" w:rsidRPr="00004F17">
              <w:rPr>
                <w:lang w:val="bs-Latn-BA"/>
              </w:rPr>
              <w:t>Crna Gora uspostavlja početni bilans ostvarenih rezultata u postavljanju sudija i tužilaca na osnovu jedinstvenog, državnog, transparentnog sistema osnovanog na zaslugama i obezbjeđuje da kandidati za sudije i tužioce prođu obaveznu inicijalnu obuku u Centru za obuku nosilaca pravosudne funkcije prije imenovanja;</w:t>
            </w:r>
          </w:p>
          <w:p w14:paraId="0D42C47B" w14:textId="62C00B92" w:rsidR="00004F17" w:rsidRPr="00F42994" w:rsidRDefault="00F42994" w:rsidP="005C4299">
            <w:pPr>
              <w:spacing w:after="120"/>
              <w:ind w:left="345"/>
              <w:jc w:val="both"/>
              <w:rPr>
                <w:lang w:val="bs-Latn-BA"/>
              </w:rPr>
            </w:pPr>
            <w:r w:rsidRPr="00BF05E3">
              <w:rPr>
                <w:b/>
                <w:bCs/>
                <w:lang w:val="bs-Latn-BA"/>
              </w:rPr>
              <w:t>PM</w:t>
            </w:r>
            <w:r w:rsidR="007C1AE7">
              <w:rPr>
                <w:b/>
                <w:bCs/>
                <w:lang w:val="bs-Latn-BA"/>
              </w:rPr>
              <w:t xml:space="preserve"> </w:t>
            </w:r>
            <w:r>
              <w:rPr>
                <w:b/>
                <w:bCs/>
                <w:lang w:val="bs-Latn-BA"/>
              </w:rPr>
              <w:t xml:space="preserve">6: </w:t>
            </w:r>
            <w:r w:rsidR="00004F17" w:rsidRPr="00004F17">
              <w:rPr>
                <w:lang w:val="bs-Latn-BA"/>
              </w:rPr>
              <w:t>Crna Gora uspostavlja inicijalni bilans ostvarenih rezultata u sprovođenju fer i transparentnog sistema unapređenja sudija i tužilaca na osnovu povremene procjene stručnog učinka (uključujući i viši nivo);</w:t>
            </w:r>
          </w:p>
          <w:p w14:paraId="07EC8DC6" w14:textId="04E60FA7" w:rsidR="00004F17" w:rsidRPr="00223587" w:rsidRDefault="00F42994" w:rsidP="00F5656C">
            <w:pPr>
              <w:spacing w:after="120"/>
              <w:ind w:left="360"/>
              <w:jc w:val="both"/>
              <w:rPr>
                <w:lang w:val="bs-Latn-BA"/>
              </w:rPr>
            </w:pPr>
            <w:r w:rsidRPr="00BF05E3">
              <w:rPr>
                <w:b/>
                <w:bCs/>
                <w:lang w:val="bs-Latn-BA"/>
              </w:rPr>
              <w:t xml:space="preserve">PM </w:t>
            </w:r>
            <w:r>
              <w:rPr>
                <w:b/>
                <w:bCs/>
                <w:lang w:val="bs-Latn-BA"/>
              </w:rPr>
              <w:t xml:space="preserve">7: </w:t>
            </w:r>
            <w:r w:rsidR="00004F17" w:rsidRPr="00004F17">
              <w:rPr>
                <w:lang w:val="bs-Latn-BA"/>
              </w:rPr>
              <w:t xml:space="preserve">Crna Gora jača administrativne kapacitete Sudskog i Tužilačkog savjeta omogućavajući im da svoje ključne funkcije vrše profesionalno, odgovorno, transparentno i nepristrasno.  </w:t>
            </w:r>
          </w:p>
          <w:p w14:paraId="520FEF3B" w14:textId="45E8C05D" w:rsidR="00004F17" w:rsidRPr="00004F17" w:rsidRDefault="00F42994" w:rsidP="00F5656C">
            <w:pPr>
              <w:spacing w:after="120"/>
              <w:ind w:left="360"/>
              <w:jc w:val="both"/>
              <w:rPr>
                <w:lang w:val="bs-Latn-BA"/>
              </w:rPr>
            </w:pPr>
            <w:r w:rsidRPr="00BF05E3">
              <w:rPr>
                <w:b/>
                <w:bCs/>
                <w:lang w:val="bs-Latn-BA"/>
              </w:rPr>
              <w:t xml:space="preserve">PM </w:t>
            </w:r>
            <w:r>
              <w:rPr>
                <w:b/>
                <w:bCs/>
                <w:lang w:val="bs-Latn-BA"/>
              </w:rPr>
              <w:t xml:space="preserve">8: </w:t>
            </w:r>
            <w:r w:rsidR="00004F17" w:rsidRPr="00004F17">
              <w:rPr>
                <w:lang w:val="bs-Latn-BA"/>
              </w:rPr>
              <w:t>Crna Gora jača sistem slučajne dodjele predmeta u svim sudovima s tri ili više sudija koristeći PRIS aplikaciju i obezbjeđuje da planirana analiza racionalizacije sudskog sistema potvrđuje obavezu uspostavljanja minimalnog broja sudija po sudu koji omogućava efektivnu slučajnu dodjelu predmeta.</w:t>
            </w:r>
          </w:p>
          <w:p w14:paraId="485987DE" w14:textId="2368EC52" w:rsidR="00004F17" w:rsidRPr="00004F17" w:rsidRDefault="00F42994" w:rsidP="00F5656C">
            <w:pPr>
              <w:spacing w:after="120"/>
              <w:ind w:left="360"/>
              <w:jc w:val="both"/>
              <w:rPr>
                <w:lang w:val="bs-Latn-BA"/>
              </w:rPr>
            </w:pPr>
            <w:r w:rsidRPr="00BF05E3">
              <w:rPr>
                <w:b/>
                <w:bCs/>
                <w:lang w:val="bs-Latn-BA"/>
              </w:rPr>
              <w:t xml:space="preserve">PM </w:t>
            </w:r>
            <w:r>
              <w:rPr>
                <w:b/>
                <w:bCs/>
                <w:lang w:val="bs-Latn-BA"/>
              </w:rPr>
              <w:t xml:space="preserve">9: </w:t>
            </w:r>
            <w:r w:rsidR="00004F17" w:rsidRPr="00004F17">
              <w:rPr>
                <w:lang w:val="bs-Latn-BA"/>
              </w:rPr>
              <w:t xml:space="preserve">Crna Gora obezbjeđuje početni bilans ostvarenih rezultata u pogledu redovnih provjera rada sudija i tužilaca i osigurava da se u slučaju identifikovanih kršenja pravila efektivno </w:t>
            </w:r>
            <w:r w:rsidR="00004F17" w:rsidRPr="00004F17">
              <w:rPr>
                <w:lang w:val="bs-Latn-BA"/>
              </w:rPr>
              <w:lastRenderedPageBreak/>
              <w:t xml:space="preserve">primjenjuju disciplinske kazne. Crna Gora razvija sudsku praksu tumačenja disciplinskih pravila i podiže svijest među sudijama i tužiocima, kao i izmijenjeni Etički kodeks. </w:t>
            </w:r>
          </w:p>
          <w:p w14:paraId="2DBE3CE5" w14:textId="6CBB443C" w:rsidR="00004F17" w:rsidRPr="00004F17" w:rsidRDefault="00F42994" w:rsidP="00F5656C">
            <w:pPr>
              <w:spacing w:after="120"/>
              <w:ind w:left="360"/>
              <w:jc w:val="both"/>
              <w:rPr>
                <w:lang w:val="bs-Latn-BA"/>
              </w:rPr>
            </w:pPr>
            <w:r w:rsidRPr="00BF05E3">
              <w:rPr>
                <w:b/>
                <w:bCs/>
                <w:lang w:val="bs-Latn-BA"/>
              </w:rPr>
              <w:t xml:space="preserve">PM </w:t>
            </w:r>
            <w:r>
              <w:rPr>
                <w:b/>
                <w:bCs/>
                <w:lang w:val="bs-Latn-BA"/>
              </w:rPr>
              <w:t xml:space="preserve">10: </w:t>
            </w:r>
            <w:r w:rsidR="00004F17" w:rsidRPr="00004F17">
              <w:rPr>
                <w:lang w:val="bs-Latn-BA"/>
              </w:rPr>
              <w:t>Crna Gora osniva novu disciplinsku komisiju u Sudskom i Tužilačkom savjetu zaduženu za vođenje disciplinskih postupaka protiv nosilaca pravosudne funkcije na osnovu objektivnih kriterijuma. Crna Gora osigurava da menadžeri integriteta u sudovima takođe razvijaju mjere koje podstiču poštovanje etičkih standarda među zaposlenim u sudu.</w:t>
            </w:r>
          </w:p>
          <w:p w14:paraId="7632F095" w14:textId="0E44EA5E" w:rsidR="00004F17" w:rsidRPr="00004F17" w:rsidRDefault="00F42994" w:rsidP="00F5656C">
            <w:pPr>
              <w:spacing w:after="120"/>
              <w:ind w:left="360"/>
              <w:jc w:val="both"/>
              <w:rPr>
                <w:lang w:val="bs-Latn-BA"/>
              </w:rPr>
            </w:pPr>
            <w:r w:rsidRPr="00BF05E3">
              <w:rPr>
                <w:b/>
                <w:bCs/>
                <w:lang w:val="bs-Latn-BA"/>
              </w:rPr>
              <w:t xml:space="preserve">PM </w:t>
            </w:r>
            <w:r>
              <w:rPr>
                <w:b/>
                <w:bCs/>
                <w:lang w:val="bs-Latn-BA"/>
              </w:rPr>
              <w:t xml:space="preserve">11: </w:t>
            </w:r>
            <w:r w:rsidR="00004F17" w:rsidRPr="00004F17">
              <w:rPr>
                <w:lang w:val="bs-Latn-BA"/>
              </w:rPr>
              <w:t xml:space="preserve">Crna Gora obezbjeđuje inicijalni bilans ostvarenih rezultata tako što se imovina koju nosioci pravosudne funkcije prijavljuju valjano provjerava, sprovode se sankcije u slučaju neslaganja i, u slučajevima kada prijavljena imovina ne odgovara stvarnosti, preuzimaju se odgovarajuće mjere, uključujući krivične istrage kada je potrebno.  </w:t>
            </w:r>
          </w:p>
          <w:p w14:paraId="1B448AB4" w14:textId="4F5AC2F8" w:rsidR="00004F17" w:rsidRPr="00004F17" w:rsidRDefault="00F42994" w:rsidP="00F5656C">
            <w:pPr>
              <w:spacing w:after="120"/>
              <w:ind w:left="360"/>
              <w:jc w:val="both"/>
              <w:rPr>
                <w:lang w:val="bs-Latn-BA"/>
              </w:rPr>
            </w:pPr>
            <w:r w:rsidRPr="00BF05E3">
              <w:rPr>
                <w:b/>
                <w:bCs/>
                <w:lang w:val="bs-Latn-BA"/>
              </w:rPr>
              <w:t xml:space="preserve">PM </w:t>
            </w:r>
            <w:r>
              <w:rPr>
                <w:b/>
                <w:bCs/>
                <w:lang w:val="bs-Latn-BA"/>
              </w:rPr>
              <w:t xml:space="preserve">12: </w:t>
            </w:r>
            <w:r w:rsidR="00004F17" w:rsidRPr="00004F17">
              <w:rPr>
                <w:lang w:val="bs-Latn-BA"/>
              </w:rPr>
              <w:t>Crna Gora usklađuje pravne odredbe s Ustavom u cilju obezbjeđivanja pune krivične odgovornosti sudija i tužilaca i izbjegavanja zloupotrebe koncepta funkcionalnog imuniteta sudija tako da ono ne ometa otpočinjanje krivične istrage ukoliko do takvog zahtjeva dođe.</w:t>
            </w:r>
          </w:p>
          <w:p w14:paraId="7C92EFBD" w14:textId="77777777" w:rsidR="00610D06" w:rsidRPr="00F5656C" w:rsidRDefault="00610D06" w:rsidP="00F5656C">
            <w:pPr>
              <w:spacing w:after="120"/>
              <w:rPr>
                <w:lang w:val="bs-Latn-BA"/>
              </w:rPr>
            </w:pPr>
          </w:p>
        </w:tc>
      </w:tr>
    </w:tbl>
    <w:p w14:paraId="35EEA7C8" w14:textId="21547828" w:rsidR="005C4299" w:rsidRPr="00610D06" w:rsidRDefault="005C4299" w:rsidP="00610D06"/>
    <w:p w14:paraId="4BAA51D5" w14:textId="54A029A7" w:rsidR="004F6A83" w:rsidRPr="009A613C" w:rsidRDefault="0025255B">
      <w:pPr>
        <w:pStyle w:val="Heading3"/>
        <w:numPr>
          <w:ilvl w:val="1"/>
          <w:numId w:val="1"/>
        </w:numPr>
      </w:pPr>
      <w:bookmarkStart w:id="27" w:name="_Toc156937955"/>
      <w:r w:rsidRPr="009A613C">
        <w:t>Unaprjeđ</w:t>
      </w:r>
      <w:r w:rsidR="005D6E49" w:rsidRPr="009A613C">
        <w:t>enje</w:t>
      </w:r>
      <w:r w:rsidR="004F6A83" w:rsidRPr="009A613C">
        <w:t xml:space="preserve"> normativnog okvira koji garantuje nezavisnost pravosuđa</w:t>
      </w:r>
      <w:bookmarkEnd w:id="27"/>
      <w:r w:rsidR="004F6A83" w:rsidRPr="009A613C">
        <w:t xml:space="preserve"> </w:t>
      </w:r>
    </w:p>
    <w:p w14:paraId="6AD3690C" w14:textId="77777777" w:rsidR="008808A5" w:rsidRPr="009A613C" w:rsidRDefault="008808A5" w:rsidP="008808A5">
      <w:pPr>
        <w:pStyle w:val="ListParagraph"/>
        <w:rPr>
          <w:i/>
          <w:iCs/>
          <w:sz w:val="20"/>
          <w:szCs w:val="20"/>
        </w:rPr>
      </w:pPr>
    </w:p>
    <w:p w14:paraId="2F880C17" w14:textId="32692112" w:rsidR="00023B47" w:rsidRPr="009A613C" w:rsidRDefault="00023B47" w:rsidP="005245B8">
      <w:pPr>
        <w:pStyle w:val="ListParagraph"/>
        <w:ind w:left="0"/>
        <w:contextualSpacing w:val="0"/>
        <w:jc w:val="both"/>
      </w:pPr>
      <w:r w:rsidRPr="009A613C">
        <w:t xml:space="preserve">Kao što je ranije konstatovano, usvajanje seta izmjenjenog pravosudnog zakonodavstva, u skladu sa preporukama Venecijanske komisije, jedan je od ključnih preduslova </w:t>
      </w:r>
      <w:r w:rsidR="00EF2A43" w:rsidRPr="009A613C">
        <w:t>obezb</w:t>
      </w:r>
      <w:r w:rsidR="00802A44">
        <w:t>j</w:t>
      </w:r>
      <w:r w:rsidR="00EF2A43" w:rsidRPr="009A613C">
        <w:t>eđivanja</w:t>
      </w:r>
      <w:r w:rsidRPr="009A613C">
        <w:t xml:space="preserve"> </w:t>
      </w:r>
      <w:r w:rsidR="005245B8" w:rsidRPr="009A613C">
        <w:t xml:space="preserve">kontinuiranog i efikasnog rada oba savjeta u punom kapacitetu. </w:t>
      </w:r>
    </w:p>
    <w:p w14:paraId="2C071C2C" w14:textId="0626711B" w:rsidR="005245B8" w:rsidRDefault="005245B8" w:rsidP="00791A7B">
      <w:pPr>
        <w:pStyle w:val="ListParagraph"/>
        <w:ind w:left="0"/>
        <w:contextualSpacing w:val="0"/>
        <w:jc w:val="both"/>
      </w:pPr>
      <w:r w:rsidRPr="009A613C">
        <w:t>I pored razli</w:t>
      </w:r>
      <w:r w:rsidR="00024714" w:rsidRPr="009A613C">
        <w:t xml:space="preserve">ke u procesnim stadijumima u kojima se, u momentu izrade Strategije, nalaze </w:t>
      </w:r>
      <w:r w:rsidR="00D97413" w:rsidRPr="009A613C">
        <w:t xml:space="preserve">izmjene pravosudnih zakona, u momentu njenog usvajanja ovi procesi i dalje nisu okončani, </w:t>
      </w:r>
      <w:r w:rsidR="00274535" w:rsidRPr="009A613C">
        <w:t>aktivnosti na njihovoj finalizaciji bi trebalo da predstavljaju prioritet</w:t>
      </w:r>
      <w:r w:rsidR="00802A44">
        <w:t xml:space="preserve"> </w:t>
      </w:r>
      <w:r w:rsidR="00274535" w:rsidRPr="009A613C">
        <w:t>u predstojećem periodu, nakon čega bi trebalo da uslijedi donošenje pratećih podzakonskih akata neophodnih za njihovo sprovođenje.</w:t>
      </w:r>
    </w:p>
    <w:p w14:paraId="445A66DA" w14:textId="02BAC8D9" w:rsidR="002128B6" w:rsidRPr="009A613C" w:rsidRDefault="002128B6" w:rsidP="004A003B">
      <w:pPr>
        <w:spacing w:after="0" w:line="276" w:lineRule="auto"/>
        <w:jc w:val="both"/>
      </w:pPr>
      <w:r w:rsidRPr="00306E36">
        <w:t>Kroz izmjene</w:t>
      </w:r>
      <w:r w:rsidR="00306E36" w:rsidRPr="00306E36">
        <w:t xml:space="preserve"> pravosudnih zakona potrebno je reflektovati</w:t>
      </w:r>
      <w:r w:rsidRPr="00306E36">
        <w:t xml:space="preserve"> ranije date preporuke sadržane u mišljenjima Venecijanske komisije</w:t>
      </w:r>
      <w:r w:rsidR="00306E36" w:rsidRPr="00306E36">
        <w:t>. Ovo se prvenstveno odnosi, ali ne i ograničava,</w:t>
      </w:r>
      <w:r w:rsidRPr="00306E36">
        <w:t xml:space="preserve"> na način izbora članova savjeta iz reda uglednih pravnika</w:t>
      </w:r>
      <w:r w:rsidR="008F0A17">
        <w:t>, ali i na mehanizme odgovornosti nosilaca pravosudnih funkcija.</w:t>
      </w:r>
    </w:p>
    <w:p w14:paraId="0C6C59DA" w14:textId="77777777" w:rsidR="00023B47" w:rsidRPr="009A613C" w:rsidRDefault="00023B47" w:rsidP="00023B47">
      <w:pPr>
        <w:pStyle w:val="ListParagraph"/>
        <w:ind w:left="0"/>
        <w:jc w:val="both"/>
      </w:pPr>
    </w:p>
    <w:p w14:paraId="1F5EEBEC" w14:textId="53045E53" w:rsidR="008808A5" w:rsidRPr="009A613C" w:rsidRDefault="008808A5" w:rsidP="008808A5">
      <w:pPr>
        <w:pStyle w:val="ListParagraph"/>
        <w:jc w:val="center"/>
      </w:pPr>
      <w:r w:rsidRPr="009A613C">
        <w:rPr>
          <w:i/>
          <w:iCs/>
          <w:sz w:val="20"/>
          <w:szCs w:val="20"/>
        </w:rPr>
        <w:t xml:space="preserve">Tabela </w:t>
      </w:r>
      <w:r w:rsidR="00714363">
        <w:rPr>
          <w:i/>
          <w:iCs/>
          <w:sz w:val="20"/>
          <w:szCs w:val="20"/>
        </w:rPr>
        <w:t>3</w:t>
      </w:r>
      <w:r w:rsidRPr="009A613C">
        <w:rPr>
          <w:i/>
          <w:iCs/>
          <w:sz w:val="20"/>
          <w:szCs w:val="20"/>
        </w:rPr>
        <w:t>:</w:t>
      </w:r>
      <w:r w:rsidR="00714363">
        <w:rPr>
          <w:i/>
          <w:iCs/>
          <w:sz w:val="20"/>
          <w:szCs w:val="20"/>
        </w:rPr>
        <w:t>Indikatori realizacije Operativnog cilja 1.1</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8808A5" w:rsidRPr="009A613C" w14:paraId="07E65F2D" w14:textId="77777777" w:rsidTr="00BE13A3">
        <w:trPr>
          <w:trHeight w:val="575"/>
        </w:trPr>
        <w:tc>
          <w:tcPr>
            <w:tcW w:w="1250" w:type="pct"/>
            <w:tcBorders>
              <w:top w:val="double" w:sz="4" w:space="0" w:color="auto"/>
            </w:tcBorders>
            <w:shd w:val="clear" w:color="auto" w:fill="FBE4D5" w:themeFill="accent2" w:themeFillTint="33"/>
          </w:tcPr>
          <w:p w14:paraId="577EDB9C" w14:textId="77777777" w:rsidR="008808A5" w:rsidRPr="009A613C" w:rsidRDefault="008808A5" w:rsidP="00BE13A3">
            <w:pPr>
              <w:rPr>
                <w:rFonts w:cstheme="minorHAnsi"/>
              </w:rPr>
            </w:pPr>
            <w:r w:rsidRPr="009A613C">
              <w:rPr>
                <w:rFonts w:cstheme="minorHAnsi"/>
              </w:rPr>
              <w:t xml:space="preserve">Operativni </w:t>
            </w:r>
          </w:p>
          <w:p w14:paraId="38BBDD84" w14:textId="77777777" w:rsidR="008808A5" w:rsidRPr="009A613C" w:rsidRDefault="008808A5"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1A2DF5BC" w14:textId="77777777" w:rsidR="008808A5" w:rsidRPr="009A613C" w:rsidRDefault="008808A5"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28515350" w14:textId="77777777" w:rsidR="008808A5" w:rsidRDefault="008808A5" w:rsidP="00BE13A3">
            <w:pPr>
              <w:rPr>
                <w:rFonts w:cstheme="minorHAnsi"/>
              </w:rPr>
            </w:pPr>
            <w:r w:rsidRPr="009A613C">
              <w:rPr>
                <w:rFonts w:cstheme="minorHAnsi"/>
              </w:rPr>
              <w:t>Početna vrijed</w:t>
            </w:r>
            <w:r w:rsidR="00426BE3" w:rsidRPr="009A613C">
              <w:rPr>
                <w:rFonts w:cstheme="minorHAnsi"/>
              </w:rPr>
              <w:t>n</w:t>
            </w:r>
            <w:r w:rsidRPr="009A613C">
              <w:rPr>
                <w:rFonts w:cstheme="minorHAnsi"/>
              </w:rPr>
              <w:t>ost</w:t>
            </w:r>
          </w:p>
          <w:p w14:paraId="7038EC89" w14:textId="363AB324" w:rsidR="0005303F" w:rsidRPr="009A613C" w:rsidRDefault="0005303F" w:rsidP="00ED323C">
            <w:pPr>
              <w:jc w:val="cente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52D7294C" w14:textId="77777777" w:rsidR="008808A5" w:rsidRPr="009A613C" w:rsidRDefault="008808A5"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2358273F" w14:textId="77777777" w:rsidR="008808A5" w:rsidRPr="009A613C" w:rsidRDefault="008808A5" w:rsidP="00BE13A3">
            <w:pPr>
              <w:rPr>
                <w:rFonts w:cstheme="minorHAnsi"/>
              </w:rPr>
            </w:pPr>
            <w:r w:rsidRPr="009A613C">
              <w:rPr>
                <w:rFonts w:cstheme="minorHAnsi"/>
              </w:rPr>
              <w:t>Ciljana vrijednost 2027.</w:t>
            </w:r>
          </w:p>
        </w:tc>
      </w:tr>
      <w:tr w:rsidR="008808A5" w:rsidRPr="009A613C" w14:paraId="070A3A04" w14:textId="77777777" w:rsidTr="00BE13A3">
        <w:trPr>
          <w:trHeight w:val="254"/>
        </w:trPr>
        <w:tc>
          <w:tcPr>
            <w:tcW w:w="1250" w:type="pct"/>
            <w:vMerge w:val="restart"/>
            <w:tcBorders>
              <w:top w:val="double" w:sz="4" w:space="0" w:color="auto"/>
            </w:tcBorders>
            <w:shd w:val="clear" w:color="auto" w:fill="E2EFD9" w:themeFill="accent6" w:themeFillTint="33"/>
          </w:tcPr>
          <w:p w14:paraId="2BDDF92C" w14:textId="77777777" w:rsidR="008808A5" w:rsidRPr="009A613C" w:rsidRDefault="008808A5">
            <w:pPr>
              <w:pStyle w:val="ListParagraph"/>
              <w:numPr>
                <w:ilvl w:val="1"/>
                <w:numId w:val="4"/>
              </w:numPr>
              <w:rPr>
                <w:rFonts w:cstheme="minorHAnsi"/>
              </w:rPr>
            </w:pPr>
          </w:p>
          <w:p w14:paraId="7DACCCD2" w14:textId="77777777" w:rsidR="008808A5" w:rsidRPr="009A613C" w:rsidRDefault="008808A5" w:rsidP="00BE13A3">
            <w:pPr>
              <w:rPr>
                <w:rFonts w:cstheme="minorHAnsi"/>
              </w:rPr>
            </w:pPr>
            <w:r w:rsidRPr="009A613C">
              <w:rPr>
                <w:rFonts w:cstheme="minorHAnsi"/>
              </w:rPr>
              <w:t xml:space="preserve">Unaprjeđenje normativnog okvira koji garantuje nezavisnost pravosuđa </w:t>
            </w:r>
          </w:p>
        </w:tc>
        <w:tc>
          <w:tcPr>
            <w:tcW w:w="1875" w:type="pct"/>
            <w:tcBorders>
              <w:top w:val="double" w:sz="4" w:space="0" w:color="auto"/>
              <w:bottom w:val="double" w:sz="4" w:space="0" w:color="auto"/>
            </w:tcBorders>
            <w:shd w:val="clear" w:color="auto" w:fill="FFFFFF" w:themeFill="background1"/>
          </w:tcPr>
          <w:p w14:paraId="693A8B33" w14:textId="04791807" w:rsidR="008808A5" w:rsidRPr="009A613C" w:rsidRDefault="008808A5" w:rsidP="008808A5">
            <w:pPr>
              <w:shd w:val="clear" w:color="auto" w:fill="FFFFFF" w:themeFill="background1"/>
              <w:spacing w:after="240"/>
              <w:jc w:val="both"/>
              <w:rPr>
                <w:rFonts w:cstheme="minorHAnsi"/>
              </w:rPr>
            </w:pPr>
            <w:r w:rsidRPr="009A613C">
              <w:rPr>
                <w:rFonts w:cstheme="minorHAnsi"/>
              </w:rPr>
              <w:t xml:space="preserve">Usvojeni pravosudni zakoni u skladu sa preporukama Venecijanske komisije u pogledu </w:t>
            </w:r>
            <w:r w:rsidR="00FB77D6" w:rsidRPr="009A613C">
              <w:rPr>
                <w:rFonts w:cstheme="minorHAnsi"/>
              </w:rPr>
              <w:t>obezb</w:t>
            </w:r>
            <w:r w:rsidR="002B250F">
              <w:rPr>
                <w:rFonts w:cstheme="minorHAnsi"/>
              </w:rPr>
              <w:t>j</w:t>
            </w:r>
            <w:r w:rsidR="00FB77D6" w:rsidRPr="009A613C">
              <w:rPr>
                <w:rFonts w:cstheme="minorHAnsi"/>
              </w:rPr>
              <w:t>eđivanja</w:t>
            </w:r>
            <w:r w:rsidRPr="009A613C">
              <w:rPr>
                <w:rFonts w:cstheme="minorHAnsi"/>
              </w:rPr>
              <w:t xml:space="preserve"> nezavisnosti pravosuđa</w:t>
            </w:r>
            <w:r w:rsidR="002651AE">
              <w:rPr>
                <w:rFonts w:cstheme="minorHAnsi"/>
              </w:rPr>
              <w:t>.</w:t>
            </w:r>
          </w:p>
        </w:tc>
        <w:tc>
          <w:tcPr>
            <w:tcW w:w="625" w:type="pct"/>
            <w:tcBorders>
              <w:top w:val="double" w:sz="4" w:space="0" w:color="auto"/>
              <w:bottom w:val="double" w:sz="4" w:space="0" w:color="auto"/>
            </w:tcBorders>
            <w:shd w:val="clear" w:color="auto" w:fill="FFFFFF" w:themeFill="background1"/>
          </w:tcPr>
          <w:p w14:paraId="05FB078F" w14:textId="77777777" w:rsidR="008808A5" w:rsidRPr="009A613C" w:rsidRDefault="008808A5" w:rsidP="00BE13A3">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0A5DBF3C" w14:textId="0CA4F195" w:rsidR="008808A5" w:rsidRPr="009A613C" w:rsidRDefault="00B119B4" w:rsidP="00BE13A3">
            <w:pPr>
              <w:shd w:val="clear" w:color="auto" w:fill="FFFFFF" w:themeFill="background1"/>
              <w:jc w:val="center"/>
              <w:rPr>
                <w:rFonts w:cstheme="minorHAnsi"/>
              </w:rPr>
            </w:pPr>
            <w:r>
              <w:rPr>
                <w:rFonts w:cstheme="minorHAnsi"/>
              </w:rPr>
              <w:t>10</w:t>
            </w:r>
            <w:r w:rsidR="008808A5" w:rsidRPr="009A613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497E22CF" w14:textId="01ECBAF1" w:rsidR="008808A5" w:rsidRPr="009A613C" w:rsidRDefault="00F50808" w:rsidP="00BE13A3">
            <w:pPr>
              <w:shd w:val="clear" w:color="auto" w:fill="FFFFFF" w:themeFill="background1"/>
              <w:jc w:val="center"/>
              <w:rPr>
                <w:rFonts w:cstheme="minorHAnsi"/>
              </w:rPr>
            </w:pPr>
            <w:r>
              <w:rPr>
                <w:rFonts w:cstheme="minorHAnsi"/>
              </w:rPr>
              <w:t>10</w:t>
            </w:r>
            <w:r w:rsidR="008808A5" w:rsidRPr="009A613C">
              <w:rPr>
                <w:rFonts w:cstheme="minorHAnsi"/>
              </w:rPr>
              <w:t>0%</w:t>
            </w:r>
          </w:p>
        </w:tc>
      </w:tr>
      <w:tr w:rsidR="008808A5" w:rsidRPr="009A613C" w14:paraId="046A7C3C" w14:textId="77777777" w:rsidTr="00BE13A3">
        <w:trPr>
          <w:trHeight w:val="254"/>
        </w:trPr>
        <w:tc>
          <w:tcPr>
            <w:tcW w:w="1250" w:type="pct"/>
            <w:vMerge/>
            <w:shd w:val="clear" w:color="auto" w:fill="FFFFFF" w:themeFill="background1"/>
          </w:tcPr>
          <w:p w14:paraId="2E6064A0" w14:textId="77777777" w:rsidR="008808A5" w:rsidRPr="009A613C" w:rsidRDefault="008808A5" w:rsidP="00BE13A3">
            <w:pPr>
              <w:shd w:val="clear" w:color="auto" w:fill="FFFFFF" w:themeFill="background1"/>
              <w:spacing w:after="240"/>
              <w:rPr>
                <w:rFonts w:cstheme="minorHAnsi"/>
              </w:rPr>
            </w:pPr>
          </w:p>
        </w:tc>
        <w:tc>
          <w:tcPr>
            <w:tcW w:w="1875" w:type="pct"/>
            <w:tcBorders>
              <w:top w:val="double" w:sz="4" w:space="0" w:color="auto"/>
              <w:bottom w:val="double" w:sz="4" w:space="0" w:color="auto"/>
            </w:tcBorders>
            <w:shd w:val="clear" w:color="auto" w:fill="FFFFFF" w:themeFill="background1"/>
          </w:tcPr>
          <w:p w14:paraId="4301184E" w14:textId="77777777" w:rsidR="008808A5" w:rsidRPr="009A613C" w:rsidRDefault="008808A5" w:rsidP="008808A5">
            <w:pPr>
              <w:shd w:val="clear" w:color="auto" w:fill="FFFFFF" w:themeFill="background1"/>
              <w:spacing w:after="240"/>
              <w:jc w:val="both"/>
              <w:rPr>
                <w:rFonts w:cstheme="minorHAnsi"/>
              </w:rPr>
            </w:pPr>
            <w:r w:rsidRPr="009A613C">
              <w:rPr>
                <w:rFonts w:cstheme="minorHAnsi"/>
              </w:rPr>
              <w:t>Usvojeni podzakonski akti za sprovođenje izmjenjenih pravosudnih zakona.</w:t>
            </w:r>
          </w:p>
        </w:tc>
        <w:tc>
          <w:tcPr>
            <w:tcW w:w="625" w:type="pct"/>
            <w:tcBorders>
              <w:top w:val="double" w:sz="4" w:space="0" w:color="auto"/>
              <w:bottom w:val="double" w:sz="4" w:space="0" w:color="auto"/>
            </w:tcBorders>
            <w:shd w:val="clear" w:color="auto" w:fill="FFFFFF" w:themeFill="background1"/>
          </w:tcPr>
          <w:p w14:paraId="1C0E3B6F" w14:textId="77777777" w:rsidR="008808A5" w:rsidRPr="009A613C" w:rsidRDefault="008808A5" w:rsidP="00BE13A3">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690AD5A8" w14:textId="367F927F" w:rsidR="008808A5" w:rsidRPr="009A613C" w:rsidRDefault="00B119B4" w:rsidP="00BE13A3">
            <w:pPr>
              <w:shd w:val="clear" w:color="auto" w:fill="FFFFFF" w:themeFill="background1"/>
              <w:jc w:val="center"/>
              <w:rPr>
                <w:rFonts w:cstheme="minorHAnsi"/>
              </w:rPr>
            </w:pPr>
            <w:r>
              <w:rPr>
                <w:rFonts w:cstheme="minorHAnsi"/>
              </w:rPr>
              <w:t>5</w:t>
            </w:r>
            <w:r w:rsidR="008808A5" w:rsidRPr="009A613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5FB3810B" w14:textId="35C3C180" w:rsidR="008808A5" w:rsidRPr="009A613C" w:rsidRDefault="00B119B4" w:rsidP="00BE13A3">
            <w:pPr>
              <w:shd w:val="clear" w:color="auto" w:fill="FFFFFF" w:themeFill="background1"/>
              <w:jc w:val="center"/>
              <w:rPr>
                <w:rFonts w:cstheme="minorHAnsi"/>
              </w:rPr>
            </w:pPr>
            <w:r>
              <w:rPr>
                <w:rFonts w:cstheme="minorHAnsi"/>
              </w:rPr>
              <w:t>10</w:t>
            </w:r>
            <w:r w:rsidR="008808A5" w:rsidRPr="009A613C">
              <w:rPr>
                <w:rFonts w:cstheme="minorHAnsi"/>
              </w:rPr>
              <w:t>0%</w:t>
            </w:r>
          </w:p>
        </w:tc>
      </w:tr>
    </w:tbl>
    <w:p w14:paraId="2A6C7E64" w14:textId="77777777" w:rsidR="008808A5" w:rsidRPr="009A613C" w:rsidRDefault="008808A5" w:rsidP="008808A5"/>
    <w:p w14:paraId="60123B5C" w14:textId="3BF50422" w:rsidR="004F6A83" w:rsidRPr="009A613C" w:rsidRDefault="004F6A83">
      <w:pPr>
        <w:pStyle w:val="Heading3"/>
        <w:numPr>
          <w:ilvl w:val="1"/>
          <w:numId w:val="4"/>
        </w:numPr>
        <w:spacing w:after="240"/>
        <w:rPr>
          <w:sz w:val="23"/>
          <w:szCs w:val="23"/>
        </w:rPr>
      </w:pPr>
      <w:bookmarkStart w:id="28" w:name="_Toc156937956"/>
      <w:r w:rsidRPr="009A613C">
        <w:t xml:space="preserve">Efektivna implementacija </w:t>
      </w:r>
      <w:r w:rsidRPr="009A613C">
        <w:rPr>
          <w:sz w:val="23"/>
          <w:szCs w:val="23"/>
        </w:rPr>
        <w:t>sistema za izbor, ocjenjivanje rada i napredovanje sudija i državnih tužilaca</w:t>
      </w:r>
      <w:bookmarkEnd w:id="28"/>
    </w:p>
    <w:p w14:paraId="07AE8020" w14:textId="77777777" w:rsidR="00361009" w:rsidRPr="009A613C" w:rsidRDefault="00791A7B" w:rsidP="00361009">
      <w:pPr>
        <w:pStyle w:val="ListParagraph"/>
        <w:ind w:left="0"/>
        <w:contextualSpacing w:val="0"/>
        <w:jc w:val="both"/>
      </w:pPr>
      <w:r w:rsidRPr="009A613C">
        <w:t xml:space="preserve">Kako same izmjene zakonskog i podzakonskog okvira nisu dovoljna garancija nezavisnosti pravosuđa, Operativni cilj 2 fokusiran je na efektivnu implementaciju karijernog sistema u pravosuđu. </w:t>
      </w:r>
    </w:p>
    <w:p w14:paraId="6F40C0AF" w14:textId="24B1E490" w:rsidR="003B5147" w:rsidRDefault="003B5147" w:rsidP="00361009">
      <w:pPr>
        <w:pStyle w:val="ListParagraph"/>
        <w:spacing w:before="240"/>
        <w:ind w:left="0"/>
        <w:contextualSpacing w:val="0"/>
        <w:jc w:val="both"/>
      </w:pPr>
      <w:r>
        <w:t>Otklanjanje višegodišnjeg zastoja u radu oba savjeta, kao i njihovo funkcionisanje u punom kapacitetu, preduslovljeni su izborom preostalih članova iz reda istaknutih pravnika.</w:t>
      </w:r>
    </w:p>
    <w:p w14:paraId="34A6F28F" w14:textId="38A6BA2A" w:rsidR="00361009" w:rsidRPr="009A613C" w:rsidRDefault="00791A7B" w:rsidP="00361009">
      <w:pPr>
        <w:pStyle w:val="ListParagraph"/>
        <w:spacing w:before="240"/>
        <w:ind w:left="0"/>
        <w:contextualSpacing w:val="0"/>
        <w:jc w:val="both"/>
      </w:pPr>
      <w:r w:rsidRPr="009A613C">
        <w:t xml:space="preserve">Dostizanje ovog operativnog cilja u praksi bi trebalo da se odvija kroz kontinuirano sprovođenje postupka izbora nosilaca pravosudnih funkcija na upražnjena mjesta. </w:t>
      </w:r>
      <w:r w:rsidR="00674866" w:rsidRPr="009A613C">
        <w:t>Time bi se omogućio rad sudova i tužilaštava u punom kapacitetu i doprinijelo efikasnijem savladavanju priliva.</w:t>
      </w:r>
    </w:p>
    <w:p w14:paraId="0F3D0ED5" w14:textId="205C4C27" w:rsidR="00791A7B" w:rsidRPr="009A613C" w:rsidRDefault="00791A7B" w:rsidP="00A108E7">
      <w:pPr>
        <w:pStyle w:val="ListParagraph"/>
        <w:ind w:left="0"/>
        <w:contextualSpacing w:val="0"/>
        <w:jc w:val="both"/>
      </w:pPr>
      <w:r w:rsidRPr="009A613C">
        <w:t xml:space="preserve">Paralelno, kontinuirani izbor predsjednika sudova i </w:t>
      </w:r>
      <w:r w:rsidR="00361009" w:rsidRPr="009A613C">
        <w:t>rukovodilaca tužilaštava, trebalo bi da eliminiše nestabilnost, manjak nezavisnosti i nedostatak inicijative za dugoročno planiranje koji karakterišu rukovodioce u statusu vrš</w:t>
      </w:r>
      <w:r w:rsidR="00802A44">
        <w:t>ilaca dužnosti</w:t>
      </w:r>
      <w:r w:rsidR="00361009" w:rsidRPr="009A613C">
        <w:t xml:space="preserve"> funkcij</w:t>
      </w:r>
      <w:r w:rsidR="00802A44">
        <w:t>a</w:t>
      </w:r>
      <w:r w:rsidR="00361009" w:rsidRPr="009A613C">
        <w:t>.</w:t>
      </w:r>
    </w:p>
    <w:p w14:paraId="6B0DC2E8" w14:textId="75E34AE6" w:rsidR="0067052C" w:rsidRDefault="00A108E7" w:rsidP="00A108E7">
      <w:pPr>
        <w:pStyle w:val="ListParagraph"/>
        <w:ind w:left="0"/>
        <w:contextualSpacing w:val="0"/>
        <w:jc w:val="both"/>
      </w:pPr>
      <w:r w:rsidRPr="009A613C">
        <w:t>Kako je ranije konstatovano, visok ud</w:t>
      </w:r>
      <w:r w:rsidR="00802A44">
        <w:t>i</w:t>
      </w:r>
      <w:r w:rsidRPr="009A613C">
        <w:t xml:space="preserve">o žena u ukupnom broju sudija nije propraćen njihovom adekvatnom zastupljenošću na rukovodećim pozicijama u pravosuđu. U tom smislu, oslanjajući se na dobre uporedne prakse, trebalo bi raditi na razvijanju i primjeni seta mjera usmjerenih na uspostavljanje neophodnog rodnog balansa u pravosuđu. </w:t>
      </w:r>
    </w:p>
    <w:p w14:paraId="3E979C74" w14:textId="7BEBFD18" w:rsidR="00A108E7" w:rsidRPr="00F5656C" w:rsidRDefault="0067052C" w:rsidP="00A108E7">
      <w:pPr>
        <w:pStyle w:val="ListParagraph"/>
        <w:ind w:left="0"/>
        <w:contextualSpacing w:val="0"/>
        <w:jc w:val="both"/>
        <w:rPr>
          <w:sz w:val="28"/>
          <w:szCs w:val="28"/>
        </w:rPr>
      </w:pPr>
      <w:r w:rsidRPr="00F5656C">
        <w:rPr>
          <w:rStyle w:val="cf01"/>
          <w:sz w:val="20"/>
          <w:szCs w:val="20"/>
        </w:rPr>
        <w:t xml:space="preserve">Zakonska obaveza sprovođenja kompletnog programa </w:t>
      </w:r>
      <w:r w:rsidR="00802A44">
        <w:rPr>
          <w:rStyle w:val="cf01"/>
          <w:sz w:val="20"/>
          <w:szCs w:val="20"/>
        </w:rPr>
        <w:t>inicijaln</w:t>
      </w:r>
      <w:r w:rsidRPr="00F5656C">
        <w:rPr>
          <w:rStyle w:val="cf01"/>
          <w:sz w:val="20"/>
          <w:szCs w:val="20"/>
        </w:rPr>
        <w:t>e obuke u Podgorici demotiviše kandidate sa sjevera Crne Gore da apliciraju za</w:t>
      </w:r>
      <w:r w:rsidR="00802A44">
        <w:rPr>
          <w:rStyle w:val="cf01"/>
          <w:sz w:val="20"/>
          <w:szCs w:val="20"/>
        </w:rPr>
        <w:t xml:space="preserve"> slobodna sudijska mjesta u osnovnim sudovima</w:t>
      </w:r>
      <w:r w:rsidRPr="00F5656C">
        <w:rPr>
          <w:rStyle w:val="cf01"/>
          <w:sz w:val="20"/>
          <w:szCs w:val="20"/>
        </w:rPr>
        <w:t>. U krajnjem ishodu, ovo rezultira učestalim odbijanjem korisnika inicijalne obuke da budu raspoređeni u sudove i državna tužilaštva na sjeveru zemlje.</w:t>
      </w:r>
    </w:p>
    <w:p w14:paraId="6F5DD227" w14:textId="270E120A" w:rsidR="008808A5" w:rsidRPr="009A613C" w:rsidRDefault="008808A5" w:rsidP="008808A5">
      <w:pPr>
        <w:jc w:val="center"/>
      </w:pPr>
      <w:r w:rsidRPr="009A613C">
        <w:rPr>
          <w:i/>
          <w:iCs/>
          <w:sz w:val="20"/>
          <w:szCs w:val="20"/>
        </w:rPr>
        <w:t xml:space="preserve">Tabela </w:t>
      </w:r>
      <w:r w:rsidR="00714363">
        <w:rPr>
          <w:i/>
          <w:iCs/>
          <w:sz w:val="20"/>
          <w:szCs w:val="20"/>
        </w:rPr>
        <w:t>4: Indikatori realizacije Operativnog cilja 1.2.</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8808A5" w:rsidRPr="009A613C" w14:paraId="01A0EF53" w14:textId="77777777" w:rsidTr="00BE13A3">
        <w:trPr>
          <w:trHeight w:val="575"/>
        </w:trPr>
        <w:tc>
          <w:tcPr>
            <w:tcW w:w="1250" w:type="pct"/>
            <w:tcBorders>
              <w:top w:val="double" w:sz="4" w:space="0" w:color="auto"/>
            </w:tcBorders>
            <w:shd w:val="clear" w:color="auto" w:fill="FBE4D5" w:themeFill="accent2" w:themeFillTint="33"/>
          </w:tcPr>
          <w:p w14:paraId="685BFD32" w14:textId="77777777" w:rsidR="008808A5" w:rsidRPr="009A613C" w:rsidRDefault="008808A5" w:rsidP="00BE13A3">
            <w:pPr>
              <w:rPr>
                <w:rFonts w:cstheme="minorHAnsi"/>
              </w:rPr>
            </w:pPr>
            <w:r w:rsidRPr="009A613C">
              <w:rPr>
                <w:rFonts w:cstheme="minorHAnsi"/>
              </w:rPr>
              <w:t xml:space="preserve">Operativni </w:t>
            </w:r>
          </w:p>
          <w:p w14:paraId="2C0D5F20" w14:textId="77777777" w:rsidR="008808A5" w:rsidRPr="009A613C" w:rsidRDefault="008808A5"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1807210D" w14:textId="77777777" w:rsidR="008808A5" w:rsidRPr="009A613C" w:rsidRDefault="008808A5"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703F514B" w14:textId="77777777" w:rsidR="008808A5" w:rsidRDefault="008808A5" w:rsidP="00BE13A3">
            <w:pPr>
              <w:rPr>
                <w:rFonts w:cstheme="minorHAnsi"/>
              </w:rPr>
            </w:pPr>
            <w:r w:rsidRPr="009A613C">
              <w:rPr>
                <w:rFonts w:cstheme="minorHAnsi"/>
              </w:rPr>
              <w:t>Početna vrijed</w:t>
            </w:r>
            <w:r w:rsidR="00426BE3" w:rsidRPr="009A613C">
              <w:rPr>
                <w:rFonts w:cstheme="minorHAnsi"/>
              </w:rPr>
              <w:t>n</w:t>
            </w:r>
            <w:r w:rsidRPr="009A613C">
              <w:rPr>
                <w:rFonts w:cstheme="minorHAnsi"/>
              </w:rPr>
              <w:t>ost</w:t>
            </w:r>
          </w:p>
          <w:p w14:paraId="648B9BB4" w14:textId="305389CF" w:rsidR="007124FA" w:rsidRPr="009A613C" w:rsidRDefault="007124FA"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5AE13A21" w14:textId="77777777" w:rsidR="008808A5" w:rsidRPr="009A613C" w:rsidRDefault="008808A5"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0D7FF9DB" w14:textId="77777777" w:rsidR="008808A5" w:rsidRPr="009A613C" w:rsidRDefault="008808A5" w:rsidP="00BE13A3">
            <w:pPr>
              <w:rPr>
                <w:rFonts w:cstheme="minorHAnsi"/>
              </w:rPr>
            </w:pPr>
            <w:r w:rsidRPr="009A613C">
              <w:rPr>
                <w:rFonts w:cstheme="minorHAnsi"/>
              </w:rPr>
              <w:t>Ciljana vrijednost 2027.</w:t>
            </w:r>
          </w:p>
        </w:tc>
      </w:tr>
      <w:tr w:rsidR="00B44126" w:rsidRPr="009A613C" w14:paraId="7359CD56" w14:textId="77777777" w:rsidTr="00BE13A3">
        <w:trPr>
          <w:trHeight w:val="254"/>
        </w:trPr>
        <w:tc>
          <w:tcPr>
            <w:tcW w:w="1250" w:type="pct"/>
            <w:vMerge w:val="restart"/>
            <w:tcBorders>
              <w:top w:val="double" w:sz="4" w:space="0" w:color="auto"/>
            </w:tcBorders>
            <w:shd w:val="clear" w:color="auto" w:fill="E2EFD9" w:themeFill="accent6" w:themeFillTint="33"/>
          </w:tcPr>
          <w:p w14:paraId="16335C94" w14:textId="724F581C" w:rsidR="00B44126" w:rsidRPr="009A613C" w:rsidRDefault="00B44126" w:rsidP="008808A5">
            <w:pPr>
              <w:rPr>
                <w:rFonts w:cstheme="minorHAnsi"/>
              </w:rPr>
            </w:pPr>
            <w:r w:rsidRPr="009A613C">
              <w:rPr>
                <w:rFonts w:cstheme="minorHAnsi"/>
              </w:rPr>
              <w:t>1.2.Efektivna implementacija sistema za izbor, ocjenjivanje rada i napredovanje sudija i državnih tužilaca</w:t>
            </w:r>
          </w:p>
        </w:tc>
        <w:tc>
          <w:tcPr>
            <w:tcW w:w="1875" w:type="pct"/>
            <w:tcBorders>
              <w:top w:val="double" w:sz="4" w:space="0" w:color="auto"/>
              <w:bottom w:val="double" w:sz="4" w:space="0" w:color="auto"/>
            </w:tcBorders>
            <w:shd w:val="clear" w:color="auto" w:fill="FFFFFF" w:themeFill="background1"/>
          </w:tcPr>
          <w:p w14:paraId="4B736448" w14:textId="29F4B0F7" w:rsidR="00B44126" w:rsidRPr="009A613C" w:rsidRDefault="00B44126" w:rsidP="00BE13A3">
            <w:pPr>
              <w:shd w:val="clear" w:color="auto" w:fill="FFFFFF" w:themeFill="background1"/>
              <w:spacing w:after="240"/>
              <w:rPr>
                <w:rFonts w:cstheme="minorHAnsi"/>
              </w:rPr>
            </w:pPr>
            <w:r w:rsidRPr="009A613C">
              <w:rPr>
                <w:rFonts w:cstheme="minorHAnsi"/>
              </w:rPr>
              <w:t xml:space="preserve"> % popunjenih sudijskih pozicija</w:t>
            </w:r>
          </w:p>
        </w:tc>
        <w:tc>
          <w:tcPr>
            <w:tcW w:w="625" w:type="pct"/>
            <w:tcBorders>
              <w:top w:val="double" w:sz="4" w:space="0" w:color="auto"/>
              <w:bottom w:val="double" w:sz="4" w:space="0" w:color="auto"/>
            </w:tcBorders>
            <w:shd w:val="clear" w:color="auto" w:fill="FFFFFF" w:themeFill="background1"/>
          </w:tcPr>
          <w:p w14:paraId="24DAFD6E" w14:textId="4AC253BA" w:rsidR="00B44126" w:rsidRPr="005C4299" w:rsidRDefault="009B2253" w:rsidP="00BE13A3">
            <w:pPr>
              <w:shd w:val="clear" w:color="auto" w:fill="FFFFFF" w:themeFill="background1"/>
              <w:jc w:val="center"/>
              <w:rPr>
                <w:rFonts w:cstheme="minorHAnsi"/>
              </w:rPr>
            </w:pPr>
            <w:r w:rsidRPr="005C4299">
              <w:rPr>
                <w:rFonts w:cstheme="minorHAnsi"/>
              </w:rPr>
              <w:t>81,48%</w:t>
            </w:r>
          </w:p>
        </w:tc>
        <w:tc>
          <w:tcPr>
            <w:tcW w:w="625" w:type="pct"/>
            <w:tcBorders>
              <w:top w:val="double" w:sz="4" w:space="0" w:color="auto"/>
              <w:bottom w:val="double" w:sz="4" w:space="0" w:color="auto"/>
            </w:tcBorders>
            <w:shd w:val="clear" w:color="auto" w:fill="FFFFFF" w:themeFill="background1"/>
          </w:tcPr>
          <w:p w14:paraId="003929E6" w14:textId="5E8BDC00" w:rsidR="00B44126" w:rsidRPr="005C4299" w:rsidRDefault="00D172C7" w:rsidP="00BE13A3">
            <w:pPr>
              <w:shd w:val="clear" w:color="auto" w:fill="FFFFFF" w:themeFill="background1"/>
              <w:jc w:val="center"/>
              <w:rPr>
                <w:rFonts w:cstheme="minorHAnsi"/>
              </w:rPr>
            </w:pPr>
            <w:r>
              <w:rPr>
                <w:rFonts w:cstheme="minorHAnsi"/>
              </w:rPr>
              <w:t>90</w:t>
            </w:r>
            <w:r w:rsidR="00B44126" w:rsidRPr="005C4299">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2C09143A" w14:textId="62BB6FFD" w:rsidR="00B44126" w:rsidRPr="005C4299" w:rsidRDefault="00D172C7" w:rsidP="00BE13A3">
            <w:pPr>
              <w:shd w:val="clear" w:color="auto" w:fill="FFFFFF" w:themeFill="background1"/>
              <w:jc w:val="center"/>
              <w:rPr>
                <w:rFonts w:cstheme="minorHAnsi"/>
              </w:rPr>
            </w:pPr>
            <w:r>
              <w:rPr>
                <w:rFonts w:cstheme="minorHAnsi"/>
              </w:rPr>
              <w:t>100</w:t>
            </w:r>
            <w:r w:rsidR="00B44126" w:rsidRPr="005C4299">
              <w:rPr>
                <w:rFonts w:cstheme="minorHAnsi"/>
              </w:rPr>
              <w:t>%</w:t>
            </w:r>
          </w:p>
        </w:tc>
      </w:tr>
      <w:tr w:rsidR="00A843ED" w:rsidRPr="009A613C" w14:paraId="4D61CF50" w14:textId="77777777" w:rsidTr="00BE13A3">
        <w:trPr>
          <w:trHeight w:val="254"/>
        </w:trPr>
        <w:tc>
          <w:tcPr>
            <w:tcW w:w="1250" w:type="pct"/>
            <w:vMerge/>
            <w:shd w:val="clear" w:color="auto" w:fill="E2EFD9" w:themeFill="accent6" w:themeFillTint="33"/>
          </w:tcPr>
          <w:p w14:paraId="5727436B" w14:textId="77777777" w:rsidR="00A843ED" w:rsidRPr="009A613C" w:rsidRDefault="00A843ED" w:rsidP="00A843ED">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18523E5C" w14:textId="1135730C" w:rsidR="00A843ED" w:rsidRPr="009A613C" w:rsidRDefault="00A843ED" w:rsidP="00A843ED">
            <w:pPr>
              <w:shd w:val="clear" w:color="auto" w:fill="FFFFFF" w:themeFill="background1"/>
              <w:spacing w:after="240"/>
              <w:rPr>
                <w:rFonts w:cstheme="minorHAnsi"/>
              </w:rPr>
            </w:pPr>
            <w:r w:rsidRPr="009A613C">
              <w:rPr>
                <w:rFonts w:cstheme="minorHAnsi"/>
              </w:rPr>
              <w:t xml:space="preserve"> % popunjenih tužilačkih pozicija</w:t>
            </w:r>
          </w:p>
        </w:tc>
        <w:tc>
          <w:tcPr>
            <w:tcW w:w="625" w:type="pct"/>
            <w:tcBorders>
              <w:top w:val="double" w:sz="4" w:space="0" w:color="auto"/>
              <w:bottom w:val="double" w:sz="4" w:space="0" w:color="auto"/>
            </w:tcBorders>
            <w:shd w:val="clear" w:color="auto" w:fill="FFFFFF" w:themeFill="background1"/>
          </w:tcPr>
          <w:p w14:paraId="262F04C6" w14:textId="5AB3D52B" w:rsidR="00A843ED" w:rsidRPr="005C4299" w:rsidRDefault="00A843ED" w:rsidP="00A843ED">
            <w:pPr>
              <w:shd w:val="clear" w:color="auto" w:fill="FFFFFF" w:themeFill="background1"/>
              <w:jc w:val="center"/>
              <w:rPr>
                <w:rFonts w:cstheme="minorHAnsi"/>
              </w:rPr>
            </w:pPr>
            <w:r w:rsidRPr="005C4299">
              <w:rPr>
                <w:rFonts w:cstheme="minorHAnsi"/>
              </w:rPr>
              <w:t>70%</w:t>
            </w:r>
          </w:p>
        </w:tc>
        <w:tc>
          <w:tcPr>
            <w:tcW w:w="625" w:type="pct"/>
            <w:tcBorders>
              <w:top w:val="double" w:sz="4" w:space="0" w:color="auto"/>
              <w:bottom w:val="double" w:sz="4" w:space="0" w:color="auto"/>
            </w:tcBorders>
            <w:shd w:val="clear" w:color="auto" w:fill="FFFFFF" w:themeFill="background1"/>
          </w:tcPr>
          <w:p w14:paraId="74D6DFFE" w14:textId="77D189C5" w:rsidR="00A843ED" w:rsidRPr="005C4299" w:rsidRDefault="00A843ED" w:rsidP="00A843ED">
            <w:pPr>
              <w:shd w:val="clear" w:color="auto" w:fill="FFFFFF" w:themeFill="background1"/>
              <w:jc w:val="center"/>
              <w:rPr>
                <w:rFonts w:cstheme="minorHAnsi"/>
              </w:rPr>
            </w:pPr>
            <w:r w:rsidRPr="005C4299">
              <w:rPr>
                <w:rFonts w:cstheme="minorHAnsi"/>
              </w:rPr>
              <w:t>80%</w:t>
            </w:r>
          </w:p>
        </w:tc>
        <w:tc>
          <w:tcPr>
            <w:tcW w:w="625" w:type="pct"/>
            <w:tcBorders>
              <w:top w:val="double" w:sz="4" w:space="0" w:color="auto"/>
              <w:bottom w:val="double" w:sz="4" w:space="0" w:color="auto"/>
              <w:right w:val="double" w:sz="4" w:space="0" w:color="auto"/>
            </w:tcBorders>
            <w:shd w:val="clear" w:color="auto" w:fill="FFFFFF" w:themeFill="background1"/>
          </w:tcPr>
          <w:p w14:paraId="725BF8B9" w14:textId="0704F166" w:rsidR="00A843ED" w:rsidRPr="005C4299" w:rsidRDefault="00A843ED" w:rsidP="00A843ED">
            <w:pPr>
              <w:shd w:val="clear" w:color="auto" w:fill="FFFFFF" w:themeFill="background1"/>
              <w:jc w:val="center"/>
              <w:rPr>
                <w:rFonts w:cstheme="minorHAnsi"/>
              </w:rPr>
            </w:pPr>
            <w:r w:rsidRPr="005C4299">
              <w:rPr>
                <w:rFonts w:cstheme="minorHAnsi"/>
              </w:rPr>
              <w:t>90%</w:t>
            </w:r>
          </w:p>
        </w:tc>
      </w:tr>
      <w:tr w:rsidR="00B44126" w:rsidRPr="009A613C" w14:paraId="7E340A14" w14:textId="77777777" w:rsidTr="00BE13A3">
        <w:trPr>
          <w:trHeight w:val="254"/>
        </w:trPr>
        <w:tc>
          <w:tcPr>
            <w:tcW w:w="1250" w:type="pct"/>
            <w:vMerge/>
            <w:shd w:val="clear" w:color="auto" w:fill="E2EFD9" w:themeFill="accent6" w:themeFillTint="33"/>
          </w:tcPr>
          <w:p w14:paraId="3C5AFE83" w14:textId="77777777" w:rsidR="00B44126" w:rsidRPr="009A613C" w:rsidRDefault="00B44126" w:rsidP="00BE13A3">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09E2C840" w14:textId="47880990" w:rsidR="00B44126" w:rsidRPr="009A613C" w:rsidRDefault="00B44126" w:rsidP="00BE13A3">
            <w:pPr>
              <w:shd w:val="clear" w:color="auto" w:fill="FFFFFF" w:themeFill="background1"/>
              <w:spacing w:after="240"/>
              <w:rPr>
                <w:rFonts w:cstheme="minorHAnsi"/>
              </w:rPr>
            </w:pPr>
            <w:r w:rsidRPr="009A613C">
              <w:rPr>
                <w:rFonts w:cstheme="minorHAnsi"/>
              </w:rPr>
              <w:t xml:space="preserve"> % popunjenih pozicija predsjednika sudova</w:t>
            </w:r>
          </w:p>
        </w:tc>
        <w:tc>
          <w:tcPr>
            <w:tcW w:w="625" w:type="pct"/>
            <w:tcBorders>
              <w:top w:val="double" w:sz="4" w:space="0" w:color="auto"/>
              <w:bottom w:val="double" w:sz="4" w:space="0" w:color="auto"/>
            </w:tcBorders>
            <w:shd w:val="clear" w:color="auto" w:fill="FFFFFF" w:themeFill="background1"/>
          </w:tcPr>
          <w:p w14:paraId="5C28FEDD" w14:textId="7BEFFB56" w:rsidR="00B44126" w:rsidRPr="005C4299" w:rsidRDefault="009B2253" w:rsidP="00BE13A3">
            <w:pPr>
              <w:shd w:val="clear" w:color="auto" w:fill="FFFFFF" w:themeFill="background1"/>
              <w:jc w:val="center"/>
              <w:rPr>
                <w:rFonts w:cstheme="minorHAnsi"/>
              </w:rPr>
            </w:pPr>
            <w:r w:rsidRPr="005C4299">
              <w:rPr>
                <w:rFonts w:cstheme="minorHAnsi"/>
              </w:rPr>
              <w:t>88%</w:t>
            </w:r>
          </w:p>
        </w:tc>
        <w:tc>
          <w:tcPr>
            <w:tcW w:w="625" w:type="pct"/>
            <w:tcBorders>
              <w:top w:val="double" w:sz="4" w:space="0" w:color="auto"/>
              <w:bottom w:val="double" w:sz="4" w:space="0" w:color="auto"/>
            </w:tcBorders>
            <w:shd w:val="clear" w:color="auto" w:fill="FFFFFF" w:themeFill="background1"/>
          </w:tcPr>
          <w:p w14:paraId="2BC6464B" w14:textId="5D920D7F" w:rsidR="00B44126" w:rsidRPr="005C4299" w:rsidRDefault="00B44126" w:rsidP="003613EC">
            <w:pPr>
              <w:shd w:val="clear" w:color="auto" w:fill="FFFFFF" w:themeFill="background1"/>
              <w:jc w:val="center"/>
              <w:rPr>
                <w:rFonts w:cstheme="minorHAnsi"/>
              </w:rPr>
            </w:pPr>
            <w:r w:rsidRPr="005C4299">
              <w:rPr>
                <w:rFonts w:cstheme="minorHAnsi"/>
              </w:rPr>
              <w:t>100%</w:t>
            </w:r>
          </w:p>
        </w:tc>
        <w:tc>
          <w:tcPr>
            <w:tcW w:w="625" w:type="pct"/>
            <w:tcBorders>
              <w:top w:val="double" w:sz="4" w:space="0" w:color="auto"/>
              <w:bottom w:val="double" w:sz="4" w:space="0" w:color="auto"/>
              <w:right w:val="double" w:sz="4" w:space="0" w:color="auto"/>
            </w:tcBorders>
            <w:shd w:val="clear" w:color="auto" w:fill="FFFFFF" w:themeFill="background1"/>
          </w:tcPr>
          <w:p w14:paraId="70837533" w14:textId="471CB666" w:rsidR="00B44126" w:rsidRPr="005C4299" w:rsidRDefault="00B44126" w:rsidP="003613EC">
            <w:pPr>
              <w:shd w:val="clear" w:color="auto" w:fill="FFFFFF" w:themeFill="background1"/>
              <w:jc w:val="center"/>
              <w:rPr>
                <w:rFonts w:cstheme="minorHAnsi"/>
              </w:rPr>
            </w:pPr>
            <w:r w:rsidRPr="005C4299">
              <w:rPr>
                <w:rFonts w:cstheme="minorHAnsi"/>
              </w:rPr>
              <w:t>100%</w:t>
            </w:r>
          </w:p>
        </w:tc>
      </w:tr>
      <w:tr w:rsidR="00A843ED" w:rsidRPr="009A613C" w14:paraId="2A3E0BB2" w14:textId="77777777" w:rsidTr="00BE13A3">
        <w:trPr>
          <w:trHeight w:val="254"/>
        </w:trPr>
        <w:tc>
          <w:tcPr>
            <w:tcW w:w="1250" w:type="pct"/>
            <w:vMerge/>
            <w:shd w:val="clear" w:color="auto" w:fill="E2EFD9" w:themeFill="accent6" w:themeFillTint="33"/>
          </w:tcPr>
          <w:p w14:paraId="2D73987A" w14:textId="77777777" w:rsidR="00A843ED" w:rsidRPr="009A613C" w:rsidRDefault="00A843ED" w:rsidP="00A843ED">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46AD59DC" w14:textId="418460A8" w:rsidR="00A843ED" w:rsidRPr="009A613C" w:rsidRDefault="00A843ED" w:rsidP="00A843ED">
            <w:pPr>
              <w:shd w:val="clear" w:color="auto" w:fill="FFFFFF" w:themeFill="background1"/>
              <w:spacing w:after="240"/>
              <w:rPr>
                <w:rFonts w:cstheme="minorHAnsi"/>
              </w:rPr>
            </w:pPr>
            <w:r w:rsidRPr="009A613C">
              <w:rPr>
                <w:rFonts w:cstheme="minorHAnsi"/>
              </w:rPr>
              <w:t xml:space="preserve"> % popunjenih pozicija rukovodilaca </w:t>
            </w:r>
            <w:r w:rsidR="00B119B4">
              <w:rPr>
                <w:rFonts w:cstheme="minorHAnsi"/>
              </w:rPr>
              <w:t xml:space="preserve">državnih </w:t>
            </w:r>
            <w:r w:rsidRPr="009A613C">
              <w:rPr>
                <w:rFonts w:cstheme="minorHAnsi"/>
              </w:rPr>
              <w:t>tužilaštava</w:t>
            </w:r>
          </w:p>
        </w:tc>
        <w:tc>
          <w:tcPr>
            <w:tcW w:w="625" w:type="pct"/>
            <w:tcBorders>
              <w:top w:val="double" w:sz="4" w:space="0" w:color="auto"/>
              <w:bottom w:val="double" w:sz="4" w:space="0" w:color="auto"/>
            </w:tcBorders>
            <w:shd w:val="clear" w:color="auto" w:fill="FFFFFF" w:themeFill="background1"/>
          </w:tcPr>
          <w:p w14:paraId="035D2916" w14:textId="6F1964B2" w:rsidR="00A843ED" w:rsidRPr="005C4299" w:rsidRDefault="00A843ED" w:rsidP="00A843ED">
            <w:pPr>
              <w:shd w:val="clear" w:color="auto" w:fill="FFFFFF" w:themeFill="background1"/>
              <w:jc w:val="center"/>
              <w:rPr>
                <w:rFonts w:cstheme="minorHAnsi"/>
              </w:rPr>
            </w:pPr>
            <w:r w:rsidRPr="005C4299">
              <w:rPr>
                <w:rFonts w:cstheme="minorHAnsi"/>
              </w:rPr>
              <w:t>85%</w:t>
            </w:r>
          </w:p>
        </w:tc>
        <w:tc>
          <w:tcPr>
            <w:tcW w:w="625" w:type="pct"/>
            <w:tcBorders>
              <w:top w:val="double" w:sz="4" w:space="0" w:color="auto"/>
              <w:bottom w:val="double" w:sz="4" w:space="0" w:color="auto"/>
            </w:tcBorders>
            <w:shd w:val="clear" w:color="auto" w:fill="FFFFFF" w:themeFill="background1"/>
          </w:tcPr>
          <w:p w14:paraId="27FDF481" w14:textId="67266EBC" w:rsidR="00A843ED" w:rsidRPr="005C4299" w:rsidRDefault="00A843ED" w:rsidP="00A843ED">
            <w:pPr>
              <w:shd w:val="clear" w:color="auto" w:fill="FFFFFF" w:themeFill="background1"/>
              <w:jc w:val="center"/>
              <w:rPr>
                <w:rFonts w:cstheme="minorHAnsi"/>
              </w:rPr>
            </w:pPr>
            <w:r w:rsidRPr="005C4299">
              <w:rPr>
                <w:rFonts w:cstheme="minorHAnsi"/>
              </w:rPr>
              <w:t>90%</w:t>
            </w:r>
          </w:p>
        </w:tc>
        <w:tc>
          <w:tcPr>
            <w:tcW w:w="625" w:type="pct"/>
            <w:tcBorders>
              <w:top w:val="double" w:sz="4" w:space="0" w:color="auto"/>
              <w:bottom w:val="double" w:sz="4" w:space="0" w:color="auto"/>
              <w:right w:val="double" w:sz="4" w:space="0" w:color="auto"/>
            </w:tcBorders>
            <w:shd w:val="clear" w:color="auto" w:fill="FFFFFF" w:themeFill="background1"/>
          </w:tcPr>
          <w:p w14:paraId="5499C597" w14:textId="6E8365D4" w:rsidR="00A843ED" w:rsidRPr="005C4299" w:rsidRDefault="00A843ED" w:rsidP="00A843ED">
            <w:pPr>
              <w:shd w:val="clear" w:color="auto" w:fill="FFFFFF" w:themeFill="background1"/>
              <w:jc w:val="center"/>
              <w:rPr>
                <w:rFonts w:cstheme="minorHAnsi"/>
              </w:rPr>
            </w:pPr>
            <w:r w:rsidRPr="005C4299">
              <w:rPr>
                <w:rFonts w:cstheme="minorHAnsi"/>
              </w:rPr>
              <w:t>95%</w:t>
            </w:r>
          </w:p>
        </w:tc>
      </w:tr>
      <w:tr w:rsidR="00EB01D2" w:rsidRPr="009A613C" w14:paraId="244F44ED" w14:textId="77777777" w:rsidTr="00BE13A3">
        <w:trPr>
          <w:trHeight w:val="254"/>
        </w:trPr>
        <w:tc>
          <w:tcPr>
            <w:tcW w:w="1250" w:type="pct"/>
            <w:vMerge/>
            <w:shd w:val="clear" w:color="auto" w:fill="E2EFD9" w:themeFill="accent6" w:themeFillTint="33"/>
          </w:tcPr>
          <w:p w14:paraId="29537D56" w14:textId="77777777" w:rsidR="00EB01D2" w:rsidRPr="009A613C" w:rsidRDefault="00EB01D2" w:rsidP="00EB01D2">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02FC25A3" w14:textId="05F85B28" w:rsidR="00EB01D2" w:rsidRPr="00EB01D2" w:rsidRDefault="00EB01D2" w:rsidP="00EB01D2">
            <w:pPr>
              <w:shd w:val="clear" w:color="auto" w:fill="FFFFFF" w:themeFill="background1"/>
              <w:spacing w:after="240"/>
              <w:rPr>
                <w:rFonts w:cstheme="minorHAnsi"/>
              </w:rPr>
            </w:pPr>
            <w:r w:rsidRPr="00C65614">
              <w:rPr>
                <w:rFonts w:cstheme="minorHAnsi"/>
              </w:rPr>
              <w:t xml:space="preserve"> % sudija ocijenjenih u okviru redovnog ocijenjivanja</w:t>
            </w:r>
          </w:p>
        </w:tc>
        <w:tc>
          <w:tcPr>
            <w:tcW w:w="625" w:type="pct"/>
            <w:tcBorders>
              <w:top w:val="double" w:sz="4" w:space="0" w:color="auto"/>
              <w:bottom w:val="double" w:sz="4" w:space="0" w:color="auto"/>
            </w:tcBorders>
            <w:shd w:val="clear" w:color="auto" w:fill="FFFFFF" w:themeFill="background1"/>
          </w:tcPr>
          <w:p w14:paraId="1E3C8614" w14:textId="3E5055CB" w:rsidR="00EB01D2" w:rsidRPr="005C4299" w:rsidRDefault="00EB01D2" w:rsidP="00EB01D2">
            <w:pPr>
              <w:shd w:val="clear" w:color="auto" w:fill="FFFFFF" w:themeFill="background1"/>
              <w:jc w:val="center"/>
              <w:rPr>
                <w:rFonts w:cstheme="minorHAnsi"/>
              </w:rPr>
            </w:pPr>
            <w:r w:rsidRPr="005C4299">
              <w:rPr>
                <w:rFonts w:cstheme="minorHAnsi"/>
              </w:rPr>
              <w:t>81,65%</w:t>
            </w:r>
          </w:p>
        </w:tc>
        <w:tc>
          <w:tcPr>
            <w:tcW w:w="625" w:type="pct"/>
            <w:tcBorders>
              <w:top w:val="double" w:sz="4" w:space="0" w:color="auto"/>
              <w:bottom w:val="double" w:sz="4" w:space="0" w:color="auto"/>
            </w:tcBorders>
            <w:shd w:val="clear" w:color="auto" w:fill="FFFFFF" w:themeFill="background1"/>
          </w:tcPr>
          <w:p w14:paraId="12F07906" w14:textId="55952129" w:rsidR="00EB01D2" w:rsidRPr="005C4299" w:rsidRDefault="001029A0" w:rsidP="00EB01D2">
            <w:pPr>
              <w:shd w:val="clear" w:color="auto" w:fill="FFFFFF" w:themeFill="background1"/>
              <w:jc w:val="center"/>
              <w:rPr>
                <w:rFonts w:cstheme="minorHAnsi"/>
              </w:rPr>
            </w:pPr>
            <w:r>
              <w:rPr>
                <w:rFonts w:cstheme="minorHAnsi"/>
              </w:rPr>
              <w:t>90</w:t>
            </w:r>
            <w:r w:rsidR="00EB01D2" w:rsidRPr="005C4299">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2E5F97CC" w14:textId="4F505C6E" w:rsidR="00EB01D2" w:rsidRPr="005C4299" w:rsidRDefault="001029A0" w:rsidP="00EB01D2">
            <w:pPr>
              <w:shd w:val="clear" w:color="auto" w:fill="FFFFFF" w:themeFill="background1"/>
              <w:jc w:val="center"/>
              <w:rPr>
                <w:rFonts w:cstheme="minorHAnsi"/>
              </w:rPr>
            </w:pPr>
            <w:r>
              <w:rPr>
                <w:rFonts w:cstheme="minorHAnsi"/>
              </w:rPr>
              <w:t>100</w:t>
            </w:r>
            <w:r w:rsidR="00EB01D2" w:rsidRPr="005C4299">
              <w:rPr>
                <w:rFonts w:cstheme="minorHAnsi"/>
              </w:rPr>
              <w:t>%</w:t>
            </w:r>
          </w:p>
        </w:tc>
      </w:tr>
      <w:tr w:rsidR="00EB01D2" w:rsidRPr="009A613C" w14:paraId="148B9A11" w14:textId="77777777" w:rsidTr="00B44126">
        <w:trPr>
          <w:trHeight w:val="254"/>
        </w:trPr>
        <w:tc>
          <w:tcPr>
            <w:tcW w:w="1250" w:type="pct"/>
            <w:vMerge/>
            <w:shd w:val="clear" w:color="auto" w:fill="E2EFD9" w:themeFill="accent6" w:themeFillTint="33"/>
          </w:tcPr>
          <w:p w14:paraId="10140D72" w14:textId="77777777" w:rsidR="00EB01D2" w:rsidRPr="009A613C" w:rsidRDefault="00EB01D2" w:rsidP="00EB01D2">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6C547D9E" w14:textId="73791088" w:rsidR="00EB01D2" w:rsidRPr="00EB01D2" w:rsidRDefault="00EB01D2" w:rsidP="00EB01D2">
            <w:pPr>
              <w:shd w:val="clear" w:color="auto" w:fill="FFFFFF" w:themeFill="background1"/>
              <w:spacing w:after="240"/>
              <w:rPr>
                <w:rFonts w:cstheme="minorHAnsi"/>
              </w:rPr>
            </w:pPr>
            <w:r w:rsidRPr="00C65614">
              <w:rPr>
                <w:rFonts w:cstheme="minorHAnsi"/>
              </w:rPr>
              <w:t xml:space="preserve"> % tuž</w:t>
            </w:r>
            <w:r w:rsidRPr="00C65614">
              <w:rPr>
                <w:rFonts w:cstheme="minorHAnsi"/>
                <w:lang w:val="en-GB"/>
              </w:rPr>
              <w:t>ilaca</w:t>
            </w:r>
            <w:r w:rsidRPr="00C65614">
              <w:rPr>
                <w:rFonts w:cstheme="minorHAnsi"/>
              </w:rPr>
              <w:t xml:space="preserve"> ocijenjenih u okviru redovnog ocijenjivanja</w:t>
            </w:r>
          </w:p>
        </w:tc>
        <w:tc>
          <w:tcPr>
            <w:tcW w:w="625" w:type="pct"/>
            <w:tcBorders>
              <w:top w:val="double" w:sz="4" w:space="0" w:color="auto"/>
              <w:bottom w:val="double" w:sz="4" w:space="0" w:color="auto"/>
            </w:tcBorders>
            <w:shd w:val="clear" w:color="auto" w:fill="FFFFFF" w:themeFill="background1"/>
          </w:tcPr>
          <w:p w14:paraId="006400E0" w14:textId="0644F98A" w:rsidR="00EB01D2" w:rsidRPr="005C4299" w:rsidRDefault="00EB01D2" w:rsidP="00EB01D2">
            <w:pPr>
              <w:shd w:val="clear" w:color="auto" w:fill="FFFFFF" w:themeFill="background1"/>
              <w:jc w:val="center"/>
              <w:rPr>
                <w:rFonts w:cstheme="minorHAnsi"/>
              </w:rPr>
            </w:pPr>
            <w:r w:rsidRPr="005C4299">
              <w:rPr>
                <w:rFonts w:cstheme="minorHAnsi"/>
              </w:rPr>
              <w:t>30%</w:t>
            </w:r>
          </w:p>
        </w:tc>
        <w:tc>
          <w:tcPr>
            <w:tcW w:w="625" w:type="pct"/>
            <w:tcBorders>
              <w:top w:val="double" w:sz="4" w:space="0" w:color="auto"/>
              <w:bottom w:val="double" w:sz="4" w:space="0" w:color="auto"/>
            </w:tcBorders>
            <w:shd w:val="clear" w:color="auto" w:fill="FFFFFF" w:themeFill="background1"/>
          </w:tcPr>
          <w:p w14:paraId="17824933" w14:textId="2A0008E3" w:rsidR="00EB01D2" w:rsidRPr="005C4299" w:rsidRDefault="00EB01D2" w:rsidP="00EB01D2">
            <w:pPr>
              <w:shd w:val="clear" w:color="auto" w:fill="FFFFFF" w:themeFill="background1"/>
              <w:jc w:val="center"/>
              <w:rPr>
                <w:rFonts w:cstheme="minorHAnsi"/>
              </w:rPr>
            </w:pPr>
            <w:r w:rsidRPr="005C4299">
              <w:rPr>
                <w:rFonts w:cstheme="minorHAnsi"/>
              </w:rPr>
              <w:t>80%</w:t>
            </w:r>
          </w:p>
        </w:tc>
        <w:tc>
          <w:tcPr>
            <w:tcW w:w="625" w:type="pct"/>
            <w:tcBorders>
              <w:top w:val="double" w:sz="4" w:space="0" w:color="auto"/>
              <w:bottom w:val="double" w:sz="4" w:space="0" w:color="auto"/>
              <w:right w:val="double" w:sz="4" w:space="0" w:color="auto"/>
            </w:tcBorders>
            <w:shd w:val="clear" w:color="auto" w:fill="FFFFFF" w:themeFill="background1"/>
          </w:tcPr>
          <w:p w14:paraId="7C3EE95D" w14:textId="35A0119D" w:rsidR="00EB01D2" w:rsidRPr="005C4299" w:rsidRDefault="00EB01D2" w:rsidP="00EB01D2">
            <w:pPr>
              <w:shd w:val="clear" w:color="auto" w:fill="FFFFFF" w:themeFill="background1"/>
              <w:jc w:val="center"/>
              <w:rPr>
                <w:rFonts w:cstheme="minorHAnsi"/>
              </w:rPr>
            </w:pPr>
            <w:r w:rsidRPr="005C4299">
              <w:rPr>
                <w:rFonts w:cstheme="minorHAnsi"/>
              </w:rPr>
              <w:t>90%</w:t>
            </w:r>
          </w:p>
        </w:tc>
      </w:tr>
      <w:tr w:rsidR="00B44126" w:rsidRPr="009A613C" w14:paraId="32016815" w14:textId="77777777" w:rsidTr="00B44126">
        <w:trPr>
          <w:trHeight w:val="254"/>
        </w:trPr>
        <w:tc>
          <w:tcPr>
            <w:tcW w:w="1250" w:type="pct"/>
            <w:vMerge/>
            <w:shd w:val="clear" w:color="auto" w:fill="E2EFD9" w:themeFill="accent6" w:themeFillTint="33"/>
          </w:tcPr>
          <w:p w14:paraId="765E8D07" w14:textId="77777777" w:rsidR="00B44126" w:rsidRPr="009A613C" w:rsidRDefault="00B44126" w:rsidP="00BE13A3">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24553D48" w14:textId="1A556A66" w:rsidR="00B44126" w:rsidRDefault="00B44126" w:rsidP="00BE13A3">
            <w:pPr>
              <w:shd w:val="clear" w:color="auto" w:fill="FFFFFF" w:themeFill="background1"/>
              <w:spacing w:after="240"/>
              <w:rPr>
                <w:rFonts w:cstheme="minorHAnsi"/>
              </w:rPr>
            </w:pPr>
            <w:r>
              <w:rPr>
                <w:rFonts w:cstheme="minorHAnsi"/>
              </w:rPr>
              <w:t xml:space="preserve"> % žena na rukovodećim pozicijama u sudstvu</w:t>
            </w:r>
          </w:p>
        </w:tc>
        <w:tc>
          <w:tcPr>
            <w:tcW w:w="625" w:type="pct"/>
            <w:tcBorders>
              <w:top w:val="double" w:sz="4" w:space="0" w:color="auto"/>
              <w:bottom w:val="double" w:sz="4" w:space="0" w:color="auto"/>
            </w:tcBorders>
            <w:shd w:val="clear" w:color="auto" w:fill="FFFFFF" w:themeFill="background1"/>
          </w:tcPr>
          <w:p w14:paraId="751CB0D2" w14:textId="50E8259D" w:rsidR="00B44126" w:rsidRPr="005C4299" w:rsidRDefault="00B9186C" w:rsidP="00BE13A3">
            <w:pPr>
              <w:shd w:val="clear" w:color="auto" w:fill="FFFFFF" w:themeFill="background1"/>
              <w:jc w:val="center"/>
              <w:rPr>
                <w:rFonts w:cstheme="minorHAnsi"/>
              </w:rPr>
            </w:pPr>
            <w:r w:rsidRPr="005C4299">
              <w:rPr>
                <w:rFonts w:cstheme="minorHAnsi"/>
              </w:rPr>
              <w:t>28%</w:t>
            </w:r>
          </w:p>
        </w:tc>
        <w:tc>
          <w:tcPr>
            <w:tcW w:w="625" w:type="pct"/>
            <w:tcBorders>
              <w:top w:val="double" w:sz="4" w:space="0" w:color="auto"/>
              <w:bottom w:val="double" w:sz="4" w:space="0" w:color="auto"/>
            </w:tcBorders>
            <w:shd w:val="clear" w:color="auto" w:fill="FFFFFF" w:themeFill="background1"/>
          </w:tcPr>
          <w:p w14:paraId="68B854EF" w14:textId="1553292E" w:rsidR="00B44126" w:rsidRPr="005C4299" w:rsidRDefault="00B9186C" w:rsidP="003613EC">
            <w:pPr>
              <w:shd w:val="clear" w:color="auto" w:fill="FFFFFF" w:themeFill="background1"/>
              <w:jc w:val="center"/>
              <w:rPr>
                <w:rFonts w:cstheme="minorHAnsi"/>
              </w:rPr>
            </w:pPr>
            <w:r w:rsidRPr="005C4299">
              <w:rPr>
                <w:rFonts w:cstheme="minorHAnsi"/>
              </w:rPr>
              <w:t>30%</w:t>
            </w:r>
          </w:p>
        </w:tc>
        <w:tc>
          <w:tcPr>
            <w:tcW w:w="625" w:type="pct"/>
            <w:tcBorders>
              <w:top w:val="double" w:sz="4" w:space="0" w:color="auto"/>
              <w:bottom w:val="double" w:sz="4" w:space="0" w:color="auto"/>
              <w:right w:val="double" w:sz="4" w:space="0" w:color="auto"/>
            </w:tcBorders>
            <w:shd w:val="clear" w:color="auto" w:fill="FFFFFF" w:themeFill="background1"/>
          </w:tcPr>
          <w:p w14:paraId="029F3D5A" w14:textId="2B37F114" w:rsidR="00B44126" w:rsidRPr="005C4299" w:rsidRDefault="00B9186C" w:rsidP="003613EC">
            <w:pPr>
              <w:shd w:val="clear" w:color="auto" w:fill="FFFFFF" w:themeFill="background1"/>
              <w:jc w:val="center"/>
              <w:rPr>
                <w:rFonts w:cstheme="minorHAnsi"/>
              </w:rPr>
            </w:pPr>
            <w:r w:rsidRPr="005C4299">
              <w:rPr>
                <w:rFonts w:cstheme="minorHAnsi"/>
              </w:rPr>
              <w:t>35%</w:t>
            </w:r>
          </w:p>
        </w:tc>
      </w:tr>
      <w:tr w:rsidR="00A843ED" w:rsidRPr="009A613C" w14:paraId="747D6BAD" w14:textId="77777777" w:rsidTr="00BE13A3">
        <w:trPr>
          <w:trHeight w:val="254"/>
        </w:trPr>
        <w:tc>
          <w:tcPr>
            <w:tcW w:w="1250" w:type="pct"/>
            <w:vMerge/>
            <w:tcBorders>
              <w:bottom w:val="double" w:sz="4" w:space="0" w:color="auto"/>
            </w:tcBorders>
            <w:shd w:val="clear" w:color="auto" w:fill="E2EFD9" w:themeFill="accent6" w:themeFillTint="33"/>
          </w:tcPr>
          <w:p w14:paraId="431FF279" w14:textId="77777777" w:rsidR="00A843ED" w:rsidRPr="009A613C" w:rsidRDefault="00A843ED" w:rsidP="00A843ED">
            <w:pPr>
              <w:pStyle w:val="ListParagraph"/>
              <w:ind w:left="360"/>
              <w:rPr>
                <w:rFonts w:cstheme="minorHAnsi"/>
              </w:rPr>
            </w:pPr>
          </w:p>
        </w:tc>
        <w:tc>
          <w:tcPr>
            <w:tcW w:w="1875" w:type="pct"/>
            <w:tcBorders>
              <w:top w:val="double" w:sz="4" w:space="0" w:color="auto"/>
              <w:bottom w:val="double" w:sz="4" w:space="0" w:color="auto"/>
            </w:tcBorders>
            <w:shd w:val="clear" w:color="auto" w:fill="FFFFFF" w:themeFill="background1"/>
          </w:tcPr>
          <w:p w14:paraId="3BA5E067" w14:textId="63F7CD15" w:rsidR="00A843ED" w:rsidRDefault="00A843ED" w:rsidP="00A843ED">
            <w:pPr>
              <w:shd w:val="clear" w:color="auto" w:fill="FFFFFF" w:themeFill="background1"/>
              <w:spacing w:after="240"/>
              <w:rPr>
                <w:rFonts w:cstheme="minorHAnsi"/>
              </w:rPr>
            </w:pPr>
            <w:r>
              <w:rPr>
                <w:rFonts w:cstheme="minorHAnsi"/>
              </w:rPr>
              <w:t xml:space="preserve"> % žena na rukovodećim pozicijama u državnom tužilaštvu</w:t>
            </w:r>
          </w:p>
        </w:tc>
        <w:tc>
          <w:tcPr>
            <w:tcW w:w="625" w:type="pct"/>
            <w:tcBorders>
              <w:top w:val="double" w:sz="4" w:space="0" w:color="auto"/>
              <w:bottom w:val="double" w:sz="4" w:space="0" w:color="auto"/>
            </w:tcBorders>
            <w:shd w:val="clear" w:color="auto" w:fill="FFFFFF" w:themeFill="background1"/>
          </w:tcPr>
          <w:p w14:paraId="659E9E17" w14:textId="0DF28B12" w:rsidR="00A843ED" w:rsidRPr="005C4299" w:rsidRDefault="00A843ED" w:rsidP="00A843ED">
            <w:pPr>
              <w:shd w:val="clear" w:color="auto" w:fill="FFFFFF" w:themeFill="background1"/>
              <w:jc w:val="center"/>
              <w:rPr>
                <w:rFonts w:cstheme="minorHAnsi"/>
              </w:rPr>
            </w:pPr>
            <w:r w:rsidRPr="005C4299">
              <w:rPr>
                <w:rFonts w:cstheme="minorHAnsi"/>
              </w:rPr>
              <w:t>25%</w:t>
            </w:r>
          </w:p>
        </w:tc>
        <w:tc>
          <w:tcPr>
            <w:tcW w:w="625" w:type="pct"/>
            <w:tcBorders>
              <w:top w:val="double" w:sz="4" w:space="0" w:color="auto"/>
              <w:bottom w:val="double" w:sz="4" w:space="0" w:color="auto"/>
            </w:tcBorders>
            <w:shd w:val="clear" w:color="auto" w:fill="FFFFFF" w:themeFill="background1"/>
          </w:tcPr>
          <w:p w14:paraId="1123CDEC" w14:textId="2CCDF31A" w:rsidR="00A843ED" w:rsidRPr="005C4299" w:rsidRDefault="00A843ED" w:rsidP="00A843ED">
            <w:pPr>
              <w:shd w:val="clear" w:color="auto" w:fill="FFFFFF" w:themeFill="background1"/>
              <w:jc w:val="center"/>
              <w:rPr>
                <w:rFonts w:cstheme="minorHAnsi"/>
              </w:rPr>
            </w:pPr>
            <w:r w:rsidRPr="005C4299">
              <w:rPr>
                <w:rFonts w:cstheme="minorHAnsi"/>
              </w:rPr>
              <w:t>30%</w:t>
            </w:r>
          </w:p>
        </w:tc>
        <w:tc>
          <w:tcPr>
            <w:tcW w:w="625" w:type="pct"/>
            <w:tcBorders>
              <w:top w:val="double" w:sz="4" w:space="0" w:color="auto"/>
              <w:bottom w:val="double" w:sz="4" w:space="0" w:color="auto"/>
              <w:right w:val="double" w:sz="4" w:space="0" w:color="auto"/>
            </w:tcBorders>
            <w:shd w:val="clear" w:color="auto" w:fill="FFFFFF" w:themeFill="background1"/>
          </w:tcPr>
          <w:p w14:paraId="259F89FD" w14:textId="73F403CF" w:rsidR="00A843ED" w:rsidRPr="005C4299" w:rsidRDefault="00A843ED" w:rsidP="00A843ED">
            <w:pPr>
              <w:shd w:val="clear" w:color="auto" w:fill="FFFFFF" w:themeFill="background1"/>
              <w:jc w:val="center"/>
              <w:rPr>
                <w:rFonts w:cstheme="minorHAnsi"/>
              </w:rPr>
            </w:pPr>
            <w:r w:rsidRPr="005C4299">
              <w:rPr>
                <w:rFonts w:cstheme="minorHAnsi"/>
              </w:rPr>
              <w:t>35%</w:t>
            </w:r>
          </w:p>
        </w:tc>
      </w:tr>
    </w:tbl>
    <w:p w14:paraId="7584B304" w14:textId="77777777" w:rsidR="008808A5" w:rsidRPr="009A613C" w:rsidRDefault="008808A5" w:rsidP="008808A5"/>
    <w:p w14:paraId="367C273E" w14:textId="52F6C9A5" w:rsidR="004F6A83" w:rsidRPr="009A613C" w:rsidRDefault="004F6A83">
      <w:pPr>
        <w:pStyle w:val="Heading3"/>
        <w:numPr>
          <w:ilvl w:val="1"/>
          <w:numId w:val="4"/>
        </w:numPr>
        <w:spacing w:after="240"/>
        <w:jc w:val="center"/>
      </w:pPr>
      <w:bookmarkStart w:id="29" w:name="_Toc156937957"/>
      <w:r w:rsidRPr="009A613C">
        <w:t xml:space="preserve">Jačanje kapaciteta </w:t>
      </w:r>
      <w:r w:rsidR="007124FA">
        <w:t>Sudskog i Tu</w:t>
      </w:r>
      <w:r w:rsidR="007124FA" w:rsidRPr="00ED323C">
        <w:t>ž</w:t>
      </w:r>
      <w:r w:rsidR="007124FA">
        <w:rPr>
          <w:lang w:val="en-GB"/>
        </w:rPr>
        <w:t>ila</w:t>
      </w:r>
      <w:r w:rsidR="007124FA" w:rsidRPr="00ED323C">
        <w:t>č</w:t>
      </w:r>
      <w:r w:rsidR="007124FA">
        <w:rPr>
          <w:lang w:val="en-GB"/>
        </w:rPr>
        <w:t>kog</w:t>
      </w:r>
      <w:r w:rsidRPr="009A613C">
        <w:t xml:space="preserve"> savjeta</w:t>
      </w:r>
      <w:bookmarkEnd w:id="29"/>
    </w:p>
    <w:p w14:paraId="02837619" w14:textId="27597D34" w:rsidR="008808A5" w:rsidRPr="009A613C" w:rsidRDefault="00C9090E" w:rsidP="00725FF1">
      <w:pPr>
        <w:jc w:val="both"/>
      </w:pPr>
      <w:r w:rsidRPr="009A613C">
        <w:t>Proaktivna uloga pravosudnih savjeta</w:t>
      </w:r>
      <w:r w:rsidR="00222E0D" w:rsidRPr="009A613C">
        <w:t xml:space="preserve"> u rukovođenju pravosuđem i obezb</w:t>
      </w:r>
      <w:r w:rsidR="00802A44">
        <w:t>j</w:t>
      </w:r>
      <w:r w:rsidR="00222E0D" w:rsidRPr="009A613C">
        <w:t>eđivanju garancija nezavisnosti i samostalnosti nosilaca pravosudnih funkcija u velikoj m</w:t>
      </w:r>
      <w:r w:rsidR="006A7EE3" w:rsidRPr="009A613C">
        <w:t>j</w:t>
      </w:r>
      <w:r w:rsidR="00222E0D" w:rsidRPr="009A613C">
        <w:t xml:space="preserve">eri zavisi ne samo od garancija ugrađenih kroz normativni okvir, već i kroz osnaživanje kapaciteta Sudskog savjeta i Tužilačkog savjeta </w:t>
      </w:r>
      <w:r w:rsidR="00725FF1" w:rsidRPr="009A613C">
        <w:t>u vršenju te uloge.</w:t>
      </w:r>
    </w:p>
    <w:p w14:paraId="323BD4C2" w14:textId="2F24F48E" w:rsidR="00120EDE" w:rsidRPr="009A613C" w:rsidRDefault="00725FF1" w:rsidP="00725FF1">
      <w:pPr>
        <w:jc w:val="both"/>
      </w:pPr>
      <w:r w:rsidRPr="009A613C">
        <w:t>U tom smislu, jačanje kapaciteta u predstojećem periodu treba da se odvija na tri paralelna kolos</w:t>
      </w:r>
      <w:r w:rsidR="000B1ABE">
        <w:t>j</w:t>
      </w:r>
      <w:r w:rsidRPr="009A613C">
        <w:t xml:space="preserve">eka, usmjerena na budžetska sredstva, ljudske resurse, kao i metodološke i digitalne alate. </w:t>
      </w:r>
    </w:p>
    <w:p w14:paraId="068BB758" w14:textId="6F5D1A25" w:rsidR="00725FF1" w:rsidRPr="009A613C" w:rsidRDefault="00725FF1" w:rsidP="00725FF1">
      <w:pPr>
        <w:jc w:val="both"/>
      </w:pPr>
      <w:r w:rsidRPr="009A613C">
        <w:t xml:space="preserve">Imajući ovo u vidu, </w:t>
      </w:r>
      <w:r w:rsidR="00901E3C" w:rsidRPr="009A613C">
        <w:t xml:space="preserve">dok će budžetski kapaciteti biti adresirani u okviru Operativnog cilja 1.4, </w:t>
      </w:r>
      <w:r w:rsidRPr="009A613C">
        <w:t xml:space="preserve">u pogledu </w:t>
      </w:r>
      <w:r w:rsidRPr="009A613C">
        <w:rPr>
          <w:b/>
          <w:bCs/>
        </w:rPr>
        <w:t>jačanja ljudskih resursa</w:t>
      </w:r>
      <w:r w:rsidRPr="009A613C">
        <w:t xml:space="preserve"> u oba savjeta, potrebno je </w:t>
      </w:r>
      <w:r w:rsidR="00120EDE" w:rsidRPr="009A613C">
        <w:t>kontinuirano raditi na popunjavanju sistematizovanih radnih mjesta u sekretarijatima, ali i na jačanju stručnih kapaciteta, kako zaposlenih u sekretarijatima, tako i samih članova oba savjeta. Ovo je od naročitog značaja uzimajući u obzir ulogu koju savjeti imaju u procesu planiranja, primjene, izvještavanja i evaluacije dokumenata javnih politika</w:t>
      </w:r>
      <w:r w:rsidR="00A629D1">
        <w:t>,</w:t>
      </w:r>
      <w:r w:rsidR="00120EDE" w:rsidRPr="009A613C">
        <w:t xml:space="preserve"> ali i preporuka relevantnih međunarodnih tijela, uključujući tu, ali se ne ograničavajući na UN ugovorna t</w:t>
      </w:r>
      <w:r w:rsidR="00802A44">
        <w:t>ij</w:t>
      </w:r>
      <w:r w:rsidR="00120EDE" w:rsidRPr="009A613C">
        <w:t>ela i specijalne procedure, ugovorna i savjetodavna t</w:t>
      </w:r>
      <w:r w:rsidR="004120A4">
        <w:t>ij</w:t>
      </w:r>
      <w:r w:rsidR="00120EDE" w:rsidRPr="009A613C">
        <w:t xml:space="preserve">ela Savjeta Evrope, kao i </w:t>
      </w:r>
      <w:r w:rsidR="00802A44">
        <w:t>na</w:t>
      </w:r>
      <w:r w:rsidR="00120EDE" w:rsidRPr="009A613C">
        <w:t xml:space="preserve"> preporuke i mjerila definisana od strane Evropske komisije.</w:t>
      </w:r>
      <w:r w:rsidR="0075660E" w:rsidRPr="009A613C">
        <w:t xml:space="preserve"> Posebne vještine </w:t>
      </w:r>
      <w:r w:rsidR="001D3DA0" w:rsidRPr="009A613C">
        <w:t>potrebne su u oba savjeta i u oblasti planiranja i praćenja sprovođenja projekata, naročito iz ugla obezb</w:t>
      </w:r>
      <w:r w:rsidR="00A629D1">
        <w:t>j</w:t>
      </w:r>
      <w:r w:rsidR="001D3DA0" w:rsidRPr="009A613C">
        <w:t>eđivanja njihove međusobne, kao i koherentnosti sa reformskim procesima i ciljevima koji proizilaze iz nacionalnih dokumenata javnih politika i procesa pristupnih pregovora sa EU.</w:t>
      </w:r>
    </w:p>
    <w:p w14:paraId="3422305F" w14:textId="568CB05D" w:rsidR="008808A5" w:rsidRPr="009A613C" w:rsidRDefault="008808A5" w:rsidP="008808A5">
      <w:pPr>
        <w:pStyle w:val="ListParagraph"/>
        <w:jc w:val="center"/>
      </w:pPr>
      <w:r w:rsidRPr="009A613C">
        <w:rPr>
          <w:i/>
          <w:iCs/>
          <w:sz w:val="20"/>
          <w:szCs w:val="20"/>
        </w:rPr>
        <w:t xml:space="preserve">Tabela </w:t>
      </w:r>
      <w:r w:rsidR="00714363">
        <w:rPr>
          <w:i/>
          <w:iCs/>
          <w:sz w:val="20"/>
          <w:szCs w:val="20"/>
        </w:rPr>
        <w:t>5</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1.3.</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8808A5" w:rsidRPr="009A613C" w14:paraId="21E8E65C" w14:textId="77777777" w:rsidTr="00BE13A3">
        <w:trPr>
          <w:trHeight w:val="575"/>
        </w:trPr>
        <w:tc>
          <w:tcPr>
            <w:tcW w:w="1250" w:type="pct"/>
            <w:tcBorders>
              <w:top w:val="double" w:sz="4" w:space="0" w:color="auto"/>
            </w:tcBorders>
            <w:shd w:val="clear" w:color="auto" w:fill="FBE4D5" w:themeFill="accent2" w:themeFillTint="33"/>
          </w:tcPr>
          <w:p w14:paraId="57CF2B8F" w14:textId="77777777" w:rsidR="008808A5" w:rsidRPr="009A613C" w:rsidRDefault="008808A5" w:rsidP="00BE13A3">
            <w:pPr>
              <w:rPr>
                <w:rFonts w:cstheme="minorHAnsi"/>
              </w:rPr>
            </w:pPr>
            <w:r w:rsidRPr="009A613C">
              <w:rPr>
                <w:rFonts w:cstheme="minorHAnsi"/>
              </w:rPr>
              <w:t xml:space="preserve">Operativni </w:t>
            </w:r>
          </w:p>
          <w:p w14:paraId="41C6FE8A" w14:textId="77777777" w:rsidR="008808A5" w:rsidRPr="009A613C" w:rsidRDefault="008808A5"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0A1FDC10" w14:textId="77777777" w:rsidR="008808A5" w:rsidRPr="009A613C" w:rsidRDefault="008808A5"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16452256" w14:textId="77777777" w:rsidR="008808A5" w:rsidRDefault="008808A5" w:rsidP="00BE13A3">
            <w:pPr>
              <w:rPr>
                <w:rFonts w:cstheme="minorHAnsi"/>
              </w:rPr>
            </w:pPr>
            <w:r w:rsidRPr="009A613C">
              <w:rPr>
                <w:rFonts w:cstheme="minorHAnsi"/>
              </w:rPr>
              <w:t>Početna vrijed</w:t>
            </w:r>
            <w:r w:rsidR="00426BE3" w:rsidRPr="009A613C">
              <w:rPr>
                <w:rFonts w:cstheme="minorHAnsi"/>
              </w:rPr>
              <w:t>n</w:t>
            </w:r>
            <w:r w:rsidRPr="009A613C">
              <w:rPr>
                <w:rFonts w:cstheme="minorHAnsi"/>
              </w:rPr>
              <w:t>ost</w:t>
            </w:r>
          </w:p>
          <w:p w14:paraId="034A02D2" w14:textId="31295AB8" w:rsidR="007124FA" w:rsidRPr="009A613C" w:rsidRDefault="007124FA"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495ADDD2" w14:textId="77777777" w:rsidR="008808A5" w:rsidRPr="009A613C" w:rsidRDefault="008808A5"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3DFCAF96" w14:textId="77777777" w:rsidR="008808A5" w:rsidRPr="009A613C" w:rsidRDefault="008808A5" w:rsidP="00BE13A3">
            <w:pPr>
              <w:rPr>
                <w:rFonts w:cstheme="minorHAnsi"/>
              </w:rPr>
            </w:pPr>
            <w:r w:rsidRPr="009A613C">
              <w:rPr>
                <w:rFonts w:cstheme="minorHAnsi"/>
              </w:rPr>
              <w:t>Ciljana vrijednost 2027.</w:t>
            </w:r>
          </w:p>
        </w:tc>
      </w:tr>
      <w:tr w:rsidR="00572B08" w:rsidRPr="009A613C" w14:paraId="55AF6E4F" w14:textId="77777777" w:rsidTr="00D16499">
        <w:trPr>
          <w:trHeight w:val="777"/>
        </w:trPr>
        <w:tc>
          <w:tcPr>
            <w:tcW w:w="1250" w:type="pct"/>
            <w:vMerge w:val="restart"/>
            <w:tcBorders>
              <w:top w:val="double" w:sz="4" w:space="0" w:color="auto"/>
            </w:tcBorders>
            <w:shd w:val="clear" w:color="auto" w:fill="E2EFD9" w:themeFill="accent6" w:themeFillTint="33"/>
          </w:tcPr>
          <w:p w14:paraId="7EDA1B3A" w14:textId="3BD94F99" w:rsidR="00572B08" w:rsidRPr="009A613C" w:rsidRDefault="00572B08" w:rsidP="00725FF1">
            <w:pPr>
              <w:rPr>
                <w:rFonts w:cstheme="minorHAnsi"/>
              </w:rPr>
            </w:pPr>
            <w:r w:rsidRPr="009A613C">
              <w:rPr>
                <w:rFonts w:cstheme="minorHAnsi"/>
              </w:rPr>
              <w:t>1.3.</w:t>
            </w:r>
          </w:p>
          <w:p w14:paraId="10538F09" w14:textId="08E0A25B" w:rsidR="00572B08" w:rsidRPr="009A613C" w:rsidRDefault="00572B08" w:rsidP="00BE13A3">
            <w:pPr>
              <w:rPr>
                <w:rFonts w:cstheme="minorHAnsi"/>
              </w:rPr>
            </w:pPr>
            <w:r w:rsidRPr="009A613C">
              <w:rPr>
                <w:rFonts w:cstheme="minorHAnsi"/>
              </w:rPr>
              <w:t xml:space="preserve">Jačanje kapaciteta </w:t>
            </w:r>
            <w:r>
              <w:rPr>
                <w:rFonts w:cstheme="minorHAnsi"/>
              </w:rPr>
              <w:t>Sudskog i Tužilačkog</w:t>
            </w:r>
            <w:r w:rsidRPr="009A613C">
              <w:rPr>
                <w:rFonts w:cstheme="minorHAnsi"/>
              </w:rPr>
              <w:t xml:space="preserve"> savjeta</w:t>
            </w:r>
          </w:p>
        </w:tc>
        <w:tc>
          <w:tcPr>
            <w:tcW w:w="1875" w:type="pct"/>
            <w:tcBorders>
              <w:top w:val="double" w:sz="4" w:space="0" w:color="auto"/>
            </w:tcBorders>
            <w:shd w:val="clear" w:color="auto" w:fill="FFFFFF" w:themeFill="background1"/>
          </w:tcPr>
          <w:p w14:paraId="70A3159F" w14:textId="15FAD145" w:rsidR="00572B08" w:rsidRPr="009A613C" w:rsidRDefault="00572B08" w:rsidP="00070B0C">
            <w:pPr>
              <w:shd w:val="clear" w:color="auto" w:fill="FFFFFF" w:themeFill="background1"/>
              <w:spacing w:after="240"/>
              <w:jc w:val="both"/>
              <w:rPr>
                <w:rFonts w:cstheme="minorHAnsi"/>
              </w:rPr>
            </w:pPr>
            <w:r w:rsidRPr="00C65614">
              <w:rPr>
                <w:rFonts w:cstheme="minorHAnsi"/>
              </w:rPr>
              <w:t>Izvršenje budžeta u sudstvu prati se putem posebnog softvera.</w:t>
            </w:r>
          </w:p>
        </w:tc>
        <w:tc>
          <w:tcPr>
            <w:tcW w:w="625" w:type="pct"/>
            <w:tcBorders>
              <w:top w:val="double" w:sz="4" w:space="0" w:color="auto"/>
            </w:tcBorders>
            <w:shd w:val="clear" w:color="auto" w:fill="FFFFFF" w:themeFill="background1"/>
          </w:tcPr>
          <w:p w14:paraId="3B816E4C" w14:textId="77777777" w:rsidR="00572B08" w:rsidRPr="009A613C" w:rsidRDefault="00572B08" w:rsidP="00BE13A3">
            <w:pPr>
              <w:shd w:val="clear" w:color="auto" w:fill="FFFFFF" w:themeFill="background1"/>
              <w:jc w:val="center"/>
              <w:rPr>
                <w:rFonts w:cstheme="minorHAnsi"/>
              </w:rPr>
            </w:pPr>
            <w:r w:rsidRPr="009A613C">
              <w:rPr>
                <w:rFonts w:cstheme="minorHAnsi"/>
              </w:rPr>
              <w:t>NE</w:t>
            </w:r>
          </w:p>
        </w:tc>
        <w:tc>
          <w:tcPr>
            <w:tcW w:w="625" w:type="pct"/>
            <w:tcBorders>
              <w:top w:val="double" w:sz="4" w:space="0" w:color="auto"/>
            </w:tcBorders>
            <w:shd w:val="clear" w:color="auto" w:fill="FFFFFF" w:themeFill="background1"/>
          </w:tcPr>
          <w:p w14:paraId="6F71250F" w14:textId="77777777" w:rsidR="00572B08" w:rsidRPr="009A613C" w:rsidRDefault="00572B08" w:rsidP="000B1ABE">
            <w:pPr>
              <w:shd w:val="clear" w:color="auto" w:fill="FFFFFF" w:themeFill="background1"/>
              <w:jc w:val="center"/>
              <w:rPr>
                <w:rFonts w:cstheme="minorHAnsi"/>
              </w:rPr>
            </w:pPr>
            <w:r w:rsidRPr="009A613C">
              <w:rPr>
                <w:rFonts w:cstheme="minorHAnsi"/>
              </w:rPr>
              <w:t>DA</w:t>
            </w:r>
          </w:p>
        </w:tc>
        <w:tc>
          <w:tcPr>
            <w:tcW w:w="625" w:type="pct"/>
            <w:tcBorders>
              <w:top w:val="double" w:sz="4" w:space="0" w:color="auto"/>
              <w:right w:val="double" w:sz="4" w:space="0" w:color="auto"/>
            </w:tcBorders>
            <w:shd w:val="clear" w:color="auto" w:fill="FFFFFF" w:themeFill="background1"/>
          </w:tcPr>
          <w:p w14:paraId="62A7AD47" w14:textId="77777777" w:rsidR="00572B08" w:rsidRPr="009A613C" w:rsidRDefault="00572B08" w:rsidP="00BE13A3">
            <w:pPr>
              <w:shd w:val="clear" w:color="auto" w:fill="FFFFFF" w:themeFill="background1"/>
              <w:jc w:val="center"/>
              <w:rPr>
                <w:rFonts w:cstheme="minorHAnsi"/>
              </w:rPr>
            </w:pPr>
            <w:r w:rsidRPr="009A613C">
              <w:rPr>
                <w:rFonts w:cstheme="minorHAnsi"/>
              </w:rPr>
              <w:t>DA</w:t>
            </w:r>
          </w:p>
        </w:tc>
      </w:tr>
      <w:tr w:rsidR="008808A5" w:rsidRPr="009A613C" w14:paraId="5856706F" w14:textId="77777777" w:rsidTr="00BE13A3">
        <w:trPr>
          <w:trHeight w:val="254"/>
        </w:trPr>
        <w:tc>
          <w:tcPr>
            <w:tcW w:w="1250" w:type="pct"/>
            <w:vMerge/>
            <w:shd w:val="clear" w:color="auto" w:fill="E2EFD9" w:themeFill="accent6" w:themeFillTint="33"/>
          </w:tcPr>
          <w:p w14:paraId="6767BA65" w14:textId="77777777" w:rsidR="008808A5" w:rsidRPr="009A613C" w:rsidRDefault="008808A5"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1166986D" w14:textId="5BE191F8" w:rsidR="008808A5" w:rsidRPr="009A613C" w:rsidRDefault="008808A5" w:rsidP="00070B0C">
            <w:pPr>
              <w:shd w:val="clear" w:color="auto" w:fill="FFFFFF" w:themeFill="background1"/>
              <w:spacing w:after="240"/>
              <w:jc w:val="both"/>
              <w:rPr>
                <w:rFonts w:cstheme="minorHAnsi"/>
              </w:rPr>
            </w:pPr>
            <w:r w:rsidRPr="009A613C">
              <w:rPr>
                <w:rFonts w:cstheme="minorHAnsi"/>
              </w:rPr>
              <w:t>% popunjenosti sistematizovanih radnih mjesta u Sekretarijatu S</w:t>
            </w:r>
            <w:r w:rsidR="00B119B4">
              <w:rPr>
                <w:rFonts w:cstheme="minorHAnsi"/>
              </w:rPr>
              <w:t>udskog savjeta</w:t>
            </w:r>
          </w:p>
        </w:tc>
        <w:tc>
          <w:tcPr>
            <w:tcW w:w="625" w:type="pct"/>
            <w:tcBorders>
              <w:top w:val="double" w:sz="4" w:space="0" w:color="auto"/>
              <w:bottom w:val="double" w:sz="4" w:space="0" w:color="auto"/>
            </w:tcBorders>
            <w:shd w:val="clear" w:color="auto" w:fill="FFFFFF" w:themeFill="background1"/>
          </w:tcPr>
          <w:p w14:paraId="27F23802" w14:textId="6ED9C367" w:rsidR="008808A5" w:rsidRPr="009A613C" w:rsidRDefault="00D47EA6" w:rsidP="00BE13A3">
            <w:pPr>
              <w:shd w:val="clear" w:color="auto" w:fill="FFFFFF" w:themeFill="background1"/>
              <w:jc w:val="center"/>
              <w:rPr>
                <w:rFonts w:cstheme="minorHAnsi"/>
              </w:rPr>
            </w:pPr>
            <w:r>
              <w:rPr>
                <w:rFonts w:cstheme="minorHAnsi"/>
              </w:rPr>
              <w:t>83,3%</w:t>
            </w:r>
          </w:p>
        </w:tc>
        <w:tc>
          <w:tcPr>
            <w:tcW w:w="625" w:type="pct"/>
            <w:tcBorders>
              <w:top w:val="double" w:sz="4" w:space="0" w:color="auto"/>
              <w:bottom w:val="double" w:sz="4" w:space="0" w:color="auto"/>
            </w:tcBorders>
            <w:shd w:val="clear" w:color="auto" w:fill="FFFFFF" w:themeFill="background1"/>
          </w:tcPr>
          <w:p w14:paraId="125B773A" w14:textId="3391C15F" w:rsidR="008808A5" w:rsidRPr="009A613C" w:rsidRDefault="00D47EA6" w:rsidP="00F5656C">
            <w:pPr>
              <w:shd w:val="clear" w:color="auto" w:fill="FFFFFF" w:themeFill="background1"/>
              <w:jc w:val="center"/>
              <w:rPr>
                <w:rFonts w:cstheme="minorHAnsi"/>
              </w:rPr>
            </w:pPr>
            <w:r>
              <w:rPr>
                <w:rFonts w:cstheme="minorHAnsi"/>
              </w:rPr>
              <w:t>90%</w:t>
            </w:r>
          </w:p>
        </w:tc>
        <w:tc>
          <w:tcPr>
            <w:tcW w:w="625" w:type="pct"/>
            <w:tcBorders>
              <w:top w:val="double" w:sz="4" w:space="0" w:color="auto"/>
              <w:bottom w:val="double" w:sz="4" w:space="0" w:color="auto"/>
              <w:right w:val="double" w:sz="4" w:space="0" w:color="auto"/>
            </w:tcBorders>
            <w:shd w:val="clear" w:color="auto" w:fill="FFFFFF" w:themeFill="background1"/>
          </w:tcPr>
          <w:p w14:paraId="59F99F05" w14:textId="70EC2717" w:rsidR="008808A5" w:rsidRPr="00F5656C" w:rsidRDefault="00D47EA6" w:rsidP="00BE13A3">
            <w:pPr>
              <w:shd w:val="clear" w:color="auto" w:fill="FFFFFF" w:themeFill="background1"/>
              <w:jc w:val="center"/>
              <w:rPr>
                <w:rFonts w:cstheme="minorHAnsi"/>
                <w:lang w:val="en-GB"/>
              </w:rPr>
            </w:pPr>
            <w:r>
              <w:rPr>
                <w:rFonts w:cstheme="minorHAnsi"/>
              </w:rPr>
              <w:t>100%</w:t>
            </w:r>
          </w:p>
        </w:tc>
      </w:tr>
      <w:tr w:rsidR="008808A5" w:rsidRPr="009A613C" w14:paraId="6838BD94" w14:textId="77777777" w:rsidTr="00BE13A3">
        <w:trPr>
          <w:trHeight w:val="254"/>
        </w:trPr>
        <w:tc>
          <w:tcPr>
            <w:tcW w:w="1250" w:type="pct"/>
            <w:vMerge/>
            <w:tcBorders>
              <w:bottom w:val="double" w:sz="4" w:space="0" w:color="auto"/>
            </w:tcBorders>
            <w:shd w:val="clear" w:color="auto" w:fill="E2EFD9" w:themeFill="accent6" w:themeFillTint="33"/>
          </w:tcPr>
          <w:p w14:paraId="07244891" w14:textId="77777777" w:rsidR="008808A5" w:rsidRPr="009A613C" w:rsidRDefault="008808A5"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160087EB" w14:textId="693A9A49" w:rsidR="008808A5" w:rsidRPr="009A613C" w:rsidRDefault="008808A5" w:rsidP="00070B0C">
            <w:pPr>
              <w:shd w:val="clear" w:color="auto" w:fill="FFFFFF" w:themeFill="background1"/>
              <w:spacing w:after="240"/>
              <w:jc w:val="both"/>
              <w:rPr>
                <w:rFonts w:cstheme="minorHAnsi"/>
              </w:rPr>
            </w:pPr>
            <w:r w:rsidRPr="009A613C">
              <w:rPr>
                <w:rFonts w:cstheme="minorHAnsi"/>
              </w:rPr>
              <w:t>% popunjenosti sistematizovanih radnih mjesta u Sekretarijatu T</w:t>
            </w:r>
            <w:r w:rsidR="00B119B4">
              <w:rPr>
                <w:rFonts w:cstheme="minorHAnsi"/>
              </w:rPr>
              <w:t xml:space="preserve">užilačkog </w:t>
            </w:r>
            <w:r w:rsidR="00EB01D2">
              <w:rPr>
                <w:rFonts w:cstheme="minorHAnsi"/>
              </w:rPr>
              <w:t>s</w:t>
            </w:r>
            <w:r w:rsidR="00B119B4">
              <w:rPr>
                <w:rFonts w:cstheme="minorHAnsi"/>
              </w:rPr>
              <w:t>avjeta</w:t>
            </w:r>
          </w:p>
        </w:tc>
        <w:tc>
          <w:tcPr>
            <w:tcW w:w="625" w:type="pct"/>
            <w:tcBorders>
              <w:top w:val="double" w:sz="4" w:space="0" w:color="auto"/>
              <w:bottom w:val="double" w:sz="4" w:space="0" w:color="auto"/>
            </w:tcBorders>
            <w:shd w:val="clear" w:color="auto" w:fill="FFFFFF" w:themeFill="background1"/>
          </w:tcPr>
          <w:p w14:paraId="2D6B006A" w14:textId="65133D5A" w:rsidR="008808A5" w:rsidRPr="009A613C" w:rsidRDefault="00330EB0" w:rsidP="00BE13A3">
            <w:pPr>
              <w:shd w:val="clear" w:color="auto" w:fill="FFFFFF" w:themeFill="background1"/>
              <w:jc w:val="center"/>
              <w:rPr>
                <w:rFonts w:cstheme="minorHAnsi"/>
              </w:rPr>
            </w:pPr>
            <w:r>
              <w:rPr>
                <w:rFonts w:cstheme="minorHAnsi"/>
              </w:rPr>
              <w:t>7</w:t>
            </w:r>
            <w:r w:rsidR="001213EE">
              <w:rPr>
                <w:rFonts w:cstheme="minorHAnsi"/>
              </w:rPr>
              <w:t>0</w:t>
            </w:r>
            <w:r>
              <w:rPr>
                <w:rFonts w:cstheme="minorHAnsi"/>
              </w:rPr>
              <w:t>%</w:t>
            </w:r>
          </w:p>
        </w:tc>
        <w:tc>
          <w:tcPr>
            <w:tcW w:w="625" w:type="pct"/>
            <w:tcBorders>
              <w:top w:val="double" w:sz="4" w:space="0" w:color="auto"/>
              <w:bottom w:val="double" w:sz="4" w:space="0" w:color="auto"/>
            </w:tcBorders>
            <w:shd w:val="clear" w:color="auto" w:fill="FFFFFF" w:themeFill="background1"/>
          </w:tcPr>
          <w:p w14:paraId="7CFBA544" w14:textId="568F1A5F" w:rsidR="008808A5" w:rsidRPr="009A613C" w:rsidRDefault="001213EE" w:rsidP="00F5656C">
            <w:pPr>
              <w:shd w:val="clear" w:color="auto" w:fill="FFFFFF" w:themeFill="background1"/>
              <w:jc w:val="center"/>
              <w:rPr>
                <w:rFonts w:cstheme="minorHAnsi"/>
              </w:rPr>
            </w:pPr>
            <w:r>
              <w:rPr>
                <w:rFonts w:cstheme="minorHAnsi"/>
              </w:rPr>
              <w:t>8</w:t>
            </w:r>
            <w:r w:rsidR="00330EB0">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5D001BD6" w14:textId="1637A869" w:rsidR="008808A5" w:rsidRPr="009A613C" w:rsidRDefault="001213EE" w:rsidP="00BE13A3">
            <w:pPr>
              <w:shd w:val="clear" w:color="auto" w:fill="FFFFFF" w:themeFill="background1"/>
              <w:jc w:val="center"/>
              <w:rPr>
                <w:rFonts w:cstheme="minorHAnsi"/>
              </w:rPr>
            </w:pPr>
            <w:r>
              <w:rPr>
                <w:rFonts w:cstheme="minorHAnsi"/>
              </w:rPr>
              <w:t>9</w:t>
            </w:r>
            <w:r w:rsidR="00330EB0">
              <w:rPr>
                <w:rFonts w:cstheme="minorHAnsi"/>
              </w:rPr>
              <w:t>0%</w:t>
            </w:r>
          </w:p>
        </w:tc>
      </w:tr>
    </w:tbl>
    <w:p w14:paraId="72CB1B67" w14:textId="77777777" w:rsidR="008808A5" w:rsidRPr="009A613C" w:rsidRDefault="008808A5" w:rsidP="008808A5"/>
    <w:p w14:paraId="53FA41CD" w14:textId="0FFF89F5" w:rsidR="004F6A83" w:rsidRPr="009A613C" w:rsidRDefault="0025255B">
      <w:pPr>
        <w:pStyle w:val="Heading3"/>
        <w:numPr>
          <w:ilvl w:val="1"/>
          <w:numId w:val="5"/>
        </w:numPr>
        <w:jc w:val="center"/>
      </w:pPr>
      <w:bookmarkStart w:id="30" w:name="_Toc156937958"/>
      <w:r w:rsidRPr="009A613C">
        <w:t>Unaprjeđ</w:t>
      </w:r>
      <w:r w:rsidR="005D6E49" w:rsidRPr="009A613C">
        <w:t>enje</w:t>
      </w:r>
      <w:r w:rsidR="004F6A83" w:rsidRPr="009A613C">
        <w:t xml:space="preserve"> finansijske nezavisnosti pravosuđa</w:t>
      </w:r>
      <w:bookmarkEnd w:id="30"/>
    </w:p>
    <w:p w14:paraId="58F5FC7C" w14:textId="77777777" w:rsidR="008808A5" w:rsidRPr="009A613C" w:rsidRDefault="008808A5" w:rsidP="008808A5"/>
    <w:p w14:paraId="5C163D50" w14:textId="7E06F5D7" w:rsidR="00F41F59" w:rsidRDefault="00F41F59" w:rsidP="00901E3C">
      <w:pPr>
        <w:jc w:val="both"/>
      </w:pPr>
      <w:r>
        <w:t xml:space="preserve">Finansijska nezavisnost predstavlja jednu od vitalnih komponenti nezavisnosti pravosuđa. </w:t>
      </w:r>
      <w:r w:rsidR="00802A44">
        <w:t xml:space="preserve">I </w:t>
      </w:r>
      <w:r>
        <w:t>pored ranije pomenutog povećanja budžeta pravosuđa u prethodni</w:t>
      </w:r>
      <w:r w:rsidR="00802A44">
        <w:t>m</w:t>
      </w:r>
      <w:r>
        <w:t xml:space="preserve"> godinama, ovaj trend nije bio dovoljan za ispunjenje targeta definisanih prethodnom strategijom. </w:t>
      </w:r>
    </w:p>
    <w:p w14:paraId="01C40466" w14:textId="7CBF702E" w:rsidR="00F34BBD" w:rsidRPr="00883258" w:rsidRDefault="00F41F59" w:rsidP="00883258">
      <w:pPr>
        <w:jc w:val="both"/>
      </w:pPr>
      <w:r>
        <w:t>Imajući ovo u vidu, k</w:t>
      </w:r>
      <w:r w:rsidR="00901E3C" w:rsidRPr="009A613C">
        <w:t>ada je riječ o budžetskim kapacitetima, neophodno je nastaviti započeti trend uvećanja pravosudnog budžeta, uz potrebu da, u toku sprovođenja Strategije, bude dostignut cilj od 1%</w:t>
      </w:r>
      <w:r>
        <w:t xml:space="preserve"> BDP-a.</w:t>
      </w:r>
      <w:r w:rsidR="00E70A8A">
        <w:t xml:space="preserve"> Iako iznad </w:t>
      </w:r>
      <w:r w:rsidR="000B1ABE">
        <w:t>prosječnih</w:t>
      </w:r>
      <w:r w:rsidR="00E70A8A">
        <w:t xml:space="preserve"> vr</w:t>
      </w:r>
      <w:r w:rsidR="000B1ABE">
        <w:t>ij</w:t>
      </w:r>
      <w:r w:rsidR="00E70A8A">
        <w:t>ednosti u Evropi, ovakav target je uslovljen potrebom za masivnim intervencijama u pravosudnoj infrastrukturi i informacionom sistemu.</w:t>
      </w:r>
    </w:p>
    <w:p w14:paraId="5214463B" w14:textId="7ED8F845" w:rsidR="008808A5" w:rsidRPr="009A613C" w:rsidRDefault="008808A5" w:rsidP="008F3D6A">
      <w:pPr>
        <w:jc w:val="center"/>
      </w:pPr>
      <w:r w:rsidRPr="009A613C">
        <w:rPr>
          <w:i/>
          <w:iCs/>
          <w:sz w:val="20"/>
          <w:szCs w:val="20"/>
        </w:rPr>
        <w:t xml:space="preserve">Tabela </w:t>
      </w:r>
      <w:r w:rsidR="00714363">
        <w:rPr>
          <w:i/>
          <w:iCs/>
          <w:sz w:val="20"/>
          <w:szCs w:val="20"/>
        </w:rPr>
        <w:t>6</w:t>
      </w:r>
      <w:r w:rsidRPr="009A613C">
        <w:rPr>
          <w:i/>
          <w:iCs/>
          <w:sz w:val="20"/>
          <w:szCs w:val="20"/>
        </w:rPr>
        <w:t>:</w:t>
      </w:r>
      <w:r w:rsidR="00714363">
        <w:rPr>
          <w:i/>
          <w:iCs/>
          <w:sz w:val="20"/>
          <w:szCs w:val="20"/>
        </w:rPr>
        <w:t xml:space="preserve"> Indikatori realizacije Operativnog cilja 1.4</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8808A5" w:rsidRPr="009A613C" w14:paraId="11EE2687" w14:textId="77777777" w:rsidTr="00BE13A3">
        <w:trPr>
          <w:trHeight w:val="575"/>
        </w:trPr>
        <w:tc>
          <w:tcPr>
            <w:tcW w:w="1250" w:type="pct"/>
            <w:tcBorders>
              <w:top w:val="double" w:sz="4" w:space="0" w:color="auto"/>
            </w:tcBorders>
            <w:shd w:val="clear" w:color="auto" w:fill="FBE4D5" w:themeFill="accent2" w:themeFillTint="33"/>
          </w:tcPr>
          <w:p w14:paraId="7E84B4CE" w14:textId="77777777" w:rsidR="008808A5" w:rsidRPr="009A613C" w:rsidRDefault="008808A5" w:rsidP="00BE13A3">
            <w:pPr>
              <w:rPr>
                <w:rFonts w:cstheme="minorHAnsi"/>
              </w:rPr>
            </w:pPr>
            <w:r w:rsidRPr="009A613C">
              <w:rPr>
                <w:rFonts w:cstheme="minorHAnsi"/>
              </w:rPr>
              <w:t xml:space="preserve">Operativni </w:t>
            </w:r>
          </w:p>
          <w:p w14:paraId="44193301" w14:textId="77777777" w:rsidR="008808A5" w:rsidRPr="009A613C" w:rsidRDefault="008808A5"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15C6840F" w14:textId="77777777" w:rsidR="008808A5" w:rsidRPr="009A613C" w:rsidRDefault="008808A5"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5733FCF4" w14:textId="77777777" w:rsidR="008808A5" w:rsidRDefault="008808A5" w:rsidP="00BE13A3">
            <w:pPr>
              <w:rPr>
                <w:rFonts w:cstheme="minorHAnsi"/>
              </w:rPr>
            </w:pPr>
            <w:r w:rsidRPr="009A613C">
              <w:rPr>
                <w:rFonts w:cstheme="minorHAnsi"/>
              </w:rPr>
              <w:t>Početna vrijed</w:t>
            </w:r>
            <w:r w:rsidR="00426BE3" w:rsidRPr="009A613C">
              <w:rPr>
                <w:rFonts w:cstheme="minorHAnsi"/>
              </w:rPr>
              <w:t>n</w:t>
            </w:r>
            <w:r w:rsidRPr="009A613C">
              <w:rPr>
                <w:rFonts w:cstheme="minorHAnsi"/>
              </w:rPr>
              <w:t>ost</w:t>
            </w:r>
          </w:p>
          <w:p w14:paraId="7BC4ECFE" w14:textId="3E57E16A" w:rsidR="007124FA" w:rsidRPr="009A613C" w:rsidRDefault="007124FA"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4CC4B94B" w14:textId="77777777" w:rsidR="008808A5" w:rsidRPr="009A613C" w:rsidRDefault="008808A5"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3205572D" w14:textId="77777777" w:rsidR="008808A5" w:rsidRPr="009A613C" w:rsidRDefault="008808A5" w:rsidP="00BE13A3">
            <w:pPr>
              <w:rPr>
                <w:rFonts w:cstheme="minorHAnsi"/>
              </w:rPr>
            </w:pPr>
            <w:r w:rsidRPr="009A613C">
              <w:rPr>
                <w:rFonts w:cstheme="minorHAnsi"/>
              </w:rPr>
              <w:t>Ciljana vrijednost 2027.</w:t>
            </w:r>
          </w:p>
        </w:tc>
      </w:tr>
      <w:tr w:rsidR="008808A5" w:rsidRPr="009A613C" w14:paraId="0EED0858" w14:textId="77777777" w:rsidTr="00BE13A3">
        <w:trPr>
          <w:trHeight w:val="254"/>
        </w:trPr>
        <w:tc>
          <w:tcPr>
            <w:tcW w:w="1250" w:type="pct"/>
            <w:tcBorders>
              <w:top w:val="double" w:sz="4" w:space="0" w:color="auto"/>
              <w:bottom w:val="double" w:sz="4" w:space="0" w:color="auto"/>
            </w:tcBorders>
            <w:shd w:val="clear" w:color="auto" w:fill="E2EFD9" w:themeFill="accent6" w:themeFillTint="33"/>
          </w:tcPr>
          <w:p w14:paraId="7848BFF6" w14:textId="186F035B" w:rsidR="008808A5" w:rsidRPr="009A613C" w:rsidRDefault="004A079E" w:rsidP="004A079E">
            <w:pPr>
              <w:rPr>
                <w:rFonts w:cstheme="minorHAnsi"/>
              </w:rPr>
            </w:pPr>
            <w:r w:rsidRPr="009A613C">
              <w:rPr>
                <w:rFonts w:cstheme="minorHAnsi"/>
              </w:rPr>
              <w:t>1.4.</w:t>
            </w:r>
            <w:r w:rsidR="008808A5" w:rsidRPr="009A613C">
              <w:rPr>
                <w:rFonts w:cstheme="minorHAnsi"/>
              </w:rPr>
              <w:t xml:space="preserve"> </w:t>
            </w:r>
          </w:p>
          <w:p w14:paraId="19F9460B" w14:textId="77777777" w:rsidR="008808A5" w:rsidRPr="009A613C" w:rsidRDefault="008808A5" w:rsidP="000D1C6B">
            <w:pPr>
              <w:jc w:val="both"/>
              <w:rPr>
                <w:rFonts w:cstheme="minorHAnsi"/>
              </w:rPr>
            </w:pPr>
            <w:r w:rsidRPr="009A613C">
              <w:rPr>
                <w:rFonts w:cstheme="minorHAnsi"/>
              </w:rPr>
              <w:t>Unaprjeđenje finansijske nezavisnosti pravosuđa</w:t>
            </w:r>
          </w:p>
        </w:tc>
        <w:tc>
          <w:tcPr>
            <w:tcW w:w="1875" w:type="pct"/>
            <w:tcBorders>
              <w:top w:val="double" w:sz="4" w:space="0" w:color="auto"/>
              <w:bottom w:val="double" w:sz="4" w:space="0" w:color="auto"/>
            </w:tcBorders>
            <w:shd w:val="clear" w:color="auto" w:fill="FFFFFF" w:themeFill="background1"/>
          </w:tcPr>
          <w:p w14:paraId="0B00C946" w14:textId="42C59F84" w:rsidR="008808A5" w:rsidRPr="009A613C" w:rsidRDefault="00EB01D2" w:rsidP="00802A44">
            <w:pPr>
              <w:shd w:val="clear" w:color="auto" w:fill="FFFFFF" w:themeFill="background1"/>
              <w:spacing w:after="240"/>
              <w:jc w:val="both"/>
              <w:rPr>
                <w:rFonts w:cstheme="minorHAnsi"/>
              </w:rPr>
            </w:pPr>
            <w:r w:rsidRPr="00C65614">
              <w:rPr>
                <w:rFonts w:cstheme="minorHAnsi"/>
              </w:rPr>
              <w:t>Procenat budžeta koji se izdvaja za pravosuđe</w:t>
            </w:r>
          </w:p>
        </w:tc>
        <w:tc>
          <w:tcPr>
            <w:tcW w:w="625" w:type="pct"/>
            <w:tcBorders>
              <w:top w:val="double" w:sz="4" w:space="0" w:color="auto"/>
              <w:bottom w:val="double" w:sz="4" w:space="0" w:color="auto"/>
            </w:tcBorders>
            <w:shd w:val="clear" w:color="auto" w:fill="FFFFFF" w:themeFill="background1"/>
          </w:tcPr>
          <w:p w14:paraId="38363B87" w14:textId="0A789C59" w:rsidR="008808A5" w:rsidRPr="009A613C" w:rsidRDefault="008808A5" w:rsidP="00BE13A3">
            <w:pPr>
              <w:shd w:val="clear" w:color="auto" w:fill="FFFFFF" w:themeFill="background1"/>
              <w:jc w:val="center"/>
              <w:rPr>
                <w:rFonts w:cstheme="minorHAnsi"/>
              </w:rPr>
            </w:pPr>
            <w:r w:rsidRPr="009A613C">
              <w:rPr>
                <w:rFonts w:cstheme="minorHAnsi"/>
              </w:rPr>
              <w:t>0,</w:t>
            </w:r>
            <w:r w:rsidR="00D47EA6">
              <w:rPr>
                <w:rFonts w:cstheme="minorHAnsi"/>
              </w:rPr>
              <w:t>8</w:t>
            </w:r>
            <w:r w:rsidRPr="009A613C">
              <w:rPr>
                <w:rFonts w:cstheme="minorHAnsi"/>
              </w:rPr>
              <w:t>2%</w:t>
            </w:r>
          </w:p>
        </w:tc>
        <w:tc>
          <w:tcPr>
            <w:tcW w:w="625" w:type="pct"/>
            <w:tcBorders>
              <w:top w:val="double" w:sz="4" w:space="0" w:color="auto"/>
              <w:bottom w:val="double" w:sz="4" w:space="0" w:color="auto"/>
            </w:tcBorders>
            <w:shd w:val="clear" w:color="auto" w:fill="FFFFFF" w:themeFill="background1"/>
          </w:tcPr>
          <w:p w14:paraId="13966D42" w14:textId="7A19B4A1" w:rsidR="008808A5" w:rsidRPr="009A613C" w:rsidRDefault="008808A5" w:rsidP="00BE13A3">
            <w:pPr>
              <w:shd w:val="clear" w:color="auto" w:fill="FFFFFF" w:themeFill="background1"/>
              <w:jc w:val="center"/>
              <w:rPr>
                <w:rFonts w:cstheme="minorHAnsi"/>
              </w:rPr>
            </w:pPr>
            <w:r w:rsidRPr="009A613C">
              <w:rPr>
                <w:rFonts w:cstheme="minorHAnsi"/>
              </w:rPr>
              <w:t>0,</w:t>
            </w:r>
            <w:r w:rsidR="00D47EA6">
              <w:rPr>
                <w:rFonts w:cstheme="minorHAnsi"/>
              </w:rPr>
              <w:t>90</w:t>
            </w:r>
            <w:r w:rsidRPr="009A613C">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0CEA2DD5" w14:textId="77777777" w:rsidR="008808A5" w:rsidRPr="009A613C" w:rsidRDefault="008808A5" w:rsidP="00BE13A3">
            <w:pPr>
              <w:shd w:val="clear" w:color="auto" w:fill="FFFFFF" w:themeFill="background1"/>
              <w:jc w:val="center"/>
              <w:rPr>
                <w:rFonts w:cstheme="minorHAnsi"/>
              </w:rPr>
            </w:pPr>
            <w:r w:rsidRPr="009A613C">
              <w:rPr>
                <w:rFonts w:cstheme="minorHAnsi"/>
              </w:rPr>
              <w:t>1%</w:t>
            </w:r>
          </w:p>
        </w:tc>
      </w:tr>
    </w:tbl>
    <w:p w14:paraId="51302B90" w14:textId="77777777" w:rsidR="008808A5" w:rsidRPr="009A613C" w:rsidRDefault="008808A5" w:rsidP="008808A5"/>
    <w:p w14:paraId="42BB2BDD" w14:textId="189F1E2F" w:rsidR="004F6A83" w:rsidRDefault="004F6A83">
      <w:pPr>
        <w:pStyle w:val="Heading3"/>
        <w:numPr>
          <w:ilvl w:val="1"/>
          <w:numId w:val="5"/>
        </w:numPr>
        <w:spacing w:after="240"/>
        <w:jc w:val="both"/>
        <w:rPr>
          <w:sz w:val="23"/>
          <w:szCs w:val="23"/>
        </w:rPr>
      </w:pPr>
      <w:bookmarkStart w:id="31" w:name="_Toc156937959"/>
      <w:r w:rsidRPr="009A613C">
        <w:rPr>
          <w:sz w:val="23"/>
          <w:szCs w:val="23"/>
        </w:rPr>
        <w:t>Jačanje nepristrasnosti i integriteta nosilaca pravosudnih funkcija kroz dosljedno poštovanje principa slučajne dodjele predmeta, primjenu odredaba o izuzeću i poštovanje etičkih kodeksa</w:t>
      </w:r>
      <w:bookmarkEnd w:id="31"/>
      <w:r w:rsidRPr="009A613C">
        <w:rPr>
          <w:sz w:val="23"/>
          <w:szCs w:val="23"/>
        </w:rPr>
        <w:t xml:space="preserve"> </w:t>
      </w:r>
    </w:p>
    <w:p w14:paraId="517A0ABA" w14:textId="231ACD95" w:rsidR="008D4699" w:rsidRDefault="008D4699" w:rsidP="008D4699">
      <w:pPr>
        <w:jc w:val="both"/>
      </w:pPr>
      <w:r>
        <w:t xml:space="preserve">Nepristrasno postupanje nosilaca pravosudnih funkcija i očuvanje njihovog profesionalnog integriteta zavise od čitavog niza faktora, pri čemu se kao najznačajniji izdvajaju: slučajna </w:t>
      </w:r>
      <w:r w:rsidR="003C0BFF">
        <w:t>dodjela predmeta, poštovanje odredaba o izuzeću sudija i tužilaca, ali i poštovanje odredaba etičkih kodeksa za sudije i tužioce.</w:t>
      </w:r>
    </w:p>
    <w:p w14:paraId="00EEC920" w14:textId="77777777" w:rsidR="009108D6" w:rsidRDefault="00E70A8A" w:rsidP="003C0BFF">
      <w:pPr>
        <w:jc w:val="both"/>
      </w:pPr>
      <w:r>
        <w:t xml:space="preserve">Uspostavljanje </w:t>
      </w:r>
      <w:r w:rsidR="008D4699">
        <w:t>sistema slučajne dodijele predmeta u crnogorskom pravosuđu neposredno zavisi od daljeg rada na unaprjeđenju sistema upravljanja predmetima, pa samim tim ovaj sistem i dalje ne funkcioniše u prekršajnim sudovima.</w:t>
      </w:r>
    </w:p>
    <w:p w14:paraId="62EEAE29" w14:textId="6E39289D" w:rsidR="008808A5" w:rsidRDefault="009108D6" w:rsidP="003C0BFF">
      <w:pPr>
        <w:jc w:val="both"/>
      </w:pPr>
      <w:r w:rsidRPr="00F5656C">
        <w:t xml:space="preserve">Dosljedno poštovanje odredaba </w:t>
      </w:r>
      <w:r w:rsidR="004F7E97" w:rsidRPr="00F5656C">
        <w:t>e</w:t>
      </w:r>
      <w:r w:rsidRPr="00F5656C">
        <w:t>tičk</w:t>
      </w:r>
      <w:r w:rsidR="004F7E97" w:rsidRPr="00F5656C">
        <w:t>ih</w:t>
      </w:r>
      <w:r w:rsidRPr="00F5656C">
        <w:t xml:space="preserve"> kodeksa zaht</w:t>
      </w:r>
      <w:r w:rsidR="00802A44">
        <w:t>i</w:t>
      </w:r>
      <w:r w:rsidRPr="00F5656C">
        <w:t>jeva kontinuirane obuke nosilaca pravosudnih funkcija,</w:t>
      </w:r>
      <w:r>
        <w:t xml:space="preserve"> ali i efektivno kažnjavanje kršenja njihovih odredaba.</w:t>
      </w:r>
    </w:p>
    <w:p w14:paraId="21D7FE61" w14:textId="7DF6910B" w:rsidR="003A4B3E" w:rsidRDefault="003A4B3E" w:rsidP="003C0BFF">
      <w:pPr>
        <w:jc w:val="both"/>
      </w:pPr>
    </w:p>
    <w:p w14:paraId="772758AA" w14:textId="36029356" w:rsidR="003A4B3E" w:rsidRDefault="003A4B3E" w:rsidP="003C0BFF">
      <w:pPr>
        <w:jc w:val="both"/>
      </w:pPr>
    </w:p>
    <w:p w14:paraId="1BDB0EA7" w14:textId="3B85351F" w:rsidR="003A4B3E" w:rsidRDefault="003A4B3E" w:rsidP="003C0BFF">
      <w:pPr>
        <w:jc w:val="both"/>
      </w:pPr>
    </w:p>
    <w:p w14:paraId="0053B624" w14:textId="1CACAF87" w:rsidR="008649C4" w:rsidRDefault="008649C4" w:rsidP="003C0BFF">
      <w:pPr>
        <w:jc w:val="both"/>
      </w:pPr>
    </w:p>
    <w:p w14:paraId="27D69D18" w14:textId="77777777" w:rsidR="008649C4" w:rsidRPr="009A613C" w:rsidRDefault="008649C4" w:rsidP="003C0BFF">
      <w:pPr>
        <w:jc w:val="both"/>
      </w:pPr>
    </w:p>
    <w:p w14:paraId="1A554834" w14:textId="363B4783" w:rsidR="008808A5" w:rsidRPr="009A613C" w:rsidRDefault="008808A5" w:rsidP="008808A5">
      <w:pPr>
        <w:jc w:val="center"/>
      </w:pPr>
      <w:r w:rsidRPr="009A613C">
        <w:rPr>
          <w:i/>
          <w:iCs/>
          <w:sz w:val="20"/>
          <w:szCs w:val="20"/>
        </w:rPr>
        <w:lastRenderedPageBreak/>
        <w:t xml:space="preserve">Tabela </w:t>
      </w:r>
      <w:r w:rsidR="00714363">
        <w:rPr>
          <w:i/>
          <w:iCs/>
          <w:sz w:val="20"/>
          <w:szCs w:val="20"/>
        </w:rPr>
        <w:t>7</w:t>
      </w:r>
      <w:r w:rsidRPr="009A613C">
        <w:rPr>
          <w:i/>
          <w:iCs/>
          <w:sz w:val="20"/>
          <w:szCs w:val="20"/>
        </w:rPr>
        <w:t>:</w:t>
      </w:r>
      <w:r w:rsidR="00714363">
        <w:rPr>
          <w:i/>
          <w:iCs/>
          <w:sz w:val="20"/>
          <w:szCs w:val="20"/>
        </w:rPr>
        <w:t xml:space="preserve"> Indikatori realizacije Operativnog cilja 1.5</w:t>
      </w:r>
      <w:r w:rsidR="00B46B9E">
        <w:rPr>
          <w:i/>
          <w:iCs/>
          <w:sz w:val="20"/>
          <w:szCs w:val="20"/>
        </w:rPr>
        <w:t>.</w:t>
      </w:r>
    </w:p>
    <w:tbl>
      <w:tblPr>
        <w:tblStyle w:val="TableGrid"/>
        <w:tblW w:w="4857" w:type="pct"/>
        <w:tblInd w:w="-5" w:type="dxa"/>
        <w:tblLayout w:type="fixed"/>
        <w:tblLook w:val="04A0" w:firstRow="1" w:lastRow="0" w:firstColumn="1" w:lastColumn="0" w:noHBand="0" w:noVBand="1"/>
      </w:tblPr>
      <w:tblGrid>
        <w:gridCol w:w="3330"/>
        <w:gridCol w:w="2341"/>
        <w:gridCol w:w="1134"/>
        <w:gridCol w:w="1134"/>
        <w:gridCol w:w="1134"/>
      </w:tblGrid>
      <w:tr w:rsidR="004F7E97" w:rsidRPr="009A613C" w14:paraId="5DA78EE2" w14:textId="77777777" w:rsidTr="00ED323C">
        <w:trPr>
          <w:trHeight w:val="254"/>
        </w:trPr>
        <w:tc>
          <w:tcPr>
            <w:tcW w:w="1835" w:type="pct"/>
            <w:tcBorders>
              <w:top w:val="double" w:sz="4" w:space="0" w:color="auto"/>
            </w:tcBorders>
            <w:shd w:val="clear" w:color="auto" w:fill="FBE4D5" w:themeFill="accent2" w:themeFillTint="33"/>
          </w:tcPr>
          <w:p w14:paraId="3A829FEF" w14:textId="77777777" w:rsidR="004F7E97" w:rsidRPr="009A613C" w:rsidRDefault="004F7E97" w:rsidP="004F7E97">
            <w:pPr>
              <w:rPr>
                <w:rFonts w:cstheme="minorHAnsi"/>
              </w:rPr>
            </w:pPr>
            <w:r w:rsidRPr="009A613C">
              <w:rPr>
                <w:rFonts w:cstheme="minorHAnsi"/>
              </w:rPr>
              <w:t xml:space="preserve">Operativni </w:t>
            </w:r>
          </w:p>
          <w:p w14:paraId="4186F320" w14:textId="403E78AE" w:rsidR="004F7E97" w:rsidRPr="009A613C" w:rsidRDefault="004F7E97" w:rsidP="004F7E97">
            <w:pPr>
              <w:rPr>
                <w:rFonts w:cstheme="minorHAnsi"/>
              </w:rPr>
            </w:pPr>
            <w:r w:rsidRPr="009A613C">
              <w:rPr>
                <w:rFonts w:cstheme="minorHAnsi"/>
              </w:rPr>
              <w:t>cilj</w:t>
            </w:r>
          </w:p>
        </w:tc>
        <w:tc>
          <w:tcPr>
            <w:tcW w:w="1290" w:type="pct"/>
            <w:tcBorders>
              <w:top w:val="double" w:sz="4" w:space="0" w:color="auto"/>
              <w:bottom w:val="double" w:sz="4" w:space="0" w:color="auto"/>
            </w:tcBorders>
            <w:shd w:val="clear" w:color="auto" w:fill="FBE4D5" w:themeFill="accent2" w:themeFillTint="33"/>
          </w:tcPr>
          <w:p w14:paraId="7129F3CE" w14:textId="37A8716B" w:rsidR="004F7E97" w:rsidRPr="00CC4818" w:rsidRDefault="004F7E97" w:rsidP="00ED323C">
            <w:r w:rsidRPr="00CC4818">
              <w:t>Indikator učinka</w:t>
            </w:r>
          </w:p>
        </w:tc>
        <w:tc>
          <w:tcPr>
            <w:tcW w:w="625" w:type="pct"/>
            <w:tcBorders>
              <w:top w:val="double" w:sz="4" w:space="0" w:color="auto"/>
              <w:bottom w:val="double" w:sz="4" w:space="0" w:color="auto"/>
            </w:tcBorders>
            <w:shd w:val="clear" w:color="auto" w:fill="FBE4D5" w:themeFill="accent2" w:themeFillTint="33"/>
          </w:tcPr>
          <w:p w14:paraId="6B6C2E38" w14:textId="77777777" w:rsidR="004F7E97" w:rsidRDefault="004F7E97" w:rsidP="00CC4818">
            <w:r w:rsidRPr="00CC4818">
              <w:t>Početna vrijednost</w:t>
            </w:r>
          </w:p>
          <w:p w14:paraId="717B163A" w14:textId="41676A88" w:rsidR="00B46B9E" w:rsidRPr="00CC4818" w:rsidRDefault="00B46B9E" w:rsidP="00ED323C">
            <w:r>
              <w:t>2023.</w:t>
            </w:r>
          </w:p>
        </w:tc>
        <w:tc>
          <w:tcPr>
            <w:tcW w:w="625" w:type="pct"/>
            <w:tcBorders>
              <w:top w:val="double" w:sz="4" w:space="0" w:color="auto"/>
              <w:bottom w:val="double" w:sz="4" w:space="0" w:color="auto"/>
            </w:tcBorders>
            <w:shd w:val="clear" w:color="auto" w:fill="FBE4D5" w:themeFill="accent2" w:themeFillTint="33"/>
          </w:tcPr>
          <w:p w14:paraId="1A109A98" w14:textId="1D023DBB" w:rsidR="004F7E97" w:rsidRPr="00CC4818" w:rsidRDefault="004F7E97" w:rsidP="00ED323C">
            <w:r w:rsidRPr="00CC4818">
              <w:t>Ciljana vrijednost 2025.</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0A0785E0" w14:textId="7A06E7BA" w:rsidR="004F7E97" w:rsidRPr="00CC4818" w:rsidRDefault="004F7E97" w:rsidP="00ED323C">
            <w:r w:rsidRPr="00CC4818">
              <w:t>Ciljana vrijednost 2027.</w:t>
            </w:r>
          </w:p>
        </w:tc>
      </w:tr>
      <w:tr w:rsidR="008808A5" w:rsidRPr="009A613C" w14:paraId="599C6769" w14:textId="77777777" w:rsidTr="00995764">
        <w:trPr>
          <w:trHeight w:val="254"/>
        </w:trPr>
        <w:tc>
          <w:tcPr>
            <w:tcW w:w="1835" w:type="pct"/>
            <w:tcBorders>
              <w:top w:val="double" w:sz="4" w:space="0" w:color="auto"/>
            </w:tcBorders>
            <w:shd w:val="clear" w:color="auto" w:fill="E2EFD9" w:themeFill="accent6" w:themeFillTint="33"/>
          </w:tcPr>
          <w:p w14:paraId="59F1F5D5" w14:textId="5325214C" w:rsidR="008808A5" w:rsidRPr="009A613C" w:rsidRDefault="004A079E" w:rsidP="004A079E">
            <w:pPr>
              <w:rPr>
                <w:rFonts w:cstheme="minorHAnsi"/>
              </w:rPr>
            </w:pPr>
            <w:r w:rsidRPr="009A613C">
              <w:rPr>
                <w:rFonts w:cstheme="minorHAnsi"/>
              </w:rPr>
              <w:t>1.</w:t>
            </w:r>
            <w:r w:rsidR="00714363">
              <w:rPr>
                <w:rFonts w:cstheme="minorHAnsi"/>
              </w:rPr>
              <w:t>5</w:t>
            </w:r>
            <w:r w:rsidRPr="009A613C">
              <w:rPr>
                <w:rFonts w:cstheme="minorHAnsi"/>
              </w:rPr>
              <w:t>.</w:t>
            </w:r>
          </w:p>
          <w:p w14:paraId="3270DF65" w14:textId="77777777" w:rsidR="008808A5" w:rsidRPr="009A613C" w:rsidRDefault="008808A5" w:rsidP="004120A4">
            <w:pPr>
              <w:jc w:val="both"/>
              <w:rPr>
                <w:rFonts w:cstheme="minorHAnsi"/>
              </w:rPr>
            </w:pPr>
            <w:r w:rsidRPr="009A613C">
              <w:rPr>
                <w:rFonts w:cstheme="minorHAnsi"/>
              </w:rPr>
              <w:t xml:space="preserve">Jačanje nepristrasnosti i integriteta nosilaca pravosudnih funkcija kroz dosljedno poštovanje principa slučajne dodjele predmeta, primjenu odredaba o izuzeću i poštovanje etičkih kodeksa </w:t>
            </w:r>
          </w:p>
        </w:tc>
        <w:tc>
          <w:tcPr>
            <w:tcW w:w="1290" w:type="pct"/>
            <w:tcBorders>
              <w:top w:val="double" w:sz="4" w:space="0" w:color="auto"/>
              <w:bottom w:val="double" w:sz="4" w:space="0" w:color="auto"/>
            </w:tcBorders>
            <w:shd w:val="clear" w:color="auto" w:fill="FFFFFF" w:themeFill="background1"/>
          </w:tcPr>
          <w:p w14:paraId="2F36F890" w14:textId="77777777" w:rsidR="008808A5" w:rsidRPr="009A613C" w:rsidRDefault="008808A5" w:rsidP="004120A4">
            <w:pPr>
              <w:shd w:val="clear" w:color="auto" w:fill="FFFFFF" w:themeFill="background1"/>
              <w:spacing w:after="240"/>
              <w:jc w:val="both"/>
              <w:rPr>
                <w:rFonts w:cstheme="minorHAnsi"/>
              </w:rPr>
            </w:pPr>
            <w:r w:rsidRPr="009A613C">
              <w:rPr>
                <w:rFonts w:cstheme="minorHAnsi"/>
              </w:rPr>
              <w:t>Sistem slučajne dodijele predmeta funkcioniše u svim sudovima</w:t>
            </w:r>
          </w:p>
        </w:tc>
        <w:tc>
          <w:tcPr>
            <w:tcW w:w="625" w:type="pct"/>
            <w:tcBorders>
              <w:top w:val="double" w:sz="4" w:space="0" w:color="auto"/>
              <w:bottom w:val="double" w:sz="4" w:space="0" w:color="auto"/>
            </w:tcBorders>
            <w:shd w:val="clear" w:color="auto" w:fill="FFFFFF" w:themeFill="background1"/>
          </w:tcPr>
          <w:p w14:paraId="6AEA821A" w14:textId="77777777" w:rsidR="008808A5" w:rsidRPr="009A613C" w:rsidRDefault="008808A5" w:rsidP="00F5656C">
            <w:pPr>
              <w:shd w:val="clear" w:color="auto" w:fill="FFFFFF" w:themeFill="background1"/>
              <w:jc w:val="center"/>
              <w:rPr>
                <w:rFonts w:cstheme="minorHAnsi"/>
              </w:rPr>
            </w:pPr>
            <w:r w:rsidRPr="009A613C">
              <w:rPr>
                <w:rFonts w:cstheme="minorHAnsi"/>
              </w:rPr>
              <w:t>NE</w:t>
            </w:r>
          </w:p>
        </w:tc>
        <w:tc>
          <w:tcPr>
            <w:tcW w:w="625" w:type="pct"/>
            <w:tcBorders>
              <w:top w:val="double" w:sz="4" w:space="0" w:color="auto"/>
              <w:bottom w:val="double" w:sz="4" w:space="0" w:color="auto"/>
            </w:tcBorders>
            <w:shd w:val="clear" w:color="auto" w:fill="FFFFFF" w:themeFill="background1"/>
          </w:tcPr>
          <w:p w14:paraId="418E1ED3" w14:textId="77777777" w:rsidR="008808A5" w:rsidRPr="009A613C" w:rsidRDefault="008808A5" w:rsidP="00F5656C">
            <w:pPr>
              <w:shd w:val="clear" w:color="auto" w:fill="FFFFFF" w:themeFill="background1"/>
              <w:jc w:val="center"/>
              <w:rPr>
                <w:rFonts w:cstheme="minorHAnsi"/>
              </w:rPr>
            </w:pPr>
            <w:r w:rsidRPr="009A613C">
              <w:rPr>
                <w:rFonts w:cstheme="minorHAnsi"/>
              </w:rPr>
              <w:t>DA</w:t>
            </w:r>
          </w:p>
        </w:tc>
        <w:tc>
          <w:tcPr>
            <w:tcW w:w="625" w:type="pct"/>
            <w:tcBorders>
              <w:top w:val="double" w:sz="4" w:space="0" w:color="auto"/>
              <w:bottom w:val="double" w:sz="4" w:space="0" w:color="auto"/>
              <w:right w:val="double" w:sz="4" w:space="0" w:color="auto"/>
            </w:tcBorders>
            <w:shd w:val="clear" w:color="auto" w:fill="FFFFFF" w:themeFill="background1"/>
          </w:tcPr>
          <w:p w14:paraId="04415667" w14:textId="77777777" w:rsidR="008808A5" w:rsidRPr="009A613C" w:rsidRDefault="008808A5" w:rsidP="00667569">
            <w:pPr>
              <w:shd w:val="clear" w:color="auto" w:fill="FFFFFF" w:themeFill="background1"/>
              <w:jc w:val="center"/>
              <w:rPr>
                <w:rFonts w:cstheme="minorHAnsi"/>
              </w:rPr>
            </w:pPr>
            <w:r w:rsidRPr="009A613C">
              <w:rPr>
                <w:rFonts w:cstheme="minorHAnsi"/>
              </w:rPr>
              <w:t>DA</w:t>
            </w:r>
          </w:p>
        </w:tc>
      </w:tr>
    </w:tbl>
    <w:p w14:paraId="4A9CDAAB" w14:textId="77777777" w:rsidR="008808A5" w:rsidRPr="009A613C" w:rsidRDefault="008808A5" w:rsidP="008808A5"/>
    <w:p w14:paraId="218EA7AF" w14:textId="04C082F9" w:rsidR="004F6A83" w:rsidRPr="009A613C" w:rsidRDefault="004F6A83">
      <w:pPr>
        <w:pStyle w:val="Heading3"/>
        <w:numPr>
          <w:ilvl w:val="1"/>
          <w:numId w:val="5"/>
        </w:numPr>
        <w:spacing w:after="240"/>
        <w:jc w:val="center"/>
        <w:rPr>
          <w:sz w:val="23"/>
          <w:szCs w:val="23"/>
        </w:rPr>
      </w:pPr>
      <w:bookmarkStart w:id="32" w:name="_Toc156937960"/>
      <w:r w:rsidRPr="009A613C">
        <w:rPr>
          <w:sz w:val="23"/>
          <w:szCs w:val="23"/>
        </w:rPr>
        <w:t>Jačanje sistema disciplinske odgovornosti nosilaca pravosudnih funkcija</w:t>
      </w:r>
      <w:bookmarkEnd w:id="32"/>
    </w:p>
    <w:p w14:paraId="125210ED" w14:textId="43DBECDD" w:rsidR="008808A5" w:rsidRDefault="003D51EF" w:rsidP="007F39F9">
      <w:pPr>
        <w:jc w:val="both"/>
      </w:pPr>
      <w:r>
        <w:t>Odgovornost nosilaca pravosudnih funkcija preds</w:t>
      </w:r>
      <w:r w:rsidR="007F39F9">
        <w:t>tavlja neophodni balans njihovoj nezavisnosti. U periodu primjene prethodne strategije nisu privedeni kraju pokušaji da se otklone uočeni problemi u sistemu disciplinske odgovornosti</w:t>
      </w:r>
      <w:r w:rsidR="00F66D79">
        <w:t xml:space="preserve">, kako na normativnom nivou, uslijed kašnjenja usvajanja zakona, tako i u na polju primjene, gdje je zbog nefunkcionalnosti </w:t>
      </w:r>
      <w:r w:rsidR="004A6AC8">
        <w:t>Sudskog savjeta i Tužilačkog savjeta</w:t>
      </w:r>
      <w:r w:rsidR="00F66D79">
        <w:t>bilo problema u formiranju i funkcionisanju disciplinskih organa.</w:t>
      </w:r>
    </w:p>
    <w:p w14:paraId="4989063E" w14:textId="697A8FE8" w:rsidR="00F66D79" w:rsidRDefault="00F66D79" w:rsidP="007F39F9">
      <w:pPr>
        <w:jc w:val="both"/>
      </w:pPr>
      <w:r>
        <w:t xml:space="preserve">Imajući ovo u vidu, u periodu koji predstoji, neophodno je da se kroz izmjene seta pravosudnih zakona, kao i pratećih podzakonskih akata stvori adekvatan normativni okvir disciplinske odgovornosti u skladu sa </w:t>
      </w:r>
      <w:r w:rsidR="00F8758B">
        <w:t>preporukama Venecijanske komisije.</w:t>
      </w:r>
      <w:r w:rsidR="00914B0A">
        <w:t xml:space="preserve"> </w:t>
      </w:r>
    </w:p>
    <w:p w14:paraId="0E8776EE" w14:textId="12A8B093" w:rsidR="00914B0A" w:rsidRDefault="00914B0A" w:rsidP="007F39F9">
      <w:pPr>
        <w:jc w:val="both"/>
      </w:pPr>
      <w:r>
        <w:t>Novi normativni okvir mora biti ispraćen efikasnim radom disciplinskih organa koji onemogućava nastupanje zastarjelosti</w:t>
      </w:r>
      <w:r w:rsidR="00C85768">
        <w:t xml:space="preserve"> i targetira širi krug prestupa u odnosu na dosadašnju praksu.</w:t>
      </w:r>
    </w:p>
    <w:p w14:paraId="734AD019" w14:textId="0655746E" w:rsidR="00752DAF" w:rsidRPr="009A613C" w:rsidRDefault="00C85768" w:rsidP="007F39F9">
      <w:pPr>
        <w:jc w:val="both"/>
      </w:pPr>
      <w:r>
        <w:t>Iako se mehanizmi vetting-a smatraju posljednjim sredstvom koje se primjenjuje u situacijama kada druge mjere usmjerene na unaprjeđenje mehanizama disciplinske odgovornosti</w:t>
      </w:r>
      <w:r w:rsidR="00752DAF">
        <w:t xml:space="preserve"> ne daju rezultate, tokom perioda sprovođenja ove Strategije potrebno je putem izrade komparativne analize sagledati kapacitete i mogućnosti primjene ovih mehanizama u pravosuđu Crne Gore.</w:t>
      </w:r>
    </w:p>
    <w:p w14:paraId="160F50F0" w14:textId="76940CA7" w:rsidR="008808A5" w:rsidRPr="009A613C" w:rsidRDefault="008808A5" w:rsidP="00DE268C">
      <w:pPr>
        <w:jc w:val="center"/>
      </w:pPr>
      <w:r w:rsidRPr="009A613C">
        <w:rPr>
          <w:i/>
          <w:iCs/>
          <w:sz w:val="20"/>
          <w:szCs w:val="20"/>
        </w:rPr>
        <w:t xml:space="preserve">Tabela </w:t>
      </w:r>
      <w:r w:rsidR="00714363">
        <w:rPr>
          <w:i/>
          <w:iCs/>
          <w:sz w:val="20"/>
          <w:szCs w:val="20"/>
        </w:rPr>
        <w:t>8</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1.6</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426BE3" w:rsidRPr="009A613C" w14:paraId="7E9F6D95" w14:textId="77777777" w:rsidTr="00426BE3">
        <w:trPr>
          <w:trHeight w:val="254"/>
        </w:trPr>
        <w:tc>
          <w:tcPr>
            <w:tcW w:w="1250" w:type="pct"/>
            <w:tcBorders>
              <w:top w:val="double" w:sz="4" w:space="0" w:color="auto"/>
            </w:tcBorders>
            <w:shd w:val="clear" w:color="auto" w:fill="FBE4D5" w:themeFill="accent2" w:themeFillTint="33"/>
          </w:tcPr>
          <w:p w14:paraId="4912E60D" w14:textId="77777777" w:rsidR="00426BE3" w:rsidRPr="009A613C" w:rsidRDefault="00426BE3" w:rsidP="00426BE3">
            <w:r w:rsidRPr="009A613C">
              <w:t xml:space="preserve">Operativni </w:t>
            </w:r>
          </w:p>
          <w:p w14:paraId="49FA2C2D" w14:textId="75105876" w:rsidR="00426BE3" w:rsidRPr="009A613C" w:rsidRDefault="00426BE3" w:rsidP="00426BE3">
            <w:r w:rsidRPr="009A613C">
              <w:t>cilj</w:t>
            </w:r>
          </w:p>
        </w:tc>
        <w:tc>
          <w:tcPr>
            <w:tcW w:w="1875" w:type="pct"/>
            <w:tcBorders>
              <w:top w:val="double" w:sz="4" w:space="0" w:color="auto"/>
              <w:bottom w:val="double" w:sz="4" w:space="0" w:color="auto"/>
            </w:tcBorders>
            <w:shd w:val="clear" w:color="auto" w:fill="FBE4D5" w:themeFill="accent2" w:themeFillTint="33"/>
          </w:tcPr>
          <w:p w14:paraId="1D7D9A68" w14:textId="0F1E9B9C" w:rsidR="00426BE3" w:rsidRPr="009A613C" w:rsidRDefault="00426BE3" w:rsidP="00426BE3">
            <w:r w:rsidRPr="009A613C">
              <w:t>Indikator učinka</w:t>
            </w:r>
          </w:p>
        </w:tc>
        <w:tc>
          <w:tcPr>
            <w:tcW w:w="625" w:type="pct"/>
            <w:tcBorders>
              <w:top w:val="double" w:sz="4" w:space="0" w:color="auto"/>
              <w:bottom w:val="double" w:sz="4" w:space="0" w:color="auto"/>
            </w:tcBorders>
            <w:shd w:val="clear" w:color="auto" w:fill="FBE4D5" w:themeFill="accent2" w:themeFillTint="33"/>
          </w:tcPr>
          <w:p w14:paraId="0EAF3D1D" w14:textId="77777777" w:rsidR="00426BE3" w:rsidRDefault="00426BE3" w:rsidP="00426BE3">
            <w:r w:rsidRPr="009A613C">
              <w:t>Početna vrijednost</w:t>
            </w:r>
          </w:p>
          <w:p w14:paraId="76995C5F" w14:textId="19A38515" w:rsidR="00B46B9E" w:rsidRPr="009A613C" w:rsidRDefault="00B46B9E" w:rsidP="00426BE3">
            <w:r>
              <w:t>2023.</w:t>
            </w:r>
          </w:p>
        </w:tc>
        <w:tc>
          <w:tcPr>
            <w:tcW w:w="625" w:type="pct"/>
            <w:tcBorders>
              <w:top w:val="double" w:sz="4" w:space="0" w:color="auto"/>
              <w:bottom w:val="double" w:sz="4" w:space="0" w:color="auto"/>
            </w:tcBorders>
            <w:shd w:val="clear" w:color="auto" w:fill="FBE4D5" w:themeFill="accent2" w:themeFillTint="33"/>
          </w:tcPr>
          <w:p w14:paraId="7479AB7C" w14:textId="6E9C7A79" w:rsidR="00426BE3" w:rsidRPr="009A613C" w:rsidRDefault="00426BE3" w:rsidP="00426BE3">
            <w:r w:rsidRPr="009A613C">
              <w:t>Ciljana vrijednost 2025.</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7AB4A15D" w14:textId="041373B7" w:rsidR="00426BE3" w:rsidRPr="009A613C" w:rsidRDefault="00426BE3" w:rsidP="00426BE3">
            <w:r w:rsidRPr="009A613C">
              <w:t>Ciljana vrijednost 2027.</w:t>
            </w:r>
          </w:p>
        </w:tc>
      </w:tr>
      <w:tr w:rsidR="008808A5" w:rsidRPr="009A613C" w14:paraId="11F133DC" w14:textId="77777777" w:rsidTr="00BE13A3">
        <w:trPr>
          <w:trHeight w:val="254"/>
        </w:trPr>
        <w:tc>
          <w:tcPr>
            <w:tcW w:w="1250" w:type="pct"/>
            <w:vMerge w:val="restart"/>
            <w:tcBorders>
              <w:top w:val="double" w:sz="4" w:space="0" w:color="auto"/>
            </w:tcBorders>
            <w:shd w:val="clear" w:color="auto" w:fill="E2EFD9" w:themeFill="accent6" w:themeFillTint="33"/>
          </w:tcPr>
          <w:p w14:paraId="0E9D3D1A" w14:textId="4EFD6E41" w:rsidR="008808A5" w:rsidRPr="009A613C" w:rsidRDefault="004A079E" w:rsidP="004A079E">
            <w:pPr>
              <w:rPr>
                <w:rFonts w:cstheme="minorHAnsi"/>
              </w:rPr>
            </w:pPr>
            <w:r w:rsidRPr="009A613C">
              <w:rPr>
                <w:rFonts w:cstheme="minorHAnsi"/>
              </w:rPr>
              <w:t>1.</w:t>
            </w:r>
            <w:r w:rsidR="00714363">
              <w:rPr>
                <w:rFonts w:cstheme="minorHAnsi"/>
              </w:rPr>
              <w:t>6</w:t>
            </w:r>
            <w:r w:rsidRPr="009A613C">
              <w:rPr>
                <w:rFonts w:cstheme="minorHAnsi"/>
              </w:rPr>
              <w:t>.</w:t>
            </w:r>
          </w:p>
          <w:p w14:paraId="48C14DCC" w14:textId="77777777" w:rsidR="004120A4" w:rsidRDefault="008808A5" w:rsidP="004120A4">
            <w:pPr>
              <w:jc w:val="both"/>
              <w:rPr>
                <w:rFonts w:cstheme="minorHAnsi"/>
              </w:rPr>
            </w:pPr>
            <w:r w:rsidRPr="009A613C">
              <w:rPr>
                <w:rFonts w:cstheme="minorHAnsi"/>
              </w:rPr>
              <w:t>Jačanje sistema disciplinske</w:t>
            </w:r>
          </w:p>
          <w:p w14:paraId="413DD7E0" w14:textId="49FB4CE2" w:rsidR="008808A5" w:rsidRPr="009A613C" w:rsidRDefault="008808A5" w:rsidP="004120A4">
            <w:pPr>
              <w:jc w:val="both"/>
              <w:rPr>
                <w:rFonts w:cstheme="minorHAnsi"/>
              </w:rPr>
            </w:pPr>
            <w:r w:rsidRPr="009A613C">
              <w:rPr>
                <w:rFonts w:cstheme="minorHAnsi"/>
              </w:rPr>
              <w:t>odgovornosti nosilaca pravosudnih funkcija</w:t>
            </w:r>
          </w:p>
        </w:tc>
        <w:tc>
          <w:tcPr>
            <w:tcW w:w="1875" w:type="pct"/>
            <w:tcBorders>
              <w:top w:val="double" w:sz="4" w:space="0" w:color="auto"/>
              <w:bottom w:val="double" w:sz="4" w:space="0" w:color="auto"/>
            </w:tcBorders>
            <w:shd w:val="clear" w:color="auto" w:fill="FFFFFF" w:themeFill="background1"/>
          </w:tcPr>
          <w:p w14:paraId="7C8F8683" w14:textId="4B8641C6" w:rsidR="008808A5" w:rsidRPr="009A613C" w:rsidRDefault="008808A5" w:rsidP="00223E99">
            <w:pPr>
              <w:shd w:val="clear" w:color="auto" w:fill="FFFFFF" w:themeFill="background1"/>
              <w:spacing w:after="240"/>
              <w:jc w:val="both"/>
              <w:rPr>
                <w:rFonts w:cstheme="minorHAnsi"/>
              </w:rPr>
            </w:pPr>
            <w:r w:rsidRPr="009A613C">
              <w:rPr>
                <w:rFonts w:cstheme="minorHAnsi"/>
              </w:rPr>
              <w:t>% okončanih disciplinskih postupaka protiv sudija pr</w:t>
            </w:r>
            <w:r w:rsidR="00223E99" w:rsidRPr="009A613C">
              <w:rPr>
                <w:rFonts w:cstheme="minorHAnsi"/>
              </w:rPr>
              <w:t>ij</w:t>
            </w:r>
            <w:r w:rsidRPr="009A613C">
              <w:rPr>
                <w:rFonts w:cstheme="minorHAnsi"/>
              </w:rPr>
              <w:t xml:space="preserve">e isteka roka za </w:t>
            </w:r>
            <w:r w:rsidR="00223E99" w:rsidRPr="009A613C">
              <w:rPr>
                <w:rFonts w:cstheme="minorHAnsi"/>
              </w:rPr>
              <w:t>zastarjelost</w:t>
            </w:r>
          </w:p>
        </w:tc>
        <w:tc>
          <w:tcPr>
            <w:tcW w:w="625" w:type="pct"/>
            <w:tcBorders>
              <w:top w:val="double" w:sz="4" w:space="0" w:color="auto"/>
              <w:bottom w:val="double" w:sz="4" w:space="0" w:color="auto"/>
            </w:tcBorders>
            <w:shd w:val="clear" w:color="auto" w:fill="FFFFFF" w:themeFill="background1"/>
          </w:tcPr>
          <w:p w14:paraId="29283D23" w14:textId="3EB2BE4E" w:rsidR="008808A5" w:rsidRPr="009A613C" w:rsidRDefault="00DA2A5C" w:rsidP="00F5656C">
            <w:pPr>
              <w:shd w:val="clear" w:color="auto" w:fill="FFFFFF" w:themeFill="background1"/>
              <w:jc w:val="center"/>
              <w:rPr>
                <w:rFonts w:cstheme="minorHAnsi"/>
              </w:rPr>
            </w:pPr>
            <w:r>
              <w:rPr>
                <w:rFonts w:cstheme="minorHAnsi"/>
              </w:rPr>
              <w:t>95%</w:t>
            </w:r>
          </w:p>
        </w:tc>
        <w:tc>
          <w:tcPr>
            <w:tcW w:w="625" w:type="pct"/>
            <w:tcBorders>
              <w:top w:val="double" w:sz="4" w:space="0" w:color="auto"/>
              <w:bottom w:val="double" w:sz="4" w:space="0" w:color="auto"/>
            </w:tcBorders>
            <w:shd w:val="clear" w:color="auto" w:fill="FFFFFF" w:themeFill="background1"/>
          </w:tcPr>
          <w:p w14:paraId="07BE30C6" w14:textId="77777777" w:rsidR="008808A5" w:rsidRPr="009A613C" w:rsidRDefault="008808A5" w:rsidP="00BE13A3">
            <w:pPr>
              <w:shd w:val="clear" w:color="auto" w:fill="FFFFFF" w:themeFill="background1"/>
              <w:jc w:val="center"/>
              <w:rPr>
                <w:rFonts w:cstheme="minorHAnsi"/>
              </w:rPr>
            </w:pPr>
            <w:r w:rsidRPr="009A613C">
              <w:rPr>
                <w:rFonts w:cstheme="minorHAnsi"/>
              </w:rPr>
              <w:t>100%</w:t>
            </w:r>
          </w:p>
        </w:tc>
        <w:tc>
          <w:tcPr>
            <w:tcW w:w="625" w:type="pct"/>
            <w:tcBorders>
              <w:top w:val="double" w:sz="4" w:space="0" w:color="auto"/>
              <w:bottom w:val="double" w:sz="4" w:space="0" w:color="auto"/>
              <w:right w:val="double" w:sz="4" w:space="0" w:color="auto"/>
            </w:tcBorders>
            <w:shd w:val="clear" w:color="auto" w:fill="FFFFFF" w:themeFill="background1"/>
          </w:tcPr>
          <w:p w14:paraId="2661D33B" w14:textId="77777777" w:rsidR="008808A5" w:rsidRPr="009A613C" w:rsidRDefault="008808A5" w:rsidP="00BE13A3">
            <w:pPr>
              <w:shd w:val="clear" w:color="auto" w:fill="FFFFFF" w:themeFill="background1"/>
              <w:jc w:val="center"/>
              <w:rPr>
                <w:rFonts w:cstheme="minorHAnsi"/>
              </w:rPr>
            </w:pPr>
            <w:r w:rsidRPr="009A613C">
              <w:rPr>
                <w:rFonts w:cstheme="minorHAnsi"/>
              </w:rPr>
              <w:t>100%</w:t>
            </w:r>
          </w:p>
        </w:tc>
      </w:tr>
      <w:tr w:rsidR="008808A5" w:rsidRPr="009A613C" w14:paraId="70A9761B" w14:textId="77777777" w:rsidTr="00BE13A3">
        <w:trPr>
          <w:trHeight w:val="254"/>
        </w:trPr>
        <w:tc>
          <w:tcPr>
            <w:tcW w:w="1250" w:type="pct"/>
            <w:vMerge/>
            <w:tcBorders>
              <w:bottom w:val="double" w:sz="4" w:space="0" w:color="auto"/>
            </w:tcBorders>
            <w:shd w:val="clear" w:color="auto" w:fill="E2EFD9" w:themeFill="accent6" w:themeFillTint="33"/>
          </w:tcPr>
          <w:p w14:paraId="6D5F45F4" w14:textId="77777777" w:rsidR="008808A5" w:rsidRPr="009A613C" w:rsidRDefault="008808A5"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7B0B82F8" w14:textId="05D17CCA" w:rsidR="008808A5" w:rsidRPr="009A613C" w:rsidRDefault="008808A5" w:rsidP="00223E99">
            <w:pPr>
              <w:shd w:val="clear" w:color="auto" w:fill="FFFFFF" w:themeFill="background1"/>
              <w:spacing w:after="240"/>
              <w:jc w:val="both"/>
              <w:rPr>
                <w:rFonts w:cstheme="minorHAnsi"/>
              </w:rPr>
            </w:pPr>
            <w:r w:rsidRPr="009A613C">
              <w:rPr>
                <w:rFonts w:cstheme="minorHAnsi"/>
              </w:rPr>
              <w:t xml:space="preserve">% okončanih disciplinskih postupaka protiv </w:t>
            </w:r>
            <w:r w:rsidR="00B119B4">
              <w:rPr>
                <w:rFonts w:cstheme="minorHAnsi"/>
              </w:rPr>
              <w:t xml:space="preserve">državnih </w:t>
            </w:r>
            <w:r w:rsidRPr="009A613C">
              <w:rPr>
                <w:rFonts w:cstheme="minorHAnsi"/>
              </w:rPr>
              <w:t>tužilaca pr</w:t>
            </w:r>
            <w:r w:rsidR="00223E99" w:rsidRPr="009A613C">
              <w:rPr>
                <w:rFonts w:cstheme="minorHAnsi"/>
              </w:rPr>
              <w:t>ij</w:t>
            </w:r>
            <w:r w:rsidRPr="009A613C">
              <w:rPr>
                <w:rFonts w:cstheme="minorHAnsi"/>
              </w:rPr>
              <w:t xml:space="preserve">e isteka roka za </w:t>
            </w:r>
            <w:r w:rsidR="00223E99" w:rsidRPr="009A613C">
              <w:rPr>
                <w:rFonts w:cstheme="minorHAnsi"/>
              </w:rPr>
              <w:t>zastarjelost</w:t>
            </w:r>
          </w:p>
        </w:tc>
        <w:tc>
          <w:tcPr>
            <w:tcW w:w="625" w:type="pct"/>
            <w:tcBorders>
              <w:top w:val="double" w:sz="4" w:space="0" w:color="auto"/>
              <w:bottom w:val="double" w:sz="4" w:space="0" w:color="auto"/>
            </w:tcBorders>
            <w:shd w:val="clear" w:color="auto" w:fill="FFFFFF" w:themeFill="background1"/>
          </w:tcPr>
          <w:p w14:paraId="03AC6280" w14:textId="20E59C18" w:rsidR="008808A5" w:rsidRPr="009A613C" w:rsidRDefault="001213EE" w:rsidP="00BE13A3">
            <w:pPr>
              <w:shd w:val="clear" w:color="auto" w:fill="FFFFFF" w:themeFill="background1"/>
              <w:rPr>
                <w:rFonts w:cstheme="minorHAnsi"/>
              </w:rPr>
            </w:pPr>
            <w:r>
              <w:rPr>
                <w:rFonts w:cstheme="minorHAnsi"/>
              </w:rPr>
              <w:t>100%</w:t>
            </w:r>
          </w:p>
        </w:tc>
        <w:tc>
          <w:tcPr>
            <w:tcW w:w="625" w:type="pct"/>
            <w:tcBorders>
              <w:top w:val="double" w:sz="4" w:space="0" w:color="auto"/>
              <w:bottom w:val="double" w:sz="4" w:space="0" w:color="auto"/>
            </w:tcBorders>
            <w:shd w:val="clear" w:color="auto" w:fill="FFFFFF" w:themeFill="background1"/>
          </w:tcPr>
          <w:p w14:paraId="074B8C77" w14:textId="77777777" w:rsidR="008808A5" w:rsidRPr="009A613C" w:rsidRDefault="008808A5" w:rsidP="00BE13A3">
            <w:pPr>
              <w:shd w:val="clear" w:color="auto" w:fill="FFFFFF" w:themeFill="background1"/>
              <w:jc w:val="center"/>
              <w:rPr>
                <w:rFonts w:cstheme="minorHAnsi"/>
              </w:rPr>
            </w:pPr>
            <w:r w:rsidRPr="009A613C">
              <w:rPr>
                <w:rFonts w:cstheme="minorHAnsi"/>
              </w:rPr>
              <w:t>100%</w:t>
            </w:r>
          </w:p>
        </w:tc>
        <w:tc>
          <w:tcPr>
            <w:tcW w:w="625" w:type="pct"/>
            <w:tcBorders>
              <w:top w:val="double" w:sz="4" w:space="0" w:color="auto"/>
              <w:bottom w:val="double" w:sz="4" w:space="0" w:color="auto"/>
              <w:right w:val="double" w:sz="4" w:space="0" w:color="auto"/>
            </w:tcBorders>
            <w:shd w:val="clear" w:color="auto" w:fill="FFFFFF" w:themeFill="background1"/>
          </w:tcPr>
          <w:p w14:paraId="78585B0A" w14:textId="77777777" w:rsidR="008808A5" w:rsidRPr="009A613C" w:rsidRDefault="008808A5" w:rsidP="00BE13A3">
            <w:pPr>
              <w:shd w:val="clear" w:color="auto" w:fill="FFFFFF" w:themeFill="background1"/>
              <w:jc w:val="center"/>
              <w:rPr>
                <w:rFonts w:cstheme="minorHAnsi"/>
              </w:rPr>
            </w:pPr>
            <w:r w:rsidRPr="009A613C">
              <w:rPr>
                <w:rFonts w:cstheme="minorHAnsi"/>
              </w:rPr>
              <w:t>100%</w:t>
            </w:r>
          </w:p>
        </w:tc>
      </w:tr>
    </w:tbl>
    <w:p w14:paraId="7AC72F9A" w14:textId="77777777" w:rsidR="008808A5" w:rsidRPr="009A613C" w:rsidRDefault="008808A5" w:rsidP="00B83EB0">
      <w:pPr>
        <w:spacing w:before="240"/>
      </w:pPr>
    </w:p>
    <w:p w14:paraId="78C3BBB6" w14:textId="465BD1A1" w:rsidR="004F6A83" w:rsidRPr="009A613C" w:rsidRDefault="005C436F">
      <w:pPr>
        <w:pStyle w:val="Heading3"/>
        <w:numPr>
          <w:ilvl w:val="1"/>
          <w:numId w:val="5"/>
        </w:numPr>
        <w:spacing w:after="240"/>
        <w:jc w:val="center"/>
        <w:rPr>
          <w:sz w:val="23"/>
          <w:szCs w:val="23"/>
        </w:rPr>
      </w:pPr>
      <w:r>
        <w:rPr>
          <w:sz w:val="23"/>
          <w:szCs w:val="23"/>
        </w:rPr>
        <w:lastRenderedPageBreak/>
        <w:t xml:space="preserve"> </w:t>
      </w:r>
      <w:bookmarkStart w:id="33" w:name="_Toc156937961"/>
      <w:r w:rsidR="004F6A83" w:rsidRPr="009A613C">
        <w:rPr>
          <w:sz w:val="23"/>
          <w:szCs w:val="23"/>
        </w:rPr>
        <w:t>Jačanje sistema disciplinske odgovornosti pravosudnih profesija</w:t>
      </w:r>
      <w:bookmarkEnd w:id="33"/>
    </w:p>
    <w:p w14:paraId="7B376C6B" w14:textId="0817EC98" w:rsidR="00D448ED" w:rsidRDefault="00B83EB0" w:rsidP="00B83EB0">
      <w:pPr>
        <w:jc w:val="both"/>
      </w:pPr>
      <w:r>
        <w:t xml:space="preserve">Povjeravanje javnih ovlašćenja pravosudnim profesijama </w:t>
      </w:r>
      <w:r w:rsidR="00D92D9E">
        <w:t>povlači za sobom i uspostavljanje (ali i kontinuitet) primjene mehanizama odgovornosti u vršenju tih ovlašćenja.</w:t>
      </w:r>
    </w:p>
    <w:p w14:paraId="340C1309" w14:textId="3DBEB9B3" w:rsidR="00D92D9E" w:rsidRDefault="00D92D9E" w:rsidP="00B83EB0">
      <w:pPr>
        <w:jc w:val="both"/>
      </w:pPr>
      <w:r>
        <w:t xml:space="preserve">Ovo podrazumijeva, s jedne strane, rad pravosudnog inspektorata u punom kapacitetu, ali i proaktivan pristup sve tri komore kroz mehanizme nadzora nad radom, kao i disciplinske postupke. Kao što je ranije konstatovano, ovi mehanizmi su u prethodnom periodu bili samo djelimično u funkciji, što je, u slučaju Komore javnih izvršitelja i Notarske komore, pandemijom izazvanom virusom COVID 19. Pored toga, manjak kapaciteta pravosudnog inspektorata uticao je na efikasnost njegovog rada i broj izvršenih nadzora. Najzad, u slučaju Advokatske komore, ozbiljan problem predstavlja kašnjenje u usvajanju </w:t>
      </w:r>
      <w:r w:rsidR="000237C7">
        <w:t>E</w:t>
      </w:r>
      <w:r>
        <w:t xml:space="preserve">tičkog kodeksa </w:t>
      </w:r>
      <w:r w:rsidR="000237C7">
        <w:t>za advokate, ali i neefikasno vođenje disciplinskih postupaka koje nerijetko vodi nastupanju zastarjelosti.</w:t>
      </w:r>
    </w:p>
    <w:p w14:paraId="2D6DE812" w14:textId="07C980AF" w:rsidR="000237C7" w:rsidRDefault="000237C7" w:rsidP="00B83EB0">
      <w:pPr>
        <w:jc w:val="both"/>
      </w:pPr>
      <w:r>
        <w:t xml:space="preserve">Polazeći od svega navedenog, </w:t>
      </w:r>
      <w:r w:rsidR="00776BCC">
        <w:t>s</w:t>
      </w:r>
      <w:r>
        <w:t xml:space="preserve">provođenjem ove Strategije neophodno je </w:t>
      </w:r>
      <w:r w:rsidR="00715FE3">
        <w:t>značajno intenzivirati mehanizme nadzora nad radom notarskih i kancelarija javnih izvršitelja</w:t>
      </w:r>
      <w:r w:rsidR="00776BCC">
        <w:t>, ali i paralelno raditi na kontinuiranoj edukaciji notara i javnih izvršitelja o standardima etike.</w:t>
      </w:r>
    </w:p>
    <w:p w14:paraId="1E924EDB" w14:textId="2DA41C0B" w:rsidR="00776BCC" w:rsidRDefault="00776BCC" w:rsidP="00B83EB0">
      <w:pPr>
        <w:jc w:val="both"/>
      </w:pPr>
      <w:r>
        <w:t>Kada je r</w:t>
      </w:r>
      <w:r w:rsidR="000D1C6B">
        <w:t>ij</w:t>
      </w:r>
      <w:r>
        <w:t xml:space="preserve">eč o Advokatskoj komori, hitno usvajanje Kodeksa profesionalne etike za advokate </w:t>
      </w:r>
      <w:r w:rsidR="00A9541A">
        <w:t>i efikasno vođenje disciplinskih postupaka predstavljaju prioritet.</w:t>
      </w:r>
    </w:p>
    <w:p w14:paraId="1D2A74C5" w14:textId="65A6477C" w:rsidR="003F126B" w:rsidRPr="009A613C" w:rsidRDefault="003F126B" w:rsidP="00B83EB0">
      <w:pPr>
        <w:jc w:val="both"/>
      </w:pPr>
      <w:r>
        <w:t>Imajući u vidu identifikovane probleme u funkcionisanju sudskog vještačenja, neophodno je ove probleme sagledati u kontekstu uporednopravnih rješenja</w:t>
      </w:r>
      <w:r w:rsidR="00802A44">
        <w:t xml:space="preserve">, </w:t>
      </w:r>
      <w:r>
        <w:t>čime bi se započela sistemska intervencija u pravosuđu Crne Gore u ovoj oblasti.</w:t>
      </w:r>
    </w:p>
    <w:p w14:paraId="00F27E80" w14:textId="52B76FBF" w:rsidR="00D448ED" w:rsidRPr="009A613C" w:rsidRDefault="00D448ED" w:rsidP="00D448ED">
      <w:pPr>
        <w:jc w:val="center"/>
      </w:pPr>
      <w:r w:rsidRPr="009A613C">
        <w:rPr>
          <w:i/>
          <w:iCs/>
          <w:sz w:val="20"/>
          <w:szCs w:val="20"/>
        </w:rPr>
        <w:t xml:space="preserve">Tabela </w:t>
      </w:r>
      <w:r w:rsidR="00714363">
        <w:rPr>
          <w:i/>
          <w:iCs/>
          <w:sz w:val="20"/>
          <w:szCs w:val="20"/>
        </w:rPr>
        <w:t>9</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1.7</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374873" w:rsidRPr="009A613C" w14:paraId="46ECC6D1" w14:textId="77777777" w:rsidTr="00BE13A3">
        <w:trPr>
          <w:trHeight w:val="575"/>
        </w:trPr>
        <w:tc>
          <w:tcPr>
            <w:tcW w:w="1250" w:type="pct"/>
            <w:tcBorders>
              <w:top w:val="double" w:sz="4" w:space="0" w:color="auto"/>
            </w:tcBorders>
            <w:shd w:val="clear" w:color="auto" w:fill="FBE4D5" w:themeFill="accent2" w:themeFillTint="33"/>
          </w:tcPr>
          <w:p w14:paraId="033D9A85" w14:textId="77777777" w:rsidR="00374873" w:rsidRPr="009A613C" w:rsidRDefault="00374873" w:rsidP="00BE13A3">
            <w:pPr>
              <w:rPr>
                <w:rFonts w:cstheme="minorHAnsi"/>
              </w:rPr>
            </w:pPr>
            <w:r w:rsidRPr="009A613C">
              <w:rPr>
                <w:rFonts w:cstheme="minorHAnsi"/>
              </w:rPr>
              <w:t xml:space="preserve">Operativni </w:t>
            </w:r>
          </w:p>
          <w:p w14:paraId="6D5DA0E7" w14:textId="77777777" w:rsidR="00374873" w:rsidRPr="009A613C" w:rsidRDefault="00374873"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3BF2ADCA" w14:textId="77777777" w:rsidR="00374873" w:rsidRPr="009A613C" w:rsidRDefault="00374873"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6AC222ED" w14:textId="77777777" w:rsidR="00374873" w:rsidRDefault="00374873" w:rsidP="00BE13A3">
            <w:pPr>
              <w:rPr>
                <w:rFonts w:cstheme="minorHAnsi"/>
              </w:rPr>
            </w:pPr>
            <w:r w:rsidRPr="009A613C">
              <w:rPr>
                <w:rFonts w:cstheme="minorHAnsi"/>
              </w:rPr>
              <w:t>Početna vrijed</w:t>
            </w:r>
            <w:r w:rsidR="00426BE3" w:rsidRPr="009A613C">
              <w:rPr>
                <w:rFonts w:cstheme="minorHAnsi"/>
              </w:rPr>
              <w:t>n</w:t>
            </w:r>
            <w:r w:rsidRPr="009A613C">
              <w:rPr>
                <w:rFonts w:cstheme="minorHAnsi"/>
              </w:rPr>
              <w:t>ost</w:t>
            </w:r>
          </w:p>
          <w:p w14:paraId="6801F021" w14:textId="57697AA7" w:rsidR="004802D4" w:rsidRPr="009A613C" w:rsidRDefault="004802D4"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2D660259" w14:textId="77777777" w:rsidR="00374873" w:rsidRPr="009A613C" w:rsidRDefault="00374873"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3D74DA70" w14:textId="77777777" w:rsidR="00374873" w:rsidRPr="009A613C" w:rsidRDefault="00374873" w:rsidP="00BE13A3">
            <w:pPr>
              <w:rPr>
                <w:rFonts w:cstheme="minorHAnsi"/>
              </w:rPr>
            </w:pPr>
            <w:r w:rsidRPr="009A613C">
              <w:rPr>
                <w:rFonts w:cstheme="minorHAnsi"/>
              </w:rPr>
              <w:t>Ciljana vrijednost 2027.</w:t>
            </w:r>
          </w:p>
        </w:tc>
      </w:tr>
      <w:tr w:rsidR="00374873" w:rsidRPr="009A613C" w14:paraId="1227EF44" w14:textId="77777777" w:rsidTr="00BE13A3">
        <w:trPr>
          <w:trHeight w:val="254"/>
        </w:trPr>
        <w:tc>
          <w:tcPr>
            <w:tcW w:w="1250" w:type="pct"/>
            <w:vMerge w:val="restart"/>
            <w:tcBorders>
              <w:top w:val="double" w:sz="4" w:space="0" w:color="auto"/>
            </w:tcBorders>
            <w:shd w:val="clear" w:color="auto" w:fill="E2EFD9" w:themeFill="accent6" w:themeFillTint="33"/>
          </w:tcPr>
          <w:p w14:paraId="319E62FD" w14:textId="784C5322" w:rsidR="00374873" w:rsidRPr="009A613C" w:rsidRDefault="008808A5" w:rsidP="008808A5">
            <w:pPr>
              <w:rPr>
                <w:rFonts w:cstheme="minorHAnsi"/>
              </w:rPr>
            </w:pPr>
            <w:r w:rsidRPr="009A613C">
              <w:rPr>
                <w:rFonts w:cstheme="minorHAnsi"/>
              </w:rPr>
              <w:t>1.</w:t>
            </w:r>
            <w:r w:rsidR="00714363">
              <w:rPr>
                <w:rFonts w:cstheme="minorHAnsi"/>
              </w:rPr>
              <w:t>7</w:t>
            </w:r>
            <w:r w:rsidR="003F681B">
              <w:rPr>
                <w:rFonts w:cstheme="minorHAnsi"/>
              </w:rPr>
              <w:t>.</w:t>
            </w:r>
          </w:p>
          <w:p w14:paraId="24484014" w14:textId="77777777" w:rsidR="00374873" w:rsidRPr="009A613C" w:rsidRDefault="00374873" w:rsidP="00BE13A3">
            <w:pPr>
              <w:rPr>
                <w:rFonts w:cstheme="minorHAnsi"/>
              </w:rPr>
            </w:pPr>
            <w:r w:rsidRPr="009A613C">
              <w:rPr>
                <w:rFonts w:cstheme="minorHAnsi"/>
              </w:rPr>
              <w:t>Jačanje sistema disciplinske odgovornosti pravosudnih profesija</w:t>
            </w:r>
          </w:p>
          <w:p w14:paraId="02CF13A4" w14:textId="77777777" w:rsidR="00374873" w:rsidRPr="009A613C" w:rsidRDefault="00374873"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5D311BEB" w14:textId="4E969159" w:rsidR="00374873" w:rsidRPr="009A613C" w:rsidRDefault="0031106B" w:rsidP="006A6617">
            <w:pPr>
              <w:shd w:val="clear" w:color="auto" w:fill="FFFFFF" w:themeFill="background1"/>
              <w:spacing w:after="240"/>
              <w:jc w:val="both"/>
              <w:rPr>
                <w:rFonts w:cstheme="minorHAnsi"/>
              </w:rPr>
            </w:pPr>
            <w:r>
              <w:rPr>
                <w:rFonts w:cstheme="minorHAnsi"/>
              </w:rPr>
              <w:t xml:space="preserve">% notarskih kancelarija </w:t>
            </w:r>
            <w:r w:rsidRPr="009A613C">
              <w:rPr>
                <w:rFonts w:cstheme="minorHAnsi"/>
              </w:rPr>
              <w:t>nad</w:t>
            </w:r>
            <w:r>
              <w:rPr>
                <w:rFonts w:cstheme="minorHAnsi"/>
              </w:rPr>
              <w:t xml:space="preserve"> kojima je </w:t>
            </w:r>
            <w:r>
              <w:rPr>
                <w:rFonts w:cstheme="minorHAnsi"/>
                <w:lang w:val="en-GB"/>
              </w:rPr>
              <w:t>izvr</w:t>
            </w:r>
            <w:r w:rsidRPr="00F52006">
              <w:rPr>
                <w:rFonts w:cstheme="minorHAnsi"/>
              </w:rPr>
              <w:t>š</w:t>
            </w:r>
            <w:r>
              <w:rPr>
                <w:rFonts w:cstheme="minorHAnsi"/>
                <w:lang w:val="en-GB"/>
              </w:rPr>
              <w:t>en</w:t>
            </w:r>
            <w:r w:rsidRPr="00F52006">
              <w:rPr>
                <w:rFonts w:cstheme="minorHAnsi"/>
              </w:rPr>
              <w:t xml:space="preserve"> </w:t>
            </w:r>
            <w:r>
              <w:rPr>
                <w:rFonts w:cstheme="minorHAnsi"/>
              </w:rPr>
              <w:t>nadzor</w:t>
            </w:r>
            <w:r w:rsidR="00374873" w:rsidRPr="009A613C">
              <w:rPr>
                <w:rFonts w:cstheme="minorHAnsi"/>
              </w:rPr>
              <w:t xml:space="preserve"> od strane Notarske komore (na godišnjem nivou)</w:t>
            </w:r>
          </w:p>
        </w:tc>
        <w:tc>
          <w:tcPr>
            <w:tcW w:w="625" w:type="pct"/>
            <w:tcBorders>
              <w:top w:val="double" w:sz="4" w:space="0" w:color="auto"/>
              <w:bottom w:val="double" w:sz="4" w:space="0" w:color="auto"/>
            </w:tcBorders>
            <w:shd w:val="clear" w:color="auto" w:fill="FFFFFF" w:themeFill="background1"/>
          </w:tcPr>
          <w:p w14:paraId="4009000F" w14:textId="37114188" w:rsidR="00374873" w:rsidRPr="009A613C" w:rsidRDefault="0031106B" w:rsidP="00F46300">
            <w:pPr>
              <w:shd w:val="clear" w:color="auto" w:fill="FFFFFF" w:themeFill="background1"/>
              <w:jc w:val="center"/>
              <w:rPr>
                <w:rFonts w:cstheme="minorHAnsi"/>
              </w:rPr>
            </w:pPr>
            <w:r>
              <w:rPr>
                <w:rFonts w:cstheme="minorHAnsi"/>
              </w:rPr>
              <w:t>10</w:t>
            </w:r>
            <w:r w:rsidR="00374873" w:rsidRPr="009A613C">
              <w:rPr>
                <w:rFonts w:cstheme="minorHAnsi"/>
              </w:rPr>
              <w:t>0</w:t>
            </w:r>
            <w:r w:rsidR="00802A44">
              <w:rPr>
                <w:rFonts w:cstheme="minorHAnsi"/>
              </w:rPr>
              <w:t>%</w:t>
            </w:r>
          </w:p>
        </w:tc>
        <w:tc>
          <w:tcPr>
            <w:tcW w:w="625" w:type="pct"/>
            <w:tcBorders>
              <w:top w:val="double" w:sz="4" w:space="0" w:color="auto"/>
              <w:bottom w:val="double" w:sz="4" w:space="0" w:color="auto"/>
            </w:tcBorders>
            <w:shd w:val="clear" w:color="auto" w:fill="FFFFFF" w:themeFill="background1"/>
          </w:tcPr>
          <w:p w14:paraId="34540954" w14:textId="61DC7314" w:rsidR="00374873" w:rsidRPr="009A613C" w:rsidRDefault="0031106B" w:rsidP="00F46300">
            <w:pPr>
              <w:shd w:val="clear" w:color="auto" w:fill="FFFFFF" w:themeFill="background1"/>
              <w:jc w:val="center"/>
              <w:rPr>
                <w:rFonts w:cstheme="minorHAnsi"/>
              </w:rPr>
            </w:pPr>
            <w:r>
              <w:rPr>
                <w:rFonts w:cstheme="minorHAnsi"/>
              </w:rPr>
              <w:t>100%</w:t>
            </w:r>
          </w:p>
        </w:tc>
        <w:tc>
          <w:tcPr>
            <w:tcW w:w="625" w:type="pct"/>
            <w:tcBorders>
              <w:top w:val="double" w:sz="4" w:space="0" w:color="auto"/>
              <w:bottom w:val="double" w:sz="4" w:space="0" w:color="auto"/>
              <w:right w:val="double" w:sz="4" w:space="0" w:color="auto"/>
            </w:tcBorders>
            <w:shd w:val="clear" w:color="auto" w:fill="FFFFFF" w:themeFill="background1"/>
          </w:tcPr>
          <w:p w14:paraId="16F6B91B" w14:textId="7326DD2F" w:rsidR="00374873" w:rsidRPr="009A613C" w:rsidRDefault="0031106B" w:rsidP="00F46300">
            <w:pPr>
              <w:shd w:val="clear" w:color="auto" w:fill="FFFFFF" w:themeFill="background1"/>
              <w:jc w:val="center"/>
              <w:rPr>
                <w:rFonts w:cstheme="minorHAnsi"/>
              </w:rPr>
            </w:pPr>
            <w:r>
              <w:rPr>
                <w:rFonts w:cstheme="minorHAnsi"/>
              </w:rPr>
              <w:t>100%</w:t>
            </w:r>
          </w:p>
        </w:tc>
      </w:tr>
      <w:tr w:rsidR="00374873" w:rsidRPr="009A613C" w14:paraId="47B3E907" w14:textId="77777777" w:rsidTr="00BE13A3">
        <w:trPr>
          <w:trHeight w:val="254"/>
        </w:trPr>
        <w:tc>
          <w:tcPr>
            <w:tcW w:w="1250" w:type="pct"/>
            <w:vMerge/>
            <w:tcBorders>
              <w:top w:val="double" w:sz="4" w:space="0" w:color="auto"/>
            </w:tcBorders>
            <w:shd w:val="clear" w:color="auto" w:fill="E2EFD9" w:themeFill="accent6" w:themeFillTint="33"/>
          </w:tcPr>
          <w:p w14:paraId="2112CEDC" w14:textId="77777777" w:rsidR="00374873" w:rsidRPr="009A613C" w:rsidRDefault="00374873">
            <w:pPr>
              <w:pStyle w:val="ListParagraph"/>
              <w:numPr>
                <w:ilvl w:val="1"/>
                <w:numId w:val="5"/>
              </w:numPr>
              <w:rPr>
                <w:rFonts w:cstheme="minorHAnsi"/>
              </w:rPr>
            </w:pPr>
          </w:p>
        </w:tc>
        <w:tc>
          <w:tcPr>
            <w:tcW w:w="1875" w:type="pct"/>
            <w:tcBorders>
              <w:top w:val="double" w:sz="4" w:space="0" w:color="auto"/>
              <w:bottom w:val="double" w:sz="4" w:space="0" w:color="auto"/>
            </w:tcBorders>
            <w:shd w:val="clear" w:color="auto" w:fill="FFFFFF" w:themeFill="background1"/>
          </w:tcPr>
          <w:p w14:paraId="69968883" w14:textId="11C967BA" w:rsidR="00374873" w:rsidRPr="009A613C" w:rsidRDefault="0031106B" w:rsidP="006A6617">
            <w:pPr>
              <w:shd w:val="clear" w:color="auto" w:fill="FFFFFF" w:themeFill="background1"/>
              <w:spacing w:after="240"/>
              <w:jc w:val="both"/>
              <w:rPr>
                <w:rFonts w:cstheme="minorHAnsi"/>
              </w:rPr>
            </w:pPr>
            <w:r>
              <w:rPr>
                <w:rFonts w:cstheme="minorHAnsi"/>
              </w:rPr>
              <w:t xml:space="preserve">% notarskih kancelarija </w:t>
            </w:r>
            <w:r w:rsidR="00374873" w:rsidRPr="009A613C">
              <w:rPr>
                <w:rFonts w:cstheme="minorHAnsi"/>
              </w:rPr>
              <w:t>nad</w:t>
            </w:r>
            <w:r>
              <w:rPr>
                <w:rFonts w:cstheme="minorHAnsi"/>
              </w:rPr>
              <w:t xml:space="preserve"> kojima je </w:t>
            </w:r>
            <w:r>
              <w:rPr>
                <w:rFonts w:cstheme="minorHAnsi"/>
                <w:lang w:val="en-GB"/>
              </w:rPr>
              <w:t>izvr</w:t>
            </w:r>
            <w:r w:rsidRPr="00F5656C">
              <w:rPr>
                <w:rFonts w:cstheme="minorHAnsi"/>
              </w:rPr>
              <w:t>š</w:t>
            </w:r>
            <w:r>
              <w:rPr>
                <w:rFonts w:cstheme="minorHAnsi"/>
                <w:lang w:val="en-GB"/>
              </w:rPr>
              <w:t>en</w:t>
            </w:r>
            <w:r w:rsidRPr="00F5656C">
              <w:rPr>
                <w:rFonts w:cstheme="minorHAnsi"/>
              </w:rPr>
              <w:t xml:space="preserve"> </w:t>
            </w:r>
            <w:r>
              <w:rPr>
                <w:rFonts w:cstheme="minorHAnsi"/>
              </w:rPr>
              <w:t>nadzor</w:t>
            </w:r>
            <w:r w:rsidR="00374873" w:rsidRPr="009A613C">
              <w:rPr>
                <w:rFonts w:cstheme="minorHAnsi"/>
              </w:rPr>
              <w:t xml:space="preserve"> od strane pravosudnih inspektora (na godišnjem nivou)</w:t>
            </w:r>
          </w:p>
        </w:tc>
        <w:tc>
          <w:tcPr>
            <w:tcW w:w="625" w:type="pct"/>
            <w:tcBorders>
              <w:top w:val="double" w:sz="4" w:space="0" w:color="auto"/>
              <w:bottom w:val="double" w:sz="4" w:space="0" w:color="auto"/>
            </w:tcBorders>
            <w:shd w:val="clear" w:color="auto" w:fill="FFFFFF" w:themeFill="background1"/>
          </w:tcPr>
          <w:p w14:paraId="4F000B71" w14:textId="68A6EBAF" w:rsidR="00374873" w:rsidRPr="009A613C" w:rsidRDefault="0031106B" w:rsidP="00F46300">
            <w:pPr>
              <w:shd w:val="clear" w:color="auto" w:fill="FFFFFF" w:themeFill="background1"/>
              <w:jc w:val="center"/>
              <w:rPr>
                <w:rFonts w:cstheme="minorHAnsi"/>
              </w:rPr>
            </w:pPr>
            <w:r>
              <w:rPr>
                <w:rFonts w:cstheme="minorHAnsi"/>
              </w:rPr>
              <w:t>60%</w:t>
            </w:r>
          </w:p>
        </w:tc>
        <w:tc>
          <w:tcPr>
            <w:tcW w:w="625" w:type="pct"/>
            <w:tcBorders>
              <w:top w:val="double" w:sz="4" w:space="0" w:color="auto"/>
              <w:bottom w:val="double" w:sz="4" w:space="0" w:color="auto"/>
            </w:tcBorders>
            <w:shd w:val="clear" w:color="auto" w:fill="FFFFFF" w:themeFill="background1"/>
          </w:tcPr>
          <w:p w14:paraId="4FC3BF92" w14:textId="051D606C" w:rsidR="00374873" w:rsidRPr="00F5656C" w:rsidRDefault="0031106B" w:rsidP="00BE13A3">
            <w:pPr>
              <w:shd w:val="clear" w:color="auto" w:fill="FFFFFF" w:themeFill="background1"/>
              <w:jc w:val="center"/>
              <w:rPr>
                <w:rFonts w:cstheme="minorHAnsi"/>
              </w:rPr>
            </w:pPr>
            <w:r>
              <w:rPr>
                <w:rFonts w:cstheme="minorHAnsi"/>
              </w:rPr>
              <w:t>7</w:t>
            </w:r>
            <w:r w:rsidRPr="00F5656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239935DB" w14:textId="4735260D" w:rsidR="00374873" w:rsidRPr="00F5656C" w:rsidRDefault="0031106B" w:rsidP="00BE13A3">
            <w:pPr>
              <w:shd w:val="clear" w:color="auto" w:fill="FFFFFF" w:themeFill="background1"/>
              <w:jc w:val="center"/>
              <w:rPr>
                <w:rFonts w:cstheme="minorHAnsi"/>
              </w:rPr>
            </w:pPr>
            <w:r w:rsidRPr="00F5656C">
              <w:rPr>
                <w:rFonts w:cstheme="minorHAnsi"/>
              </w:rPr>
              <w:t>100%</w:t>
            </w:r>
          </w:p>
        </w:tc>
      </w:tr>
      <w:tr w:rsidR="00C56747" w:rsidRPr="009A613C" w14:paraId="15BC79F5" w14:textId="77777777" w:rsidTr="00BE13A3">
        <w:trPr>
          <w:trHeight w:val="254"/>
        </w:trPr>
        <w:tc>
          <w:tcPr>
            <w:tcW w:w="1250" w:type="pct"/>
            <w:vMerge/>
            <w:tcBorders>
              <w:top w:val="double" w:sz="4" w:space="0" w:color="auto"/>
            </w:tcBorders>
            <w:shd w:val="clear" w:color="auto" w:fill="E2EFD9" w:themeFill="accent6" w:themeFillTint="33"/>
          </w:tcPr>
          <w:p w14:paraId="265C5521" w14:textId="77777777" w:rsidR="00C56747" w:rsidRPr="009A613C" w:rsidRDefault="00C56747" w:rsidP="00C56747">
            <w:pPr>
              <w:pStyle w:val="ListParagraph"/>
              <w:numPr>
                <w:ilvl w:val="1"/>
                <w:numId w:val="5"/>
              </w:numPr>
              <w:rPr>
                <w:rFonts w:cstheme="minorHAnsi"/>
              </w:rPr>
            </w:pPr>
          </w:p>
        </w:tc>
        <w:tc>
          <w:tcPr>
            <w:tcW w:w="1875" w:type="pct"/>
            <w:tcBorders>
              <w:top w:val="double" w:sz="4" w:space="0" w:color="auto"/>
              <w:bottom w:val="double" w:sz="4" w:space="0" w:color="auto"/>
            </w:tcBorders>
            <w:shd w:val="clear" w:color="auto" w:fill="FFFFFF" w:themeFill="background1"/>
          </w:tcPr>
          <w:p w14:paraId="3F3A9AFF" w14:textId="13259F93" w:rsidR="00C56747" w:rsidRPr="00B119B4" w:rsidRDefault="00C56747" w:rsidP="00C56747">
            <w:pPr>
              <w:shd w:val="clear" w:color="auto" w:fill="FFFFFF" w:themeFill="background1"/>
              <w:spacing w:after="240"/>
              <w:jc w:val="both"/>
              <w:rPr>
                <w:rFonts w:cstheme="minorHAnsi"/>
              </w:rPr>
            </w:pPr>
            <w:r w:rsidRPr="00ED323C">
              <w:rPr>
                <w:rFonts w:cstheme="minorHAnsi"/>
              </w:rPr>
              <w:t>%  kancelarija javnih izvršitelja nad kojima je izvršen nadzor  od strane Komore javnih izvršitelja (na godišnjem nivou)</w:t>
            </w:r>
          </w:p>
        </w:tc>
        <w:tc>
          <w:tcPr>
            <w:tcW w:w="625" w:type="pct"/>
            <w:tcBorders>
              <w:top w:val="double" w:sz="4" w:space="0" w:color="auto"/>
              <w:bottom w:val="double" w:sz="4" w:space="0" w:color="auto"/>
            </w:tcBorders>
            <w:shd w:val="clear" w:color="auto" w:fill="FFFFFF" w:themeFill="background1"/>
          </w:tcPr>
          <w:p w14:paraId="4658F178" w14:textId="017796C2" w:rsidR="00C56747" w:rsidRPr="00B119B4" w:rsidRDefault="00C30FE9" w:rsidP="00C56747">
            <w:pPr>
              <w:shd w:val="clear" w:color="auto" w:fill="FFFFFF" w:themeFill="background1"/>
              <w:jc w:val="center"/>
              <w:rPr>
                <w:rFonts w:cstheme="minorHAnsi"/>
              </w:rPr>
            </w:pPr>
            <w:r>
              <w:rPr>
                <w:rFonts w:cstheme="minorHAnsi"/>
                <w:bCs/>
              </w:rPr>
              <w:t>0%</w:t>
            </w:r>
          </w:p>
        </w:tc>
        <w:tc>
          <w:tcPr>
            <w:tcW w:w="625" w:type="pct"/>
            <w:tcBorders>
              <w:top w:val="double" w:sz="4" w:space="0" w:color="auto"/>
              <w:bottom w:val="double" w:sz="4" w:space="0" w:color="auto"/>
            </w:tcBorders>
            <w:shd w:val="clear" w:color="auto" w:fill="FFFFFF" w:themeFill="background1"/>
          </w:tcPr>
          <w:p w14:paraId="5D345159" w14:textId="31CF3A6A" w:rsidR="00C56747" w:rsidRDefault="00C30FE9" w:rsidP="00C56747">
            <w:pPr>
              <w:shd w:val="clear" w:color="auto" w:fill="FFFFFF" w:themeFill="background1"/>
              <w:jc w:val="center"/>
              <w:rPr>
                <w:rFonts w:cstheme="minorHAnsi"/>
              </w:rPr>
            </w:pPr>
            <w:r>
              <w:rPr>
                <w:rFonts w:cstheme="minorHAnsi"/>
                <w:sz w:val="20"/>
                <w:szCs w:val="20"/>
              </w:rPr>
              <w:t>100</w:t>
            </w:r>
            <w:r w:rsidR="00EB01D2" w:rsidRPr="00ED323C">
              <w:rPr>
                <w:rFonts w:cstheme="minorHAnsi"/>
                <w:sz w:val="20"/>
                <w:szCs w:val="20"/>
              </w:rPr>
              <w:t>%</w:t>
            </w:r>
          </w:p>
        </w:tc>
        <w:tc>
          <w:tcPr>
            <w:tcW w:w="625" w:type="pct"/>
            <w:tcBorders>
              <w:top w:val="double" w:sz="4" w:space="0" w:color="auto"/>
              <w:bottom w:val="double" w:sz="4" w:space="0" w:color="auto"/>
              <w:right w:val="double" w:sz="4" w:space="0" w:color="auto"/>
            </w:tcBorders>
            <w:shd w:val="clear" w:color="auto" w:fill="FFFFFF" w:themeFill="background1"/>
          </w:tcPr>
          <w:p w14:paraId="3B21AB7C" w14:textId="20537994" w:rsidR="00C56747" w:rsidRPr="00F5656C" w:rsidRDefault="00C56747" w:rsidP="00C56747">
            <w:pPr>
              <w:shd w:val="clear" w:color="auto" w:fill="FFFFFF" w:themeFill="background1"/>
              <w:jc w:val="center"/>
              <w:rPr>
                <w:rFonts w:cstheme="minorHAnsi"/>
              </w:rPr>
            </w:pPr>
            <w:r>
              <w:rPr>
                <w:rFonts w:cstheme="minorHAnsi"/>
              </w:rPr>
              <w:t>100%</w:t>
            </w:r>
          </w:p>
        </w:tc>
      </w:tr>
      <w:tr w:rsidR="00374873" w:rsidRPr="009A613C" w14:paraId="4116A126" w14:textId="77777777" w:rsidTr="00BE13A3">
        <w:trPr>
          <w:trHeight w:val="254"/>
        </w:trPr>
        <w:tc>
          <w:tcPr>
            <w:tcW w:w="1250" w:type="pct"/>
            <w:vMerge/>
            <w:shd w:val="clear" w:color="auto" w:fill="E2EFD9" w:themeFill="accent6" w:themeFillTint="33"/>
          </w:tcPr>
          <w:p w14:paraId="5BFF7C8B" w14:textId="77777777" w:rsidR="00374873" w:rsidRPr="009A613C" w:rsidRDefault="00374873">
            <w:pPr>
              <w:pStyle w:val="ListParagraph"/>
              <w:numPr>
                <w:ilvl w:val="1"/>
                <w:numId w:val="5"/>
              </w:numPr>
              <w:rPr>
                <w:rFonts w:cstheme="minorHAnsi"/>
              </w:rPr>
            </w:pPr>
          </w:p>
        </w:tc>
        <w:tc>
          <w:tcPr>
            <w:tcW w:w="1875" w:type="pct"/>
            <w:tcBorders>
              <w:top w:val="double" w:sz="4" w:space="0" w:color="auto"/>
              <w:bottom w:val="double" w:sz="4" w:space="0" w:color="auto"/>
            </w:tcBorders>
            <w:shd w:val="clear" w:color="auto" w:fill="FFFFFF" w:themeFill="background1"/>
          </w:tcPr>
          <w:p w14:paraId="7359D9E1" w14:textId="69E9F2B0" w:rsidR="00374873" w:rsidRPr="009A613C" w:rsidRDefault="00C56747" w:rsidP="006A6617">
            <w:pPr>
              <w:shd w:val="clear" w:color="auto" w:fill="FFFFFF" w:themeFill="background1"/>
              <w:spacing w:after="240"/>
              <w:jc w:val="both"/>
              <w:rPr>
                <w:rFonts w:cstheme="minorHAnsi"/>
              </w:rPr>
            </w:pPr>
            <w:r>
              <w:rPr>
                <w:rFonts w:cstheme="minorHAnsi"/>
              </w:rPr>
              <w:t>%</w:t>
            </w:r>
            <w:r w:rsidR="00374873" w:rsidRPr="009A613C">
              <w:rPr>
                <w:rFonts w:cstheme="minorHAnsi"/>
              </w:rPr>
              <w:t xml:space="preserve"> izvršenih nadzora </w:t>
            </w:r>
            <w:r w:rsidR="00D674FF" w:rsidRPr="009A613C">
              <w:rPr>
                <w:rFonts w:cstheme="minorHAnsi"/>
              </w:rPr>
              <w:t>nad</w:t>
            </w:r>
            <w:r w:rsidR="00374873" w:rsidRPr="009A613C">
              <w:rPr>
                <w:rFonts w:cstheme="minorHAnsi"/>
              </w:rPr>
              <w:t xml:space="preserve"> kancelarijama javnih izvršitelja </w:t>
            </w:r>
            <w:r w:rsidR="000B1ABE">
              <w:rPr>
                <w:rFonts w:cstheme="minorHAnsi"/>
              </w:rPr>
              <w:t xml:space="preserve">od </w:t>
            </w:r>
            <w:r w:rsidR="000B1ABE">
              <w:rPr>
                <w:rFonts w:cstheme="minorHAnsi"/>
              </w:rPr>
              <w:lastRenderedPageBreak/>
              <w:t xml:space="preserve">strane pravosudnih inspektora </w:t>
            </w:r>
            <w:r w:rsidR="00374873" w:rsidRPr="009A613C">
              <w:rPr>
                <w:rFonts w:cstheme="minorHAnsi"/>
              </w:rPr>
              <w:t>(na godišnjem nivou)</w:t>
            </w:r>
          </w:p>
        </w:tc>
        <w:tc>
          <w:tcPr>
            <w:tcW w:w="625" w:type="pct"/>
            <w:tcBorders>
              <w:top w:val="double" w:sz="4" w:space="0" w:color="auto"/>
              <w:bottom w:val="double" w:sz="4" w:space="0" w:color="auto"/>
            </w:tcBorders>
            <w:shd w:val="clear" w:color="auto" w:fill="FFFFFF" w:themeFill="background1"/>
          </w:tcPr>
          <w:p w14:paraId="59087077" w14:textId="5521DAA3" w:rsidR="00374873" w:rsidRPr="009A613C" w:rsidRDefault="0031106B" w:rsidP="000B1ABE">
            <w:pPr>
              <w:shd w:val="clear" w:color="auto" w:fill="FFFFFF" w:themeFill="background1"/>
              <w:jc w:val="center"/>
              <w:rPr>
                <w:rFonts w:cstheme="minorHAnsi"/>
              </w:rPr>
            </w:pPr>
            <w:r>
              <w:rPr>
                <w:rFonts w:cstheme="minorHAnsi"/>
              </w:rPr>
              <w:lastRenderedPageBreak/>
              <w:t>89%</w:t>
            </w:r>
          </w:p>
        </w:tc>
        <w:tc>
          <w:tcPr>
            <w:tcW w:w="625" w:type="pct"/>
            <w:tcBorders>
              <w:top w:val="double" w:sz="4" w:space="0" w:color="auto"/>
              <w:bottom w:val="double" w:sz="4" w:space="0" w:color="auto"/>
            </w:tcBorders>
            <w:shd w:val="clear" w:color="auto" w:fill="FFFFFF" w:themeFill="background1"/>
          </w:tcPr>
          <w:p w14:paraId="33CF7C71" w14:textId="712F0B64" w:rsidR="00374873" w:rsidRPr="009A613C" w:rsidRDefault="0031106B" w:rsidP="00BE13A3">
            <w:pPr>
              <w:shd w:val="clear" w:color="auto" w:fill="FFFFFF" w:themeFill="background1"/>
              <w:jc w:val="center"/>
              <w:rPr>
                <w:rFonts w:cstheme="minorHAnsi"/>
              </w:rPr>
            </w:pPr>
            <w:r>
              <w:rPr>
                <w:rFonts w:cstheme="minorHAnsi"/>
              </w:rPr>
              <w:t>95%</w:t>
            </w:r>
          </w:p>
        </w:tc>
        <w:tc>
          <w:tcPr>
            <w:tcW w:w="625" w:type="pct"/>
            <w:tcBorders>
              <w:top w:val="double" w:sz="4" w:space="0" w:color="auto"/>
              <w:bottom w:val="double" w:sz="4" w:space="0" w:color="auto"/>
              <w:right w:val="double" w:sz="4" w:space="0" w:color="auto"/>
            </w:tcBorders>
            <w:shd w:val="clear" w:color="auto" w:fill="FFFFFF" w:themeFill="background1"/>
          </w:tcPr>
          <w:p w14:paraId="39E5D484" w14:textId="1EC7E79A" w:rsidR="00374873" w:rsidRPr="009A613C" w:rsidRDefault="0031106B" w:rsidP="00BE13A3">
            <w:pPr>
              <w:shd w:val="clear" w:color="auto" w:fill="FFFFFF" w:themeFill="background1"/>
              <w:jc w:val="center"/>
              <w:rPr>
                <w:rFonts w:cstheme="minorHAnsi"/>
              </w:rPr>
            </w:pPr>
            <w:r>
              <w:rPr>
                <w:rFonts w:cstheme="minorHAnsi"/>
              </w:rPr>
              <w:t>100%</w:t>
            </w:r>
          </w:p>
        </w:tc>
      </w:tr>
      <w:tr w:rsidR="00374873" w:rsidRPr="009A613C" w14:paraId="052E9F7F" w14:textId="77777777" w:rsidTr="00BE13A3">
        <w:trPr>
          <w:trHeight w:val="254"/>
        </w:trPr>
        <w:tc>
          <w:tcPr>
            <w:tcW w:w="1250" w:type="pct"/>
            <w:vMerge/>
            <w:tcBorders>
              <w:bottom w:val="double" w:sz="4" w:space="0" w:color="auto"/>
            </w:tcBorders>
            <w:shd w:val="clear" w:color="auto" w:fill="E2EFD9" w:themeFill="accent6" w:themeFillTint="33"/>
          </w:tcPr>
          <w:p w14:paraId="1C30F670" w14:textId="77777777" w:rsidR="00374873" w:rsidRPr="009A613C" w:rsidRDefault="00374873">
            <w:pPr>
              <w:pStyle w:val="ListParagraph"/>
              <w:numPr>
                <w:ilvl w:val="1"/>
                <w:numId w:val="5"/>
              </w:numPr>
              <w:rPr>
                <w:rFonts w:cstheme="minorHAnsi"/>
              </w:rPr>
            </w:pPr>
          </w:p>
        </w:tc>
        <w:tc>
          <w:tcPr>
            <w:tcW w:w="1875" w:type="pct"/>
            <w:tcBorders>
              <w:top w:val="double" w:sz="4" w:space="0" w:color="auto"/>
              <w:bottom w:val="double" w:sz="4" w:space="0" w:color="auto"/>
            </w:tcBorders>
            <w:shd w:val="clear" w:color="auto" w:fill="FFFFFF" w:themeFill="background1"/>
          </w:tcPr>
          <w:p w14:paraId="1D6AF30B" w14:textId="5982C7F3" w:rsidR="00374873" w:rsidRPr="009A613C" w:rsidRDefault="001270BD" w:rsidP="006A6617">
            <w:pPr>
              <w:shd w:val="clear" w:color="auto" w:fill="FFFFFF" w:themeFill="background1"/>
              <w:spacing w:after="240"/>
              <w:jc w:val="both"/>
              <w:rPr>
                <w:rFonts w:cstheme="minorHAnsi"/>
              </w:rPr>
            </w:pPr>
            <w:r>
              <w:rPr>
                <w:rFonts w:cstheme="minorHAnsi"/>
              </w:rPr>
              <w:t>%</w:t>
            </w:r>
            <w:r w:rsidR="00374873" w:rsidRPr="009A613C">
              <w:rPr>
                <w:rFonts w:cstheme="minorHAnsi"/>
              </w:rPr>
              <w:t xml:space="preserve"> okončanih disciplinskih postupaka prema advokatima pr</w:t>
            </w:r>
            <w:r w:rsidR="00802A44">
              <w:rPr>
                <w:rFonts w:cstheme="minorHAnsi"/>
              </w:rPr>
              <w:t>ij</w:t>
            </w:r>
            <w:r w:rsidR="00374873" w:rsidRPr="009A613C">
              <w:rPr>
                <w:rFonts w:cstheme="minorHAnsi"/>
              </w:rPr>
              <w:t xml:space="preserve">e nastupanja </w:t>
            </w:r>
            <w:r w:rsidR="00D674FF" w:rsidRPr="009A613C">
              <w:rPr>
                <w:rFonts w:cstheme="minorHAnsi"/>
              </w:rPr>
              <w:t>zastarjelosti</w:t>
            </w:r>
            <w:r w:rsidR="00374873" w:rsidRPr="009A613C">
              <w:rPr>
                <w:rFonts w:cstheme="minorHAnsi"/>
              </w:rPr>
              <w:t xml:space="preserve"> (na godišnjem nivou)</w:t>
            </w:r>
          </w:p>
        </w:tc>
        <w:tc>
          <w:tcPr>
            <w:tcW w:w="625" w:type="pct"/>
            <w:tcBorders>
              <w:top w:val="double" w:sz="4" w:space="0" w:color="auto"/>
              <w:bottom w:val="double" w:sz="4" w:space="0" w:color="auto"/>
            </w:tcBorders>
            <w:shd w:val="clear" w:color="auto" w:fill="FFFFFF" w:themeFill="background1"/>
          </w:tcPr>
          <w:p w14:paraId="2AFAA3FF" w14:textId="762DD0FF" w:rsidR="00374873" w:rsidRPr="009A613C" w:rsidRDefault="006D2DA0" w:rsidP="00F5656C">
            <w:pPr>
              <w:shd w:val="clear" w:color="auto" w:fill="FFFFFF" w:themeFill="background1"/>
              <w:jc w:val="center"/>
              <w:rPr>
                <w:rFonts w:cstheme="minorHAnsi"/>
              </w:rPr>
            </w:pPr>
            <w:r>
              <w:rPr>
                <w:rFonts w:cstheme="minorHAnsi"/>
              </w:rPr>
              <w:t>100%</w:t>
            </w:r>
          </w:p>
        </w:tc>
        <w:tc>
          <w:tcPr>
            <w:tcW w:w="625" w:type="pct"/>
            <w:tcBorders>
              <w:top w:val="double" w:sz="4" w:space="0" w:color="auto"/>
              <w:bottom w:val="double" w:sz="4" w:space="0" w:color="auto"/>
            </w:tcBorders>
            <w:shd w:val="clear" w:color="auto" w:fill="FFFFFF" w:themeFill="background1"/>
          </w:tcPr>
          <w:p w14:paraId="6C722D8C" w14:textId="2A4FDC72" w:rsidR="00374873" w:rsidRPr="009A613C" w:rsidRDefault="006D2DA0" w:rsidP="00BE13A3">
            <w:pPr>
              <w:shd w:val="clear" w:color="auto" w:fill="FFFFFF" w:themeFill="background1"/>
              <w:jc w:val="center"/>
              <w:rPr>
                <w:rFonts w:cstheme="minorHAnsi"/>
              </w:rPr>
            </w:pPr>
            <w:r>
              <w:rPr>
                <w:rFonts w:cstheme="minorHAnsi"/>
              </w:rPr>
              <w:t>100%</w:t>
            </w:r>
          </w:p>
        </w:tc>
        <w:tc>
          <w:tcPr>
            <w:tcW w:w="625" w:type="pct"/>
            <w:tcBorders>
              <w:top w:val="double" w:sz="4" w:space="0" w:color="auto"/>
              <w:bottom w:val="double" w:sz="4" w:space="0" w:color="auto"/>
              <w:right w:val="double" w:sz="4" w:space="0" w:color="auto"/>
            </w:tcBorders>
            <w:shd w:val="clear" w:color="auto" w:fill="FFFFFF" w:themeFill="background1"/>
          </w:tcPr>
          <w:p w14:paraId="734A51BC" w14:textId="5F768B69" w:rsidR="00374873" w:rsidRPr="009A613C" w:rsidRDefault="006D2DA0" w:rsidP="00BE13A3">
            <w:pPr>
              <w:shd w:val="clear" w:color="auto" w:fill="FFFFFF" w:themeFill="background1"/>
              <w:jc w:val="center"/>
              <w:rPr>
                <w:rFonts w:cstheme="minorHAnsi"/>
              </w:rPr>
            </w:pPr>
            <w:r>
              <w:rPr>
                <w:rFonts w:cstheme="minorHAnsi"/>
              </w:rPr>
              <w:t>100%</w:t>
            </w:r>
          </w:p>
        </w:tc>
      </w:tr>
    </w:tbl>
    <w:p w14:paraId="08053ED7" w14:textId="4C2A6051" w:rsidR="004F6A83" w:rsidRDefault="004F6A83" w:rsidP="004F6A83"/>
    <w:p w14:paraId="10BDE1FD" w14:textId="77777777" w:rsidR="00802A44" w:rsidRPr="009A613C" w:rsidRDefault="00802A44" w:rsidP="004F6A83"/>
    <w:p w14:paraId="4C486C30" w14:textId="752E27CC" w:rsidR="004F6A83" w:rsidRPr="009A613C" w:rsidRDefault="0025255B">
      <w:pPr>
        <w:pStyle w:val="Heading2"/>
        <w:numPr>
          <w:ilvl w:val="0"/>
          <w:numId w:val="5"/>
        </w:numPr>
        <w:spacing w:after="240"/>
        <w:jc w:val="center"/>
      </w:pPr>
      <w:bookmarkStart w:id="34" w:name="_Toc156937962"/>
      <w:r w:rsidRPr="009A613C">
        <w:t>Unaprjeđ</w:t>
      </w:r>
      <w:r w:rsidR="004F6A83" w:rsidRPr="009A613C">
        <w:t>enje stručnosti i efikasnosti pravosuđa</w:t>
      </w:r>
      <w:bookmarkEnd w:id="34"/>
    </w:p>
    <w:p w14:paraId="2352D3C2" w14:textId="093DA9B8" w:rsidR="00704439" w:rsidRPr="009A613C" w:rsidRDefault="00704439" w:rsidP="00704439">
      <w:pPr>
        <w:jc w:val="both"/>
      </w:pPr>
      <w:r w:rsidRPr="009A613C">
        <w:t>Analizom trenutnog stanja i uočavanjem ključnih problema u reformi pravosuđa tokom primjene prethodne SRP 2019-2022. definisan je strateški cilj 2</w:t>
      </w:r>
      <w:r w:rsidR="00802A44">
        <w:t>,</w:t>
      </w:r>
      <w:r w:rsidRPr="009A613C">
        <w:t xml:space="preserve"> kao i set operativnih ciljeva za dostizanje tog strateškog cilja.</w:t>
      </w:r>
    </w:p>
    <w:p w14:paraId="010E795F" w14:textId="1DA4B5A9" w:rsidR="00704439" w:rsidRDefault="00704439" w:rsidP="00704439">
      <w:pPr>
        <w:jc w:val="both"/>
      </w:pPr>
      <w:r w:rsidRPr="009A613C">
        <w:t>Napredak ostvaren u pogledu dostizanja Strateškog cilja 2 biće mjeren putem seta pokazatelja (indikatora) uticaja.</w:t>
      </w:r>
    </w:p>
    <w:p w14:paraId="5DC0E552" w14:textId="77777777" w:rsidR="00802A44" w:rsidRPr="009A613C" w:rsidRDefault="00802A44" w:rsidP="00704439">
      <w:pPr>
        <w:jc w:val="both"/>
      </w:pPr>
    </w:p>
    <w:p w14:paraId="52D39871" w14:textId="37484D43" w:rsidR="00374873" w:rsidRPr="009A613C" w:rsidRDefault="00D448ED" w:rsidP="00D448ED">
      <w:pPr>
        <w:jc w:val="center"/>
      </w:pPr>
      <w:r w:rsidRPr="009A613C">
        <w:rPr>
          <w:i/>
          <w:iCs/>
          <w:sz w:val="20"/>
          <w:szCs w:val="20"/>
        </w:rPr>
        <w:t xml:space="preserve">Tabela </w:t>
      </w:r>
      <w:r w:rsidR="00714363">
        <w:rPr>
          <w:i/>
          <w:iCs/>
          <w:sz w:val="20"/>
          <w:szCs w:val="20"/>
        </w:rPr>
        <w:t>10</w:t>
      </w:r>
      <w:r w:rsidRPr="009A613C">
        <w:rPr>
          <w:i/>
          <w:iCs/>
          <w:sz w:val="20"/>
          <w:szCs w:val="20"/>
        </w:rPr>
        <w:t>:</w:t>
      </w:r>
      <w:r w:rsidR="00714363">
        <w:rPr>
          <w:i/>
          <w:iCs/>
          <w:sz w:val="20"/>
          <w:szCs w:val="20"/>
        </w:rPr>
        <w:t xml:space="preserve"> Indikatori realizacije Strateškog cilja 2</w:t>
      </w: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374873" w:rsidRPr="009A613C" w14:paraId="716B74CD" w14:textId="77777777" w:rsidTr="00610D06">
        <w:trPr>
          <w:trHeight w:val="575"/>
        </w:trPr>
        <w:tc>
          <w:tcPr>
            <w:tcW w:w="5000" w:type="pct"/>
            <w:gridSpan w:val="4"/>
            <w:tcBorders>
              <w:top w:val="double" w:sz="4" w:space="0" w:color="auto"/>
              <w:right w:val="double" w:sz="4" w:space="0" w:color="auto"/>
            </w:tcBorders>
            <w:shd w:val="clear" w:color="auto" w:fill="D9E2F3" w:themeFill="accent1" w:themeFillTint="33"/>
          </w:tcPr>
          <w:p w14:paraId="0DEB5EA9" w14:textId="68017002" w:rsidR="00374873" w:rsidRPr="009A613C" w:rsidRDefault="00374873" w:rsidP="00BE13A3">
            <w:pPr>
              <w:rPr>
                <w:rFonts w:cstheme="minorHAnsi"/>
                <w:b/>
                <w:bCs/>
              </w:rPr>
            </w:pPr>
            <w:r w:rsidRPr="009A613C">
              <w:rPr>
                <w:rFonts w:cstheme="minorHAnsi"/>
                <w:b/>
                <w:bCs/>
              </w:rPr>
              <w:t>Strateški cilj 2: Unaprjeđenje stručnosti i efikasnosti pravosuđa</w:t>
            </w:r>
          </w:p>
          <w:p w14:paraId="199B2F1F" w14:textId="77777777" w:rsidR="00374873" w:rsidRPr="009A613C" w:rsidRDefault="00374873" w:rsidP="00BE13A3">
            <w:pPr>
              <w:rPr>
                <w:rFonts w:cstheme="minorHAnsi"/>
              </w:rPr>
            </w:pPr>
          </w:p>
        </w:tc>
      </w:tr>
      <w:tr w:rsidR="00374873" w:rsidRPr="009A613C" w14:paraId="34056EDC" w14:textId="77777777" w:rsidTr="00BE13A3">
        <w:trPr>
          <w:trHeight w:val="575"/>
        </w:trPr>
        <w:tc>
          <w:tcPr>
            <w:tcW w:w="2344" w:type="pct"/>
            <w:tcBorders>
              <w:top w:val="double" w:sz="4" w:space="0" w:color="auto"/>
            </w:tcBorders>
            <w:shd w:val="clear" w:color="auto" w:fill="FBE4D5" w:themeFill="accent2" w:themeFillTint="33"/>
          </w:tcPr>
          <w:p w14:paraId="426CD3AF" w14:textId="77777777" w:rsidR="00374873" w:rsidRPr="009A613C" w:rsidRDefault="00374873" w:rsidP="00BE13A3">
            <w:pPr>
              <w:rPr>
                <w:rFonts w:cstheme="minorHAnsi"/>
              </w:rPr>
            </w:pPr>
            <w:r w:rsidRPr="009A613C">
              <w:rPr>
                <w:rFonts w:cstheme="minorHAnsi"/>
              </w:rPr>
              <w:t>Indikator uticaja</w:t>
            </w:r>
          </w:p>
        </w:tc>
        <w:tc>
          <w:tcPr>
            <w:tcW w:w="859" w:type="pct"/>
            <w:tcBorders>
              <w:top w:val="double" w:sz="4" w:space="0" w:color="auto"/>
            </w:tcBorders>
            <w:shd w:val="clear" w:color="auto" w:fill="FBE4D5" w:themeFill="accent2" w:themeFillTint="33"/>
          </w:tcPr>
          <w:p w14:paraId="313F90F8" w14:textId="2FE354B4" w:rsidR="00374873" w:rsidRDefault="00374873" w:rsidP="00BE13A3">
            <w:pPr>
              <w:rPr>
                <w:rFonts w:cstheme="minorHAnsi"/>
              </w:rPr>
            </w:pPr>
            <w:r w:rsidRPr="009A613C">
              <w:rPr>
                <w:rFonts w:cstheme="minorHAnsi"/>
              </w:rPr>
              <w:t>Početna vrijed</w:t>
            </w:r>
            <w:r w:rsidR="004802D4">
              <w:rPr>
                <w:rFonts w:cstheme="minorHAnsi"/>
              </w:rPr>
              <w:t>n</w:t>
            </w:r>
            <w:r w:rsidRPr="009A613C">
              <w:rPr>
                <w:rFonts w:cstheme="minorHAnsi"/>
              </w:rPr>
              <w:t>ost</w:t>
            </w:r>
          </w:p>
          <w:p w14:paraId="6401BA1D" w14:textId="0772F2D3" w:rsidR="004802D4" w:rsidRPr="009A613C" w:rsidRDefault="004802D4" w:rsidP="00BE13A3">
            <w:pPr>
              <w:rPr>
                <w:rFonts w:cstheme="minorHAnsi"/>
              </w:rPr>
            </w:pPr>
            <w:r>
              <w:rPr>
                <w:rFonts w:cstheme="minorHAnsi"/>
              </w:rPr>
              <w:t>2023.</w:t>
            </w:r>
          </w:p>
        </w:tc>
        <w:tc>
          <w:tcPr>
            <w:tcW w:w="859" w:type="pct"/>
            <w:tcBorders>
              <w:top w:val="double" w:sz="4" w:space="0" w:color="auto"/>
            </w:tcBorders>
            <w:shd w:val="clear" w:color="auto" w:fill="FBE4D5" w:themeFill="accent2" w:themeFillTint="33"/>
          </w:tcPr>
          <w:p w14:paraId="314DC6B3" w14:textId="77777777" w:rsidR="00374873" w:rsidRPr="009A613C" w:rsidRDefault="00374873" w:rsidP="00BE13A3">
            <w:pPr>
              <w:rPr>
                <w:rFonts w:cstheme="minorHAnsi"/>
              </w:rPr>
            </w:pPr>
            <w:r w:rsidRPr="009A613C">
              <w:rPr>
                <w:rFonts w:cstheme="minorHAnsi"/>
              </w:rPr>
              <w:t>Ciljana vrijednost 2025.</w:t>
            </w:r>
          </w:p>
        </w:tc>
        <w:tc>
          <w:tcPr>
            <w:tcW w:w="938" w:type="pct"/>
            <w:tcBorders>
              <w:top w:val="double" w:sz="4" w:space="0" w:color="auto"/>
              <w:right w:val="double" w:sz="4" w:space="0" w:color="auto"/>
            </w:tcBorders>
            <w:shd w:val="clear" w:color="auto" w:fill="FBE4D5" w:themeFill="accent2" w:themeFillTint="33"/>
          </w:tcPr>
          <w:p w14:paraId="0FCC848A" w14:textId="77777777" w:rsidR="00374873" w:rsidRPr="009A613C" w:rsidRDefault="00374873" w:rsidP="00BE13A3">
            <w:pPr>
              <w:rPr>
                <w:rFonts w:cstheme="minorHAnsi"/>
              </w:rPr>
            </w:pPr>
            <w:r w:rsidRPr="009A613C">
              <w:rPr>
                <w:rFonts w:cstheme="minorHAnsi"/>
              </w:rPr>
              <w:t>Ciljana vrijednost 2027.</w:t>
            </w:r>
          </w:p>
        </w:tc>
      </w:tr>
      <w:tr w:rsidR="00374873" w:rsidRPr="009A613C" w14:paraId="0BD0D9E7" w14:textId="77777777" w:rsidTr="00BE13A3">
        <w:trPr>
          <w:trHeight w:val="254"/>
        </w:trPr>
        <w:tc>
          <w:tcPr>
            <w:tcW w:w="2344" w:type="pct"/>
            <w:tcBorders>
              <w:top w:val="double" w:sz="4" w:space="0" w:color="auto"/>
              <w:bottom w:val="double" w:sz="4" w:space="0" w:color="auto"/>
            </w:tcBorders>
            <w:shd w:val="clear" w:color="auto" w:fill="FFFFFF" w:themeFill="background1"/>
          </w:tcPr>
          <w:p w14:paraId="4F7AC7C3" w14:textId="6533E5FB" w:rsidR="00374873" w:rsidRPr="00F5656C" w:rsidRDefault="00656677" w:rsidP="00F5656C">
            <w:pPr>
              <w:shd w:val="clear" w:color="auto" w:fill="FFFFFF" w:themeFill="background1"/>
              <w:spacing w:after="240"/>
              <w:jc w:val="both"/>
              <w:rPr>
                <w:rFonts w:cstheme="minorHAnsi"/>
              </w:rPr>
            </w:pPr>
            <w:r>
              <w:rPr>
                <w:rFonts w:cstheme="minorHAnsi"/>
              </w:rPr>
              <w:t xml:space="preserve">Sistem </w:t>
            </w:r>
            <w:r w:rsidR="00802A44">
              <w:rPr>
                <w:rFonts w:cstheme="minorHAnsi"/>
              </w:rPr>
              <w:t xml:space="preserve">inicijalne </w:t>
            </w:r>
            <w:r>
              <w:rPr>
                <w:rFonts w:cstheme="minorHAnsi"/>
              </w:rPr>
              <w:t>i kontinuirane obuke u pravosuđu obezbjeđuj</w:t>
            </w:r>
            <w:r w:rsidR="00862050">
              <w:rPr>
                <w:rFonts w:cstheme="minorHAnsi"/>
              </w:rPr>
              <w:t>u</w:t>
            </w:r>
            <w:r>
              <w:rPr>
                <w:rFonts w:cstheme="minorHAnsi"/>
              </w:rPr>
              <w:t xml:space="preserve"> stručno postupanje nosilaca pravosudnih funkcija</w:t>
            </w:r>
          </w:p>
        </w:tc>
        <w:tc>
          <w:tcPr>
            <w:tcW w:w="859" w:type="pct"/>
            <w:tcBorders>
              <w:top w:val="double" w:sz="4" w:space="0" w:color="auto"/>
              <w:bottom w:val="double" w:sz="4" w:space="0" w:color="auto"/>
            </w:tcBorders>
            <w:shd w:val="clear" w:color="auto" w:fill="FFFFFF" w:themeFill="background1"/>
          </w:tcPr>
          <w:p w14:paraId="344E5583" w14:textId="2EB85EF5" w:rsidR="00374873" w:rsidRPr="009A613C" w:rsidRDefault="00DA2A5C" w:rsidP="00BE13A3">
            <w:pPr>
              <w:shd w:val="clear" w:color="auto" w:fill="FFFFFF" w:themeFill="background1"/>
              <w:jc w:val="center"/>
              <w:rPr>
                <w:rFonts w:cstheme="minorHAnsi"/>
              </w:rPr>
            </w:pPr>
            <w:r>
              <w:rPr>
                <w:rFonts w:cstheme="minorHAnsi"/>
              </w:rPr>
              <w:t>Djelimično dostignuto</w:t>
            </w:r>
          </w:p>
        </w:tc>
        <w:tc>
          <w:tcPr>
            <w:tcW w:w="859" w:type="pct"/>
            <w:tcBorders>
              <w:top w:val="double" w:sz="4" w:space="0" w:color="auto"/>
              <w:bottom w:val="double" w:sz="4" w:space="0" w:color="auto"/>
            </w:tcBorders>
            <w:shd w:val="clear" w:color="auto" w:fill="FFFFFF" w:themeFill="background1"/>
          </w:tcPr>
          <w:p w14:paraId="3C335BFB" w14:textId="352ED5C4" w:rsidR="00374873" w:rsidRPr="009A613C" w:rsidRDefault="00DA2A5C" w:rsidP="00BE13A3">
            <w:pPr>
              <w:shd w:val="clear" w:color="auto" w:fill="FFFFFF" w:themeFill="background1"/>
              <w:jc w:val="center"/>
              <w:rPr>
                <w:rFonts w:cstheme="minorHAnsi"/>
              </w:rPr>
            </w:pPr>
            <w:r>
              <w:rPr>
                <w:rFonts w:cstheme="minorHAnsi"/>
              </w:rPr>
              <w:t>Djelimično dostignuto</w:t>
            </w:r>
          </w:p>
        </w:tc>
        <w:tc>
          <w:tcPr>
            <w:tcW w:w="938" w:type="pct"/>
            <w:tcBorders>
              <w:top w:val="double" w:sz="4" w:space="0" w:color="auto"/>
              <w:bottom w:val="double" w:sz="4" w:space="0" w:color="auto"/>
              <w:right w:val="double" w:sz="4" w:space="0" w:color="auto"/>
            </w:tcBorders>
            <w:shd w:val="clear" w:color="auto" w:fill="FFFFFF" w:themeFill="background1"/>
          </w:tcPr>
          <w:p w14:paraId="195C7A69" w14:textId="5897E37C" w:rsidR="00374873" w:rsidRPr="009A613C" w:rsidRDefault="00DA2A5C" w:rsidP="00BE13A3">
            <w:pPr>
              <w:shd w:val="clear" w:color="auto" w:fill="FFFFFF" w:themeFill="background1"/>
              <w:jc w:val="center"/>
              <w:rPr>
                <w:rFonts w:cstheme="minorHAnsi"/>
              </w:rPr>
            </w:pPr>
            <w:r>
              <w:rPr>
                <w:rFonts w:cstheme="minorHAnsi"/>
              </w:rPr>
              <w:t>U potpunosti dostignuto</w:t>
            </w:r>
          </w:p>
        </w:tc>
      </w:tr>
      <w:tr w:rsidR="003B5EB3" w:rsidRPr="009A613C" w14:paraId="364EA6E4" w14:textId="77777777" w:rsidTr="00BE13A3">
        <w:trPr>
          <w:trHeight w:val="254"/>
        </w:trPr>
        <w:tc>
          <w:tcPr>
            <w:tcW w:w="2344" w:type="pct"/>
            <w:tcBorders>
              <w:top w:val="double" w:sz="4" w:space="0" w:color="auto"/>
              <w:bottom w:val="double" w:sz="4" w:space="0" w:color="auto"/>
            </w:tcBorders>
            <w:shd w:val="clear" w:color="auto" w:fill="FFFFFF" w:themeFill="background1"/>
          </w:tcPr>
          <w:p w14:paraId="66441888" w14:textId="60784FCB" w:rsidR="003B5EB3" w:rsidRPr="009A613C" w:rsidRDefault="003B5EB3" w:rsidP="003B5EB3">
            <w:pPr>
              <w:shd w:val="clear" w:color="auto" w:fill="FFFFFF" w:themeFill="background1"/>
              <w:spacing w:after="240"/>
              <w:jc w:val="both"/>
              <w:rPr>
                <w:rFonts w:cstheme="minorHAnsi"/>
              </w:rPr>
            </w:pPr>
            <w:r w:rsidRPr="00F5656C">
              <w:rPr>
                <w:rFonts w:cstheme="minorHAnsi"/>
              </w:rPr>
              <w:t>Efikasnost pravosuđa Crne Gore unaprijeđena putem izmjena procesnog zakonodavstva, optimizacije pravosudne mreže,  ojačan</w:t>
            </w:r>
            <w:r w:rsidR="00862050">
              <w:rPr>
                <w:rFonts w:cstheme="minorHAnsi"/>
              </w:rPr>
              <w:t>ih</w:t>
            </w:r>
            <w:r w:rsidRPr="00F5656C">
              <w:rPr>
                <w:rFonts w:cstheme="minorHAnsi"/>
              </w:rPr>
              <w:t xml:space="preserve"> mehaniz</w:t>
            </w:r>
            <w:r w:rsidR="00862050">
              <w:rPr>
                <w:rFonts w:cstheme="minorHAnsi"/>
              </w:rPr>
              <w:t>a</w:t>
            </w:r>
            <w:r w:rsidRPr="00F5656C">
              <w:rPr>
                <w:rFonts w:cstheme="minorHAnsi"/>
              </w:rPr>
              <w:t>m</w:t>
            </w:r>
            <w:r w:rsidR="00862050">
              <w:rPr>
                <w:rFonts w:cstheme="minorHAnsi"/>
              </w:rPr>
              <w:t>a</w:t>
            </w:r>
            <w:r w:rsidRPr="00F5656C">
              <w:rPr>
                <w:rFonts w:cstheme="minorHAnsi"/>
              </w:rPr>
              <w:t xml:space="preserve"> alternativnog rješavanja sporova, efikasno</w:t>
            </w:r>
            <w:r w:rsidR="00211589">
              <w:rPr>
                <w:rFonts w:cstheme="minorHAnsi"/>
              </w:rPr>
              <w:t>g</w:t>
            </w:r>
            <w:r w:rsidRPr="00F5656C">
              <w:rPr>
                <w:rFonts w:cstheme="minorHAnsi"/>
              </w:rPr>
              <w:t xml:space="preserve"> upravljanj</w:t>
            </w:r>
            <w:r w:rsidR="00211589">
              <w:rPr>
                <w:rFonts w:cstheme="minorHAnsi"/>
              </w:rPr>
              <w:t>a</w:t>
            </w:r>
            <w:r w:rsidRPr="00F5656C">
              <w:rPr>
                <w:rFonts w:cstheme="minorHAnsi"/>
              </w:rPr>
              <w:t xml:space="preserve"> predmetima </w:t>
            </w:r>
            <w:r>
              <w:rPr>
                <w:rFonts w:cstheme="minorHAnsi"/>
              </w:rPr>
              <w:t>i</w:t>
            </w:r>
            <w:r w:rsidRPr="00F5656C">
              <w:rPr>
                <w:rFonts w:cstheme="minorHAnsi"/>
              </w:rPr>
              <w:t xml:space="preserve"> osnažen</w:t>
            </w:r>
            <w:r w:rsidR="00211589">
              <w:rPr>
                <w:rFonts w:cstheme="minorHAnsi"/>
              </w:rPr>
              <w:t>e</w:t>
            </w:r>
            <w:r w:rsidRPr="00F5656C">
              <w:rPr>
                <w:rFonts w:cstheme="minorHAnsi"/>
              </w:rPr>
              <w:t xml:space="preserve"> međunarodn</w:t>
            </w:r>
            <w:r w:rsidR="00211589">
              <w:rPr>
                <w:rFonts w:cstheme="minorHAnsi"/>
              </w:rPr>
              <w:t>e</w:t>
            </w:r>
            <w:r w:rsidRPr="00F5656C">
              <w:rPr>
                <w:rFonts w:cstheme="minorHAnsi"/>
              </w:rPr>
              <w:t xml:space="preserve"> saradnj</w:t>
            </w:r>
            <w:r w:rsidR="00211589">
              <w:rPr>
                <w:rFonts w:cstheme="minorHAnsi"/>
              </w:rPr>
              <w:t>e</w:t>
            </w:r>
          </w:p>
        </w:tc>
        <w:tc>
          <w:tcPr>
            <w:tcW w:w="859" w:type="pct"/>
            <w:tcBorders>
              <w:top w:val="double" w:sz="4" w:space="0" w:color="auto"/>
              <w:bottom w:val="double" w:sz="4" w:space="0" w:color="auto"/>
            </w:tcBorders>
            <w:shd w:val="clear" w:color="auto" w:fill="FFFFFF" w:themeFill="background1"/>
          </w:tcPr>
          <w:p w14:paraId="5D6DFA49" w14:textId="0E142A44" w:rsidR="003B5EB3" w:rsidRPr="00ED323C" w:rsidRDefault="003B5EB3" w:rsidP="003B5EB3">
            <w:pPr>
              <w:shd w:val="clear" w:color="auto" w:fill="FFFFFF" w:themeFill="background1"/>
              <w:jc w:val="center"/>
              <w:rPr>
                <w:rFonts w:cstheme="minorHAnsi"/>
                <w:highlight w:val="yellow"/>
              </w:rPr>
            </w:pPr>
            <w:r>
              <w:rPr>
                <w:rFonts w:cstheme="minorHAnsi"/>
              </w:rPr>
              <w:t>Djelimično dostignuto</w:t>
            </w:r>
          </w:p>
        </w:tc>
        <w:tc>
          <w:tcPr>
            <w:tcW w:w="859" w:type="pct"/>
            <w:tcBorders>
              <w:top w:val="double" w:sz="4" w:space="0" w:color="auto"/>
              <w:bottom w:val="double" w:sz="4" w:space="0" w:color="auto"/>
            </w:tcBorders>
            <w:shd w:val="clear" w:color="auto" w:fill="FFFFFF" w:themeFill="background1"/>
          </w:tcPr>
          <w:p w14:paraId="5F27BD66" w14:textId="60D35656" w:rsidR="003B5EB3" w:rsidRPr="00ED323C" w:rsidRDefault="003B5EB3" w:rsidP="003B5EB3">
            <w:pPr>
              <w:shd w:val="clear" w:color="auto" w:fill="FFFFFF" w:themeFill="background1"/>
              <w:jc w:val="center"/>
              <w:rPr>
                <w:rFonts w:cstheme="minorHAnsi"/>
                <w:highlight w:val="yellow"/>
              </w:rPr>
            </w:pPr>
            <w:r>
              <w:rPr>
                <w:rFonts w:cstheme="minorHAnsi"/>
              </w:rPr>
              <w:t>Djelimično dostignuto</w:t>
            </w:r>
          </w:p>
        </w:tc>
        <w:tc>
          <w:tcPr>
            <w:tcW w:w="938" w:type="pct"/>
            <w:tcBorders>
              <w:top w:val="double" w:sz="4" w:space="0" w:color="auto"/>
              <w:bottom w:val="double" w:sz="4" w:space="0" w:color="auto"/>
              <w:right w:val="double" w:sz="4" w:space="0" w:color="auto"/>
            </w:tcBorders>
            <w:shd w:val="clear" w:color="auto" w:fill="FFFFFF" w:themeFill="background1"/>
          </w:tcPr>
          <w:p w14:paraId="1299EE10" w14:textId="47E2F95A" w:rsidR="003B5EB3" w:rsidRPr="00ED323C" w:rsidRDefault="003B5EB3" w:rsidP="003B5EB3">
            <w:pPr>
              <w:shd w:val="clear" w:color="auto" w:fill="FFFFFF" w:themeFill="background1"/>
              <w:jc w:val="center"/>
              <w:rPr>
                <w:rFonts w:cstheme="minorHAnsi"/>
                <w:highlight w:val="yellow"/>
              </w:rPr>
            </w:pPr>
            <w:r>
              <w:rPr>
                <w:rFonts w:cstheme="minorHAnsi"/>
              </w:rPr>
              <w:t>U potpunosti dostignuto</w:t>
            </w:r>
          </w:p>
        </w:tc>
      </w:tr>
      <w:tr w:rsidR="00834F8A" w:rsidRPr="009A613C" w14:paraId="36E08F8B"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3F2A06A6" w14:textId="0AB42637" w:rsidR="00834F8A" w:rsidRPr="009A613C" w:rsidRDefault="00834F8A" w:rsidP="00184872">
            <w:pPr>
              <w:rPr>
                <w:b/>
                <w:bCs/>
                <w:u w:val="single"/>
              </w:rPr>
            </w:pPr>
            <w:r w:rsidRPr="009A613C">
              <w:rPr>
                <w:b/>
                <w:bCs/>
                <w:u w:val="single"/>
              </w:rPr>
              <w:t xml:space="preserve">U okviru Strateškog cilja </w:t>
            </w:r>
            <w:r w:rsidR="00184872" w:rsidRPr="009A613C">
              <w:rPr>
                <w:b/>
                <w:bCs/>
                <w:u w:val="single"/>
              </w:rPr>
              <w:t>2</w:t>
            </w:r>
            <w:r w:rsidRPr="009A613C">
              <w:rPr>
                <w:b/>
                <w:bCs/>
                <w:u w:val="single"/>
              </w:rPr>
              <w:t xml:space="preserve"> definisani su sl</w:t>
            </w:r>
            <w:r w:rsidR="00802A44">
              <w:rPr>
                <w:b/>
                <w:bCs/>
                <w:u w:val="single"/>
              </w:rPr>
              <w:t>j</w:t>
            </w:r>
            <w:r w:rsidRPr="009A613C">
              <w:rPr>
                <w:b/>
                <w:bCs/>
                <w:u w:val="single"/>
              </w:rPr>
              <w:t>edeći operativni ciljevi:</w:t>
            </w:r>
          </w:p>
          <w:p w14:paraId="7DAFC7B3" w14:textId="1D27E8AE" w:rsidR="00834F8A" w:rsidRPr="009A613C" w:rsidRDefault="00184872" w:rsidP="00802A44">
            <w:pPr>
              <w:jc w:val="both"/>
            </w:pPr>
            <w:r w:rsidRPr="009A613C">
              <w:t xml:space="preserve">OC 2.1. </w:t>
            </w:r>
            <w:r w:rsidR="0025255B" w:rsidRPr="009A613C">
              <w:t>Unaprjeđ</w:t>
            </w:r>
            <w:r w:rsidRPr="009A613C">
              <w:t>enje stručnosti nosilaca pravosudnih funkcija</w:t>
            </w:r>
          </w:p>
          <w:p w14:paraId="4E38417D" w14:textId="2C97639A" w:rsidR="00184872" w:rsidRPr="009A613C" w:rsidRDefault="00184872" w:rsidP="00802A44">
            <w:pPr>
              <w:jc w:val="both"/>
            </w:pPr>
            <w:r w:rsidRPr="009A613C">
              <w:t xml:space="preserve">OC 2.2. </w:t>
            </w:r>
            <w:r w:rsidR="0025255B" w:rsidRPr="009A613C">
              <w:t>Unaprjeđ</w:t>
            </w:r>
            <w:r w:rsidRPr="009A613C">
              <w:t>enje stručnosti pravosudnih profesija</w:t>
            </w:r>
          </w:p>
          <w:p w14:paraId="5F35455B" w14:textId="30867450" w:rsidR="00184872" w:rsidRPr="009A613C" w:rsidRDefault="00184872" w:rsidP="00802A44">
            <w:pPr>
              <w:jc w:val="both"/>
            </w:pPr>
            <w:r w:rsidRPr="009A613C">
              <w:t xml:space="preserve">OC 2.3. </w:t>
            </w:r>
            <w:r w:rsidR="0025255B" w:rsidRPr="009A613C">
              <w:t>Unaprjeđ</w:t>
            </w:r>
            <w:r w:rsidRPr="009A613C">
              <w:t>enje kapaciteta Centra za obuku</w:t>
            </w:r>
            <w:r w:rsidR="00802A44">
              <w:t xml:space="preserve"> u sudstvu i državnom tužilaštvu</w:t>
            </w:r>
          </w:p>
          <w:p w14:paraId="19B291F2" w14:textId="60A006DD" w:rsidR="00184872" w:rsidRPr="009A613C" w:rsidRDefault="00184872" w:rsidP="00802A44">
            <w:pPr>
              <w:jc w:val="both"/>
            </w:pPr>
            <w:r w:rsidRPr="009A613C">
              <w:t>OC 2.4. Optimizacija pravosudne mreže</w:t>
            </w:r>
          </w:p>
          <w:p w14:paraId="7295BB3D" w14:textId="4792E831" w:rsidR="00184872" w:rsidRPr="009A613C" w:rsidRDefault="00184872" w:rsidP="00802A44">
            <w:pPr>
              <w:jc w:val="both"/>
            </w:pPr>
            <w:r w:rsidRPr="009A613C">
              <w:t xml:space="preserve">OC 2.5. </w:t>
            </w:r>
            <w:r w:rsidR="0025255B" w:rsidRPr="009A613C">
              <w:t>Unaprjeđ</w:t>
            </w:r>
            <w:r w:rsidRPr="009A613C">
              <w:t xml:space="preserve">enje procesnog zakonodavstva </w:t>
            </w:r>
          </w:p>
          <w:p w14:paraId="753D1A8D" w14:textId="0AFCDDD8" w:rsidR="00184872" w:rsidRPr="009A613C" w:rsidRDefault="00184872" w:rsidP="00802A44">
            <w:pPr>
              <w:jc w:val="both"/>
            </w:pPr>
            <w:r w:rsidRPr="009A613C">
              <w:t>OC 2.6. Smanjenje broja zaostalih predmeta i jačanje alternativnog rješavanja sporova</w:t>
            </w:r>
          </w:p>
          <w:p w14:paraId="44309C1E" w14:textId="30BA763E" w:rsidR="00184872" w:rsidRPr="009A613C" w:rsidRDefault="00184872" w:rsidP="00802A44">
            <w:pPr>
              <w:jc w:val="both"/>
            </w:pPr>
            <w:r w:rsidRPr="009A613C">
              <w:lastRenderedPageBreak/>
              <w:t xml:space="preserve">OC 2.7. </w:t>
            </w:r>
            <w:r w:rsidR="0025255B" w:rsidRPr="009A613C">
              <w:t>Unaprjeđ</w:t>
            </w:r>
            <w:r w:rsidRPr="009A613C">
              <w:t>enje sistema pravosudnog menadžmenta, administracije i strateškog planiranja</w:t>
            </w:r>
          </w:p>
          <w:p w14:paraId="17E1FF58" w14:textId="63716D2F" w:rsidR="00184872" w:rsidRPr="009A613C" w:rsidRDefault="00184872" w:rsidP="00802A44">
            <w:pPr>
              <w:jc w:val="both"/>
            </w:pPr>
            <w:r w:rsidRPr="009A613C">
              <w:t>OC 2.8. Razvijanje informacionog sistema pravosuđa</w:t>
            </w:r>
          </w:p>
          <w:p w14:paraId="540DA1A4" w14:textId="2F0B7217" w:rsidR="00184872" w:rsidRPr="009A613C" w:rsidRDefault="00184872" w:rsidP="00802A44">
            <w:pPr>
              <w:jc w:val="both"/>
            </w:pPr>
            <w:r w:rsidRPr="009A613C">
              <w:t xml:space="preserve">OC 2.9. </w:t>
            </w:r>
            <w:r w:rsidR="0025255B" w:rsidRPr="009A613C">
              <w:t>Unaprjeđ</w:t>
            </w:r>
            <w:r w:rsidRPr="009A613C">
              <w:t>enje međunarodne saradnje</w:t>
            </w:r>
          </w:p>
          <w:p w14:paraId="274C5834" w14:textId="0BD3FAAC" w:rsidR="00184872" w:rsidRPr="009A613C" w:rsidRDefault="00184872" w:rsidP="00184872"/>
        </w:tc>
      </w:tr>
      <w:tr w:rsidR="00D84E57" w:rsidRPr="009A613C" w14:paraId="3467F84C"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F2F2F2" w:themeFill="background1" w:themeFillShade="F2"/>
          </w:tcPr>
          <w:p w14:paraId="5E4199F9" w14:textId="77777777" w:rsidR="00342BA6" w:rsidRDefault="00342BA6" w:rsidP="00342BA6">
            <w:pPr>
              <w:rPr>
                <w:b/>
                <w:bCs/>
                <w:u w:val="single"/>
              </w:rPr>
            </w:pPr>
            <w:r>
              <w:rPr>
                <w:b/>
                <w:bCs/>
                <w:u w:val="single"/>
              </w:rPr>
              <w:lastRenderedPageBreak/>
              <w:t xml:space="preserve">Relevantna privremena mjerila, Poglavlje 23: </w:t>
            </w:r>
          </w:p>
          <w:p w14:paraId="325ABD47" w14:textId="3799E8D2" w:rsidR="00F42994" w:rsidRPr="00F42994" w:rsidRDefault="00F42994" w:rsidP="005C4299">
            <w:pPr>
              <w:spacing w:after="160"/>
              <w:ind w:left="165"/>
              <w:jc w:val="both"/>
              <w:rPr>
                <w:b/>
                <w:lang w:val="bs-Latn-BA"/>
              </w:rPr>
            </w:pPr>
            <w:r w:rsidRPr="00F5656C">
              <w:rPr>
                <w:b/>
                <w:bCs/>
                <w:lang w:val="bs-Latn-BA"/>
              </w:rPr>
              <w:t>PM 13:</w:t>
            </w:r>
            <w:r>
              <w:rPr>
                <w:lang w:val="bs-Latn-BA"/>
              </w:rPr>
              <w:t xml:space="preserve"> </w:t>
            </w:r>
            <w:r w:rsidRPr="00F42994">
              <w:rPr>
                <w:lang w:val="bs-Latn-BA"/>
              </w:rPr>
              <w:t>Crna Gora razvija valjan statistički kapacitet (na osnovu smjernica pravosudne statistike Evropske komisije za efikasnost pravde (CEPEJ) omogućavajući da se kroz PRIS prati obim posla i učinak sudija i sudova, mjeri, između ostalog, i prosječno trajanje sudskih postupaka po vrsti slučaja, upliv slučajeva, broj neriješenih slučajeva, stopa povrata, trajanje i troškove izvršnih postupaka. Crna Gora analizira ovu statistiku u cilju identifikacije zaostalih predmeta, prekoračenja rokova za pripremu odluka, zastoja u postupku kao i ljudske i finansijske resurse uključene u rješavanje posebne vrste slučaja. Crna Gora aktivno koristi ove podatke kao sredstvo upravljanja i preuzima odgovarajuće mjere kada je potrebno.</w:t>
            </w:r>
          </w:p>
          <w:p w14:paraId="5E1C0C8E" w14:textId="442601CB" w:rsidR="00F42994" w:rsidRPr="00F42994" w:rsidRDefault="00B44610" w:rsidP="005C4299">
            <w:pPr>
              <w:spacing w:after="160"/>
              <w:ind w:left="165"/>
              <w:jc w:val="both"/>
              <w:rPr>
                <w:b/>
                <w:lang w:val="bs-Latn-BA"/>
              </w:rPr>
            </w:pPr>
            <w:r w:rsidRPr="00BF05E3">
              <w:rPr>
                <w:b/>
                <w:bCs/>
                <w:lang w:val="bs-Latn-BA"/>
              </w:rPr>
              <w:t>PM 1</w:t>
            </w:r>
            <w:r>
              <w:rPr>
                <w:b/>
                <w:bCs/>
                <w:lang w:val="bs-Latn-BA"/>
              </w:rPr>
              <w:t>4</w:t>
            </w:r>
            <w:r w:rsidRPr="00BF05E3">
              <w:rPr>
                <w:b/>
                <w:bCs/>
                <w:lang w:val="bs-Latn-BA"/>
              </w:rPr>
              <w:t>:</w:t>
            </w:r>
            <w:r>
              <w:rPr>
                <w:lang w:val="bs-Latn-BA"/>
              </w:rPr>
              <w:t xml:space="preserve"> </w:t>
            </w:r>
            <w:r w:rsidR="00F42994" w:rsidRPr="00F42994">
              <w:rPr>
                <w:lang w:val="bs-Latn-BA"/>
              </w:rPr>
              <w:t>Crna Gora nastavlja sa sprovođenjem racionalizacije pravosudne mreže. Crna Gora kompletira novu analizu potreba koja predstavlja osnov za usvajanje narednih koraka u racionalizaciji što treba da dovede do zatvaranja svih neodrživih malih sudova.</w:t>
            </w:r>
          </w:p>
          <w:p w14:paraId="751A9387" w14:textId="6FF224C0" w:rsidR="00F42994" w:rsidRPr="00F42994" w:rsidRDefault="00B44610" w:rsidP="005C4299">
            <w:pPr>
              <w:spacing w:after="160"/>
              <w:ind w:left="165"/>
              <w:jc w:val="both"/>
              <w:rPr>
                <w:b/>
                <w:lang w:val="bs-Latn-BA"/>
              </w:rPr>
            </w:pPr>
            <w:r w:rsidRPr="00BF05E3">
              <w:rPr>
                <w:b/>
                <w:bCs/>
                <w:lang w:val="bs-Latn-BA"/>
              </w:rPr>
              <w:t>PM 1</w:t>
            </w:r>
            <w:r>
              <w:rPr>
                <w:b/>
                <w:bCs/>
                <w:lang w:val="bs-Latn-BA"/>
              </w:rPr>
              <w:t>5</w:t>
            </w:r>
            <w:r w:rsidRPr="00BF05E3">
              <w:rPr>
                <w:b/>
                <w:bCs/>
                <w:lang w:val="bs-Latn-BA"/>
              </w:rPr>
              <w:t>:</w:t>
            </w:r>
            <w:r>
              <w:rPr>
                <w:lang w:val="bs-Latn-BA"/>
              </w:rPr>
              <w:t xml:space="preserve"> </w:t>
            </w:r>
            <w:r w:rsidR="00F42994" w:rsidRPr="00F42994">
              <w:rPr>
                <w:lang w:val="bs-Latn-BA"/>
              </w:rPr>
              <w:t>Crna Gora uspostavlja početni bilans ostvarenih rezultata u daljem smanjenju zaostalih slučajeva u sudovima, naročito starih parničnih i administrativnih slučajeva. Crna Gora povećano koristi alternativne mjere kao što je medijacija, sudsko poravnanje i arbitraža.</w:t>
            </w:r>
          </w:p>
          <w:p w14:paraId="179A8A1F" w14:textId="148570B8" w:rsidR="00F42994" w:rsidRPr="00F42994" w:rsidRDefault="00B44610" w:rsidP="005C4299">
            <w:pPr>
              <w:spacing w:after="160"/>
              <w:ind w:left="165"/>
              <w:jc w:val="both"/>
              <w:rPr>
                <w:b/>
                <w:lang w:val="bs-Latn-BA"/>
              </w:rPr>
            </w:pPr>
            <w:r w:rsidRPr="00BF05E3">
              <w:rPr>
                <w:b/>
                <w:bCs/>
                <w:lang w:val="bs-Latn-BA"/>
              </w:rPr>
              <w:t>PM 1</w:t>
            </w:r>
            <w:r>
              <w:rPr>
                <w:b/>
                <w:bCs/>
                <w:lang w:val="bs-Latn-BA"/>
              </w:rPr>
              <w:t>6</w:t>
            </w:r>
            <w:r w:rsidRPr="00BF05E3">
              <w:rPr>
                <w:b/>
                <w:bCs/>
                <w:lang w:val="bs-Latn-BA"/>
              </w:rPr>
              <w:t>:</w:t>
            </w:r>
            <w:r>
              <w:rPr>
                <w:lang w:val="bs-Latn-BA"/>
              </w:rPr>
              <w:t xml:space="preserve"> </w:t>
            </w:r>
            <w:r w:rsidR="00F42994" w:rsidRPr="00F42994">
              <w:rPr>
                <w:lang w:val="bs-Latn-BA"/>
              </w:rPr>
              <w:t>Crna Gora uspostavlja sistem stalnog dobrovoljnog horizontalnog transfera sudija, na osnovu inicijativa kojima se omogućava povećana dobrovoljna preraspodjela sudija u sudove s najvećim obimom posla.</w:t>
            </w:r>
          </w:p>
          <w:p w14:paraId="1EB18647" w14:textId="66D54EEA" w:rsidR="00F42994" w:rsidRPr="00F42994" w:rsidRDefault="00B44610" w:rsidP="005C4299">
            <w:pPr>
              <w:spacing w:after="160"/>
              <w:ind w:left="165"/>
              <w:jc w:val="both"/>
              <w:rPr>
                <w:b/>
                <w:lang w:val="bs-Latn-BA"/>
              </w:rPr>
            </w:pPr>
            <w:r w:rsidRPr="00BF05E3">
              <w:rPr>
                <w:b/>
                <w:bCs/>
                <w:lang w:val="bs-Latn-BA"/>
              </w:rPr>
              <w:t>PM 1</w:t>
            </w:r>
            <w:r>
              <w:rPr>
                <w:b/>
                <w:bCs/>
                <w:lang w:val="bs-Latn-BA"/>
              </w:rPr>
              <w:t>7</w:t>
            </w:r>
            <w:r w:rsidRPr="00BF05E3">
              <w:rPr>
                <w:b/>
                <w:bCs/>
                <w:lang w:val="bs-Latn-BA"/>
              </w:rPr>
              <w:t>:</w:t>
            </w:r>
            <w:r>
              <w:rPr>
                <w:lang w:val="bs-Latn-BA"/>
              </w:rPr>
              <w:t xml:space="preserve"> </w:t>
            </w:r>
            <w:r w:rsidR="00F42994" w:rsidRPr="00F42994">
              <w:rPr>
                <w:lang w:val="bs-Latn-BA"/>
              </w:rPr>
              <w:t xml:space="preserve">Crna Gora obezbjeđuje puno poštovanje i korektno sprovođenje sudskih naloga i odluka. Crna Gora uspostavlja inicijalni bilans ostvarenih rezultata u rješavanju i stopi povrata u izvršnim postupcima povodom parničnih i privrednih predmeta. Crna Gora kompletira opštu ocjenu sistema izvršenja i razvija dalje mjere kada je to potrebno. </w:t>
            </w:r>
          </w:p>
          <w:p w14:paraId="1B79226B" w14:textId="328FA65E" w:rsidR="00F42994" w:rsidRPr="00F42994" w:rsidRDefault="00B44610" w:rsidP="005C4299">
            <w:pPr>
              <w:spacing w:after="160"/>
              <w:ind w:left="165"/>
              <w:jc w:val="both"/>
              <w:rPr>
                <w:b/>
                <w:lang w:val="bs-Latn-BA"/>
              </w:rPr>
            </w:pPr>
            <w:r w:rsidRPr="00BF05E3">
              <w:rPr>
                <w:b/>
                <w:bCs/>
                <w:lang w:val="bs-Latn-BA"/>
              </w:rPr>
              <w:t>PM 1</w:t>
            </w:r>
            <w:r>
              <w:rPr>
                <w:b/>
                <w:bCs/>
                <w:lang w:val="bs-Latn-BA"/>
              </w:rPr>
              <w:t>8</w:t>
            </w:r>
            <w:r w:rsidRPr="00BF05E3">
              <w:rPr>
                <w:b/>
                <w:bCs/>
                <w:lang w:val="bs-Latn-BA"/>
              </w:rPr>
              <w:t>:</w:t>
            </w:r>
            <w:r>
              <w:rPr>
                <w:lang w:val="bs-Latn-BA"/>
              </w:rPr>
              <w:t xml:space="preserve"> </w:t>
            </w:r>
            <w:r w:rsidR="00F42994" w:rsidRPr="00F42994">
              <w:rPr>
                <w:lang w:val="bs-Latn-BA"/>
              </w:rPr>
              <w:t xml:space="preserve">Crna Gora usvaja Zakon o obuci u pravosuđu i obezbjeđuje neophodne finansijske i ljudske resurse kako bi se Centar za obuku nosilaca pravosudne funkcije transformisao u finansijski nezavisno tijelo u skladu s određenim rokovima. </w:t>
            </w:r>
          </w:p>
          <w:p w14:paraId="4CE626B6" w14:textId="6E8CA97A" w:rsidR="00D84E57" w:rsidRPr="00F5656C" w:rsidRDefault="00D84E57" w:rsidP="00342BA6">
            <w:pPr>
              <w:rPr>
                <w:b/>
                <w:bCs/>
                <w:u w:val="single"/>
                <w:lang w:val="bs-Latn-BA"/>
              </w:rPr>
            </w:pPr>
          </w:p>
        </w:tc>
      </w:tr>
      <w:tr w:rsidR="00D84E57" w:rsidRPr="009A613C" w14:paraId="59A246CE"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F2F2F2" w:themeFill="background1" w:themeFillShade="F2"/>
          </w:tcPr>
          <w:p w14:paraId="34D66396" w14:textId="77777777" w:rsidR="00342BA6" w:rsidRPr="00D84E57" w:rsidRDefault="00342BA6" w:rsidP="00342BA6">
            <w:pPr>
              <w:jc w:val="both"/>
            </w:pPr>
            <w:r w:rsidRPr="00D84E57">
              <w:rPr>
                <w:b/>
                <w:bCs/>
                <w:u w:val="single"/>
              </w:rPr>
              <w:t>Relevantna privremena mjerila, Poglavlje 24:</w:t>
            </w:r>
          </w:p>
          <w:p w14:paraId="1FB74BEF" w14:textId="77777777" w:rsidR="00342BA6" w:rsidRDefault="00342BA6" w:rsidP="00342BA6">
            <w:pPr>
              <w:pStyle w:val="ListParagraph"/>
              <w:spacing w:after="120"/>
              <w:ind w:left="75"/>
              <w:contextualSpacing w:val="0"/>
              <w:jc w:val="both"/>
            </w:pPr>
            <w:r w:rsidRPr="00D84E57">
              <w:rPr>
                <w:b/>
                <w:bCs/>
              </w:rPr>
              <w:t>PM 16:</w:t>
            </w:r>
            <w:r>
              <w:t xml:space="preserve"> Crna Gora sprovodi analizu i jasno definiše buduće pravne korake koji su neophodni za usklađivanje sa pravnom tekovinom na polju pravosudne saradnje u građanskim i privrednim stvarima.</w:t>
            </w:r>
          </w:p>
          <w:p w14:paraId="55E8CC84" w14:textId="77777777" w:rsidR="00342BA6" w:rsidRDefault="00342BA6" w:rsidP="00342BA6">
            <w:pPr>
              <w:pStyle w:val="ListParagraph"/>
              <w:spacing w:after="120"/>
              <w:ind w:left="75"/>
              <w:contextualSpacing w:val="0"/>
              <w:jc w:val="both"/>
            </w:pPr>
            <w:r>
              <w:t xml:space="preserve"> </w:t>
            </w:r>
            <w:r w:rsidRPr="00D84E57">
              <w:rPr>
                <w:b/>
                <w:bCs/>
              </w:rPr>
              <w:t>PM 1</w:t>
            </w:r>
            <w:r>
              <w:rPr>
                <w:b/>
                <w:bCs/>
              </w:rPr>
              <w:t>7</w:t>
            </w:r>
            <w:r w:rsidRPr="00D84E57">
              <w:rPr>
                <w:b/>
                <w:bCs/>
              </w:rPr>
              <w:t>:</w:t>
            </w:r>
            <w:r>
              <w:t xml:space="preserve"> Crna Gora uspostavlja informacioni sistem kojim će se voditi evidencija o međunarodnoj pravnoj pomoći, te prati efikasnost postupanja po međunarodnim zahtjevima u oblasti pravosudne saradnje u građanskim stvarima. </w:t>
            </w:r>
          </w:p>
          <w:p w14:paraId="5EFAC2BC" w14:textId="77777777" w:rsidR="00342BA6" w:rsidRDefault="00342BA6" w:rsidP="00342BA6">
            <w:pPr>
              <w:pStyle w:val="ListParagraph"/>
              <w:spacing w:after="120"/>
              <w:ind w:left="75"/>
              <w:contextualSpacing w:val="0"/>
              <w:jc w:val="both"/>
            </w:pPr>
            <w:r w:rsidRPr="00D84E57">
              <w:rPr>
                <w:b/>
                <w:bCs/>
              </w:rPr>
              <w:t>PM 1</w:t>
            </w:r>
            <w:r>
              <w:rPr>
                <w:b/>
                <w:bCs/>
              </w:rPr>
              <w:t>8</w:t>
            </w:r>
            <w:r w:rsidRPr="00D84E57">
              <w:rPr>
                <w:b/>
                <w:bCs/>
              </w:rPr>
              <w:t>:</w:t>
            </w:r>
            <w:r>
              <w:t xml:space="preserve"> Crna Gora sprovodi analizu administrativnih kapaciteta, budžeta i potreba za obukom koji su neophodni za sprovođenje pravne tekovine na polju pravosudne saradnje u krivičnim stvarima, kako u okviru Ministarstva pravde, tako i u sudovima i tužilaštvima, te precizno definiše buduće korake u cilju potpunog usklađivanja s pravnom tekovinom u ovoj oblasti, između ostalog i u pogledu Evropskog naloga za hapšenje. </w:t>
            </w:r>
          </w:p>
          <w:p w14:paraId="550D9DE2" w14:textId="77777777" w:rsidR="00342BA6" w:rsidRDefault="00342BA6" w:rsidP="00342BA6">
            <w:pPr>
              <w:pStyle w:val="ListParagraph"/>
              <w:spacing w:after="120"/>
              <w:ind w:left="75"/>
              <w:contextualSpacing w:val="0"/>
              <w:jc w:val="both"/>
            </w:pPr>
            <w:r w:rsidRPr="00D84E57">
              <w:rPr>
                <w:b/>
                <w:bCs/>
              </w:rPr>
              <w:lastRenderedPageBreak/>
              <w:t>PM 1</w:t>
            </w:r>
            <w:r>
              <w:rPr>
                <w:b/>
                <w:bCs/>
              </w:rPr>
              <w:t>9</w:t>
            </w:r>
            <w:r w:rsidRPr="00D84E57">
              <w:rPr>
                <w:b/>
                <w:bCs/>
              </w:rPr>
              <w:t>:</w:t>
            </w:r>
            <w:r>
              <w:t xml:space="preserve"> Crna Gora usvaja i počinje sprovođenje plana obuke (uključujući podučavanje stranih jezika) na polju pravosudne saradnje u krivičnim stvarima kroz Centar za edukaciju nosilaca pravosudne funkcije i Policijsku akademiju. </w:t>
            </w:r>
          </w:p>
          <w:p w14:paraId="066EBD0C" w14:textId="77777777" w:rsidR="00342BA6" w:rsidRPr="00833EC0" w:rsidRDefault="00342BA6" w:rsidP="00342BA6">
            <w:pPr>
              <w:pStyle w:val="ListParagraph"/>
              <w:spacing w:after="120"/>
              <w:ind w:left="75"/>
              <w:contextualSpacing w:val="0"/>
              <w:jc w:val="both"/>
              <w:rPr>
                <w:b/>
                <w:highlight w:val="green"/>
                <w:lang w:val="bs-Latn-BA"/>
              </w:rPr>
            </w:pPr>
            <w:r w:rsidRPr="00D84E57">
              <w:rPr>
                <w:b/>
                <w:bCs/>
              </w:rPr>
              <w:t xml:space="preserve">PM </w:t>
            </w:r>
            <w:r>
              <w:rPr>
                <w:b/>
                <w:bCs/>
              </w:rPr>
              <w:t>20</w:t>
            </w:r>
            <w:r w:rsidRPr="00D84E57">
              <w:rPr>
                <w:b/>
                <w:bCs/>
              </w:rPr>
              <w:t>:</w:t>
            </w:r>
            <w:r>
              <w:t xml:space="preserve"> Crna Gora obezbjeđuje početni bilans ostvarenih rezultata uspješne obrade zahtjeva za međunarodnu pravosudnu saradnju i primjene bilateralnih sporazuma o pravosudnoj saradnji sa ostalim državama u regionu.</w:t>
            </w:r>
          </w:p>
          <w:p w14:paraId="5591E8F1" w14:textId="77777777" w:rsidR="00D84E57" w:rsidRPr="00F5656C" w:rsidRDefault="00D84E57" w:rsidP="00F5656C">
            <w:pPr>
              <w:spacing w:after="120"/>
              <w:jc w:val="both"/>
              <w:rPr>
                <w:b/>
                <w:bCs/>
                <w:u w:val="single"/>
                <w:lang w:val="bs-Latn-BA"/>
              </w:rPr>
            </w:pPr>
          </w:p>
        </w:tc>
      </w:tr>
    </w:tbl>
    <w:p w14:paraId="3C93855A" w14:textId="77777777" w:rsidR="00184872" w:rsidRPr="009A613C" w:rsidRDefault="00184872" w:rsidP="00387F70"/>
    <w:p w14:paraId="116B3C1E" w14:textId="21949CA1" w:rsidR="004F6A83" w:rsidRPr="009A613C" w:rsidRDefault="0025255B">
      <w:pPr>
        <w:pStyle w:val="Heading3"/>
        <w:numPr>
          <w:ilvl w:val="1"/>
          <w:numId w:val="14"/>
        </w:numPr>
        <w:jc w:val="center"/>
        <w:rPr>
          <w:rFonts w:cstheme="minorHAnsi"/>
        </w:rPr>
      </w:pPr>
      <w:bookmarkStart w:id="35" w:name="_Toc156937963"/>
      <w:r w:rsidRPr="009A613C">
        <w:rPr>
          <w:rFonts w:cstheme="minorHAnsi"/>
        </w:rPr>
        <w:t>Unaprjeđ</w:t>
      </w:r>
      <w:r w:rsidR="004F6A83" w:rsidRPr="009A613C">
        <w:rPr>
          <w:rFonts w:cstheme="minorHAnsi"/>
        </w:rPr>
        <w:t>enje stručnosti nosilaca pravosudnih funkcija</w:t>
      </w:r>
      <w:bookmarkEnd w:id="35"/>
    </w:p>
    <w:p w14:paraId="313FEAB6" w14:textId="77777777" w:rsidR="000D7ACF" w:rsidRPr="009A613C" w:rsidRDefault="000D7ACF" w:rsidP="000D7ACF"/>
    <w:p w14:paraId="5BA6B2A7" w14:textId="6C067213" w:rsidR="00163DCC" w:rsidRPr="00DA2A5C" w:rsidRDefault="00163DCC" w:rsidP="0076504B">
      <w:pPr>
        <w:jc w:val="both"/>
      </w:pPr>
      <w:r w:rsidRPr="009A613C">
        <w:t xml:space="preserve">Imajući u vidu </w:t>
      </w:r>
      <w:r w:rsidR="00714363" w:rsidRPr="009A613C">
        <w:t>prepreke</w:t>
      </w:r>
      <w:r w:rsidRPr="009A613C">
        <w:t xml:space="preserve"> u organizaciji obuka u periodu 2020-2022. uzrokovane širenjem epidemije uzrokovane virusom COVID 19 kao i planiranim, sveobuhvatnim </w:t>
      </w:r>
      <w:r w:rsidR="0076504B" w:rsidRPr="009A613C">
        <w:t>izmjenama organizacionog, materijalnog i procesnog zakonodavstva</w:t>
      </w:r>
      <w:r w:rsidR="0076504B" w:rsidRPr="00DA2A5C">
        <w:t xml:space="preserve">, </w:t>
      </w:r>
      <w:r w:rsidR="0076504B" w:rsidRPr="00F5656C">
        <w:t>u predstojećem periodu biće neophodno sprovođenje brojnih obuka za nosioce pravosudnih funkcija</w:t>
      </w:r>
      <w:r w:rsidR="00802A44">
        <w:t>,</w:t>
      </w:r>
      <w:r w:rsidR="0076504B" w:rsidRPr="00F5656C">
        <w:t xml:space="preserve"> čime bi se omogućila blagovremena i efektivna primjena novih zakonskih rješenja u praksi.</w:t>
      </w:r>
      <w:r w:rsidR="008B467D" w:rsidRPr="00F5656C">
        <w:t xml:space="preserve"> Ujedno, neophodno je osigurati da su svi nosioci pravosudnih funkcija uključeni u kontinuirane obuke</w:t>
      </w:r>
      <w:r w:rsidR="00802A44">
        <w:t>,</w:t>
      </w:r>
      <w:r w:rsidR="008B467D" w:rsidRPr="00F5656C">
        <w:t xml:space="preserve"> ne bi li se osigurao ujednačen kvalitet postupanja u okviru pravosudnog sistema.</w:t>
      </w:r>
    </w:p>
    <w:p w14:paraId="0493E9F2" w14:textId="093D1C76" w:rsidR="005003E9" w:rsidRPr="009A613C" w:rsidRDefault="005003E9" w:rsidP="0076504B">
      <w:pPr>
        <w:jc w:val="both"/>
      </w:pPr>
      <w:r w:rsidRPr="00F5656C">
        <w:t xml:space="preserve">Istovremeno, neophodno je nastaviti trend </w:t>
      </w:r>
      <w:r w:rsidR="00EF2BF4" w:rsidRPr="00F5656C">
        <w:t>savremenih metoda</w:t>
      </w:r>
      <w:r w:rsidR="00DA2A5C">
        <w:t xml:space="preserve"> </w:t>
      </w:r>
      <w:r w:rsidRPr="00F5656C">
        <w:t xml:space="preserve">obuke koji su posljednjih godina postali nezaobilazni standard. Budući da je u prethodnom </w:t>
      </w:r>
      <w:r w:rsidR="0046797F" w:rsidRPr="00F5656C">
        <w:t xml:space="preserve">periodu razvijena </w:t>
      </w:r>
      <w:r w:rsidR="0046797F" w:rsidRPr="00F5656C">
        <w:rPr>
          <w:i/>
          <w:iCs/>
        </w:rPr>
        <w:t xml:space="preserve">online </w:t>
      </w:r>
      <w:r w:rsidR="0046797F" w:rsidRPr="00F5656C">
        <w:t xml:space="preserve">platforma Centra za obuku u sudstvu u tužilaštvu, razvoj bi trebalo nastaviti kroz razvoj tematskih </w:t>
      </w:r>
      <w:r w:rsidR="0046797F" w:rsidRPr="00F5656C">
        <w:rPr>
          <w:i/>
          <w:iCs/>
        </w:rPr>
        <w:t>online</w:t>
      </w:r>
      <w:r w:rsidR="0046797F" w:rsidRPr="00F5656C">
        <w:t xml:space="preserve"> obuka koje će omogućiti olakšan pristup edukativnim sadržajima za sudije i tužioce u vrijeme koje najviše odgovara njihovom individualnom rasporedu obaveza.</w:t>
      </w:r>
    </w:p>
    <w:p w14:paraId="438F7F0D" w14:textId="21B0D6D1" w:rsidR="00D448ED" w:rsidRPr="009A613C" w:rsidRDefault="00D448ED" w:rsidP="00D448ED">
      <w:pPr>
        <w:jc w:val="center"/>
      </w:pPr>
      <w:r w:rsidRPr="009A613C">
        <w:rPr>
          <w:i/>
          <w:iCs/>
          <w:sz w:val="20"/>
          <w:szCs w:val="20"/>
        </w:rPr>
        <w:t xml:space="preserve">Tabela </w:t>
      </w:r>
      <w:r w:rsidR="00714363">
        <w:rPr>
          <w:i/>
          <w:iCs/>
          <w:sz w:val="20"/>
          <w:szCs w:val="20"/>
        </w:rPr>
        <w:t>11</w:t>
      </w:r>
      <w:r w:rsidRPr="009A613C">
        <w:rPr>
          <w:i/>
          <w:iCs/>
          <w:sz w:val="20"/>
          <w:szCs w:val="20"/>
        </w:rPr>
        <w:t>:</w:t>
      </w:r>
      <w:r w:rsidR="00714363">
        <w:rPr>
          <w:i/>
          <w:iCs/>
          <w:sz w:val="20"/>
          <w:szCs w:val="20"/>
        </w:rPr>
        <w:t xml:space="preserve"> Indikatori realizacije Operativnog cilja 2.1</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0D7ACF" w:rsidRPr="009A613C" w14:paraId="00F86D2A" w14:textId="77777777" w:rsidTr="00BE13A3">
        <w:trPr>
          <w:trHeight w:val="575"/>
        </w:trPr>
        <w:tc>
          <w:tcPr>
            <w:tcW w:w="1250" w:type="pct"/>
            <w:tcBorders>
              <w:top w:val="double" w:sz="4" w:space="0" w:color="auto"/>
            </w:tcBorders>
            <w:shd w:val="clear" w:color="auto" w:fill="FBE4D5" w:themeFill="accent2" w:themeFillTint="33"/>
          </w:tcPr>
          <w:p w14:paraId="2AAC36FA" w14:textId="77777777" w:rsidR="000D7ACF" w:rsidRPr="009A613C" w:rsidRDefault="000D7ACF" w:rsidP="00BE13A3">
            <w:pPr>
              <w:rPr>
                <w:rFonts w:cstheme="minorHAnsi"/>
              </w:rPr>
            </w:pPr>
            <w:r w:rsidRPr="009A613C">
              <w:rPr>
                <w:rFonts w:cstheme="minorHAnsi"/>
              </w:rPr>
              <w:t xml:space="preserve">Operativni </w:t>
            </w:r>
          </w:p>
          <w:p w14:paraId="2BC5CF91" w14:textId="77777777" w:rsidR="000D7ACF" w:rsidRPr="009A613C" w:rsidRDefault="000D7ACF" w:rsidP="00BE13A3">
            <w:pPr>
              <w:rPr>
                <w:rFonts w:cstheme="minorHAnsi"/>
              </w:rPr>
            </w:pPr>
            <w:r w:rsidRPr="009A613C">
              <w:rPr>
                <w:rFonts w:cstheme="minorHAnsi"/>
              </w:rPr>
              <w:t>ciljevi</w:t>
            </w:r>
          </w:p>
        </w:tc>
        <w:tc>
          <w:tcPr>
            <w:tcW w:w="1875" w:type="pct"/>
            <w:tcBorders>
              <w:top w:val="double" w:sz="4" w:space="0" w:color="auto"/>
            </w:tcBorders>
            <w:shd w:val="clear" w:color="auto" w:fill="FBE4D5" w:themeFill="accent2" w:themeFillTint="33"/>
          </w:tcPr>
          <w:p w14:paraId="5EB8B0BC" w14:textId="77777777" w:rsidR="000D7ACF" w:rsidRPr="009A613C" w:rsidRDefault="000D7ACF"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09AC6E19" w14:textId="77777777" w:rsidR="000D7ACF" w:rsidRDefault="000D7ACF" w:rsidP="00BE13A3">
            <w:pPr>
              <w:rPr>
                <w:rFonts w:cstheme="minorHAnsi"/>
              </w:rPr>
            </w:pPr>
            <w:r w:rsidRPr="009A613C">
              <w:rPr>
                <w:rFonts w:cstheme="minorHAnsi"/>
              </w:rPr>
              <w:t>Početna vrijednost</w:t>
            </w:r>
          </w:p>
          <w:p w14:paraId="6E610BF0" w14:textId="7C1113E3" w:rsidR="004802D4" w:rsidRPr="009A613C" w:rsidRDefault="004802D4"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1C13E8C1" w14:textId="77777777" w:rsidR="000D7ACF" w:rsidRPr="009A613C" w:rsidRDefault="000D7ACF"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42D5039D" w14:textId="77777777" w:rsidR="000D7ACF" w:rsidRPr="009A613C" w:rsidRDefault="000D7ACF" w:rsidP="00BE13A3">
            <w:pPr>
              <w:rPr>
                <w:rFonts w:cstheme="minorHAnsi"/>
              </w:rPr>
            </w:pPr>
            <w:r w:rsidRPr="009A613C">
              <w:rPr>
                <w:rFonts w:cstheme="minorHAnsi"/>
              </w:rPr>
              <w:t>Ciljana vrijednost 2027.</w:t>
            </w:r>
          </w:p>
        </w:tc>
      </w:tr>
      <w:tr w:rsidR="000D7ACF" w:rsidRPr="009A613C" w14:paraId="61F5AC1F" w14:textId="77777777" w:rsidTr="00BE13A3">
        <w:trPr>
          <w:trHeight w:val="254"/>
        </w:trPr>
        <w:tc>
          <w:tcPr>
            <w:tcW w:w="1250" w:type="pct"/>
            <w:vMerge w:val="restart"/>
            <w:tcBorders>
              <w:top w:val="double" w:sz="4" w:space="0" w:color="auto"/>
            </w:tcBorders>
            <w:shd w:val="clear" w:color="auto" w:fill="E2EFD9" w:themeFill="accent6" w:themeFillTint="33"/>
          </w:tcPr>
          <w:p w14:paraId="5580908A" w14:textId="46B60F5B" w:rsidR="000D7ACF" w:rsidRPr="009A613C" w:rsidRDefault="000D7ACF">
            <w:pPr>
              <w:pStyle w:val="ListParagraph"/>
              <w:numPr>
                <w:ilvl w:val="1"/>
                <w:numId w:val="9"/>
              </w:numPr>
              <w:rPr>
                <w:rFonts w:cstheme="minorHAnsi"/>
              </w:rPr>
            </w:pPr>
          </w:p>
          <w:p w14:paraId="4035E563" w14:textId="1D4004AE" w:rsidR="000D7ACF" w:rsidRPr="009A613C" w:rsidRDefault="0025255B" w:rsidP="00802A44">
            <w:pPr>
              <w:jc w:val="both"/>
              <w:rPr>
                <w:rFonts w:cstheme="minorHAnsi"/>
              </w:rPr>
            </w:pPr>
            <w:r w:rsidRPr="009A613C">
              <w:rPr>
                <w:rFonts w:cstheme="minorHAnsi"/>
              </w:rPr>
              <w:t>Unaprjeđ</w:t>
            </w:r>
            <w:r w:rsidR="000D7ACF" w:rsidRPr="009A613C">
              <w:rPr>
                <w:rFonts w:cstheme="minorHAnsi"/>
              </w:rPr>
              <w:t>enje stručnosti nosilaca pravosudnih funkcija</w:t>
            </w:r>
          </w:p>
        </w:tc>
        <w:tc>
          <w:tcPr>
            <w:tcW w:w="1875" w:type="pct"/>
            <w:tcBorders>
              <w:top w:val="double" w:sz="4" w:space="0" w:color="auto"/>
              <w:bottom w:val="double" w:sz="4" w:space="0" w:color="auto"/>
            </w:tcBorders>
            <w:shd w:val="clear" w:color="auto" w:fill="FFFFFF" w:themeFill="background1"/>
          </w:tcPr>
          <w:p w14:paraId="6EADD171" w14:textId="56E0D33D" w:rsidR="000D7ACF" w:rsidRPr="00DA2A5C" w:rsidRDefault="009B2B66" w:rsidP="004120A4">
            <w:pPr>
              <w:shd w:val="clear" w:color="auto" w:fill="FFFFFF" w:themeFill="background1"/>
              <w:spacing w:after="240"/>
              <w:jc w:val="both"/>
              <w:rPr>
                <w:rFonts w:cstheme="minorHAnsi"/>
              </w:rPr>
            </w:pPr>
            <w:r>
              <w:rPr>
                <w:rFonts w:cstheme="minorHAnsi"/>
              </w:rPr>
              <w:t>B</w:t>
            </w:r>
            <w:r w:rsidR="000D7ACF" w:rsidRPr="00F5656C">
              <w:rPr>
                <w:rFonts w:cstheme="minorHAnsi"/>
              </w:rPr>
              <w:t>roj obuka/kurseva dostupnih na e-platformi</w:t>
            </w:r>
          </w:p>
        </w:tc>
        <w:tc>
          <w:tcPr>
            <w:tcW w:w="625" w:type="pct"/>
            <w:tcBorders>
              <w:top w:val="double" w:sz="4" w:space="0" w:color="auto"/>
              <w:bottom w:val="double" w:sz="4" w:space="0" w:color="auto"/>
            </w:tcBorders>
            <w:shd w:val="clear" w:color="auto" w:fill="FFFFFF" w:themeFill="background1"/>
          </w:tcPr>
          <w:p w14:paraId="1D48CB06" w14:textId="77777777" w:rsidR="000D7ACF" w:rsidRPr="009A613C" w:rsidRDefault="000D7ACF" w:rsidP="00BE13A3">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0CA1591C" w14:textId="551BA9D1" w:rsidR="000D7ACF" w:rsidRPr="009A613C" w:rsidRDefault="00EF2BF4" w:rsidP="00BE13A3">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24E435EE" w14:textId="214E9BC8" w:rsidR="000D7ACF" w:rsidRPr="009A613C" w:rsidRDefault="00EF2BF4" w:rsidP="00BE13A3">
            <w:pPr>
              <w:shd w:val="clear" w:color="auto" w:fill="FFFFFF" w:themeFill="background1"/>
              <w:jc w:val="center"/>
              <w:rPr>
                <w:rFonts w:cstheme="minorHAnsi"/>
              </w:rPr>
            </w:pPr>
            <w:r>
              <w:rPr>
                <w:rFonts w:cstheme="minorHAnsi"/>
              </w:rPr>
              <w:t>4</w:t>
            </w:r>
          </w:p>
        </w:tc>
      </w:tr>
      <w:tr w:rsidR="000D7ACF" w:rsidRPr="009A613C" w14:paraId="3EE6A8DE" w14:textId="77777777" w:rsidTr="00BE13A3">
        <w:trPr>
          <w:trHeight w:val="254"/>
        </w:trPr>
        <w:tc>
          <w:tcPr>
            <w:tcW w:w="1250" w:type="pct"/>
            <w:vMerge/>
            <w:shd w:val="clear" w:color="auto" w:fill="E2EFD9" w:themeFill="accent6" w:themeFillTint="33"/>
          </w:tcPr>
          <w:p w14:paraId="28D9181A" w14:textId="77777777" w:rsidR="000D7ACF" w:rsidRPr="009A613C" w:rsidRDefault="000D7ACF" w:rsidP="00BE13A3">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2B7E5412" w14:textId="5C443138" w:rsidR="000D7ACF" w:rsidRPr="00F5656C" w:rsidRDefault="00173314" w:rsidP="004120A4">
            <w:pPr>
              <w:shd w:val="clear" w:color="auto" w:fill="FFFFFF" w:themeFill="background1"/>
              <w:spacing w:after="240"/>
              <w:jc w:val="both"/>
              <w:rPr>
                <w:rFonts w:cstheme="minorHAnsi"/>
              </w:rPr>
            </w:pPr>
            <w:r w:rsidRPr="00F5656C">
              <w:rPr>
                <w:rFonts w:cstheme="minorHAnsi"/>
              </w:rPr>
              <w:t xml:space="preserve"> </w:t>
            </w:r>
            <w:r w:rsidR="000D7ACF" w:rsidRPr="00F5656C">
              <w:rPr>
                <w:rFonts w:cstheme="minorHAnsi"/>
              </w:rPr>
              <w:t xml:space="preserve">% sudija koji su prošli kontinuiranu obuku </w:t>
            </w:r>
          </w:p>
        </w:tc>
        <w:tc>
          <w:tcPr>
            <w:tcW w:w="625" w:type="pct"/>
            <w:tcBorders>
              <w:top w:val="double" w:sz="4" w:space="0" w:color="auto"/>
              <w:bottom w:val="double" w:sz="4" w:space="0" w:color="auto"/>
            </w:tcBorders>
            <w:shd w:val="clear" w:color="auto" w:fill="FFFFFF" w:themeFill="background1"/>
          </w:tcPr>
          <w:p w14:paraId="286BF9FA" w14:textId="0519ED68" w:rsidR="000D7ACF" w:rsidRPr="009A613C" w:rsidRDefault="00F438AF" w:rsidP="00BE13A3">
            <w:pPr>
              <w:shd w:val="clear" w:color="auto" w:fill="FFFFFF" w:themeFill="background1"/>
              <w:jc w:val="center"/>
              <w:rPr>
                <w:rFonts w:cstheme="minorHAnsi"/>
              </w:rPr>
            </w:pPr>
            <w:r>
              <w:rPr>
                <w:rFonts w:cstheme="minorHAnsi"/>
              </w:rPr>
              <w:t>81,27%</w:t>
            </w:r>
          </w:p>
        </w:tc>
        <w:tc>
          <w:tcPr>
            <w:tcW w:w="625" w:type="pct"/>
            <w:tcBorders>
              <w:top w:val="double" w:sz="4" w:space="0" w:color="auto"/>
              <w:bottom w:val="double" w:sz="4" w:space="0" w:color="auto"/>
            </w:tcBorders>
            <w:shd w:val="clear" w:color="auto" w:fill="FFFFFF" w:themeFill="background1"/>
          </w:tcPr>
          <w:p w14:paraId="5161B194" w14:textId="009273C9" w:rsidR="000D7ACF" w:rsidRPr="009A613C" w:rsidRDefault="00F438AF" w:rsidP="00BE13A3">
            <w:pPr>
              <w:shd w:val="clear" w:color="auto" w:fill="FFFFFF" w:themeFill="background1"/>
              <w:jc w:val="center"/>
              <w:rPr>
                <w:rFonts w:cstheme="minorHAnsi"/>
              </w:rPr>
            </w:pPr>
            <w:r>
              <w:rPr>
                <w:rFonts w:cstheme="minorHAnsi"/>
              </w:rPr>
              <w:t>95</w:t>
            </w:r>
            <w:r w:rsidR="000D7ACF" w:rsidRPr="009A613C">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2BE658BA" w14:textId="77777777" w:rsidR="000D7ACF" w:rsidRPr="009A613C" w:rsidRDefault="000D7ACF" w:rsidP="00BE13A3">
            <w:pPr>
              <w:shd w:val="clear" w:color="auto" w:fill="FFFFFF" w:themeFill="background1"/>
              <w:jc w:val="center"/>
              <w:rPr>
                <w:rFonts w:cstheme="minorHAnsi"/>
              </w:rPr>
            </w:pPr>
            <w:r w:rsidRPr="009A613C">
              <w:rPr>
                <w:rFonts w:cstheme="minorHAnsi"/>
              </w:rPr>
              <w:t>100%</w:t>
            </w:r>
          </w:p>
        </w:tc>
      </w:tr>
      <w:tr w:rsidR="000D7ACF" w:rsidRPr="009A613C" w14:paraId="48D1F9C3" w14:textId="77777777" w:rsidTr="00F5656C">
        <w:trPr>
          <w:trHeight w:val="607"/>
        </w:trPr>
        <w:tc>
          <w:tcPr>
            <w:tcW w:w="1250" w:type="pct"/>
            <w:vMerge/>
            <w:tcBorders>
              <w:bottom w:val="double" w:sz="4" w:space="0" w:color="auto"/>
            </w:tcBorders>
            <w:shd w:val="clear" w:color="auto" w:fill="E2EFD9" w:themeFill="accent6" w:themeFillTint="33"/>
          </w:tcPr>
          <w:p w14:paraId="31E92990" w14:textId="77777777" w:rsidR="000D7ACF" w:rsidRPr="009A613C" w:rsidRDefault="000D7ACF" w:rsidP="00BE13A3">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58EC35C7" w14:textId="232DD92D" w:rsidR="000D7ACF" w:rsidRPr="00DA2A5C" w:rsidRDefault="00173314" w:rsidP="004120A4">
            <w:pPr>
              <w:shd w:val="clear" w:color="auto" w:fill="FFFFFF" w:themeFill="background1"/>
              <w:spacing w:after="240"/>
              <w:jc w:val="both"/>
              <w:rPr>
                <w:rFonts w:cstheme="minorHAnsi"/>
              </w:rPr>
            </w:pPr>
            <w:r w:rsidRPr="00F5656C">
              <w:rPr>
                <w:rFonts w:cstheme="minorHAnsi"/>
              </w:rPr>
              <w:t xml:space="preserve"> </w:t>
            </w:r>
            <w:r w:rsidR="000D7ACF" w:rsidRPr="00F5656C">
              <w:rPr>
                <w:rFonts w:cstheme="minorHAnsi"/>
              </w:rPr>
              <w:t>% tužilaca koji su prošli kontinuiranu obuku</w:t>
            </w:r>
          </w:p>
        </w:tc>
        <w:tc>
          <w:tcPr>
            <w:tcW w:w="625" w:type="pct"/>
            <w:tcBorders>
              <w:top w:val="double" w:sz="4" w:space="0" w:color="auto"/>
              <w:bottom w:val="double" w:sz="4" w:space="0" w:color="auto"/>
            </w:tcBorders>
            <w:shd w:val="clear" w:color="auto" w:fill="FFFFFF" w:themeFill="background1"/>
          </w:tcPr>
          <w:p w14:paraId="78D80388" w14:textId="37D8DB52" w:rsidR="000D7ACF" w:rsidRPr="009A613C" w:rsidRDefault="00F438AF" w:rsidP="00BE13A3">
            <w:pPr>
              <w:shd w:val="clear" w:color="auto" w:fill="FFFFFF" w:themeFill="background1"/>
              <w:jc w:val="center"/>
              <w:rPr>
                <w:rFonts w:cstheme="minorHAnsi"/>
              </w:rPr>
            </w:pPr>
            <w:r>
              <w:rPr>
                <w:rFonts w:cstheme="minorHAnsi"/>
              </w:rPr>
              <w:t>86,3 %</w:t>
            </w:r>
          </w:p>
        </w:tc>
        <w:tc>
          <w:tcPr>
            <w:tcW w:w="625" w:type="pct"/>
            <w:tcBorders>
              <w:top w:val="double" w:sz="4" w:space="0" w:color="auto"/>
              <w:bottom w:val="double" w:sz="4" w:space="0" w:color="auto"/>
            </w:tcBorders>
            <w:shd w:val="clear" w:color="auto" w:fill="FFFFFF" w:themeFill="background1"/>
          </w:tcPr>
          <w:p w14:paraId="120C7C5C" w14:textId="075DD9C9" w:rsidR="000D7ACF" w:rsidRPr="009A613C" w:rsidRDefault="00F438AF" w:rsidP="00BE13A3">
            <w:pPr>
              <w:shd w:val="clear" w:color="auto" w:fill="FFFFFF" w:themeFill="background1"/>
              <w:jc w:val="center"/>
              <w:rPr>
                <w:rFonts w:cstheme="minorHAnsi"/>
              </w:rPr>
            </w:pPr>
            <w:r>
              <w:rPr>
                <w:rFonts w:cstheme="minorHAnsi"/>
              </w:rPr>
              <w:t>95</w:t>
            </w:r>
            <w:r w:rsidR="000D7ACF" w:rsidRPr="009A613C">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040B83F5" w14:textId="77777777" w:rsidR="000D7ACF" w:rsidRPr="009A613C" w:rsidRDefault="000D7ACF" w:rsidP="00BE13A3">
            <w:pPr>
              <w:shd w:val="clear" w:color="auto" w:fill="FFFFFF" w:themeFill="background1"/>
              <w:jc w:val="center"/>
              <w:rPr>
                <w:rFonts w:cstheme="minorHAnsi"/>
              </w:rPr>
            </w:pPr>
            <w:r w:rsidRPr="009A613C">
              <w:rPr>
                <w:rFonts w:cstheme="minorHAnsi"/>
              </w:rPr>
              <w:t>100%</w:t>
            </w:r>
          </w:p>
        </w:tc>
      </w:tr>
    </w:tbl>
    <w:p w14:paraId="2909CB78" w14:textId="4C4ACF3D" w:rsidR="000D1C6B" w:rsidRDefault="000D1C6B" w:rsidP="000D7ACF"/>
    <w:p w14:paraId="6CFD43A7" w14:textId="77777777" w:rsidR="00C42EA7" w:rsidRPr="009A613C" w:rsidRDefault="00C42EA7" w:rsidP="000D7ACF"/>
    <w:p w14:paraId="59EDF3BC" w14:textId="72FD1F65" w:rsidR="004F6A83" w:rsidRPr="009A613C" w:rsidRDefault="0025255B">
      <w:pPr>
        <w:pStyle w:val="Heading3"/>
        <w:numPr>
          <w:ilvl w:val="1"/>
          <w:numId w:val="9"/>
        </w:numPr>
        <w:spacing w:after="240"/>
        <w:jc w:val="center"/>
        <w:rPr>
          <w:rFonts w:cstheme="minorHAnsi"/>
        </w:rPr>
      </w:pPr>
      <w:bookmarkStart w:id="36" w:name="_Toc156937964"/>
      <w:r w:rsidRPr="009A613C">
        <w:rPr>
          <w:rFonts w:cstheme="minorHAnsi"/>
        </w:rPr>
        <w:lastRenderedPageBreak/>
        <w:t>Unaprjeđ</w:t>
      </w:r>
      <w:r w:rsidR="004F6A83" w:rsidRPr="009A613C">
        <w:rPr>
          <w:rFonts w:cstheme="minorHAnsi"/>
        </w:rPr>
        <w:t>enje stručnosti pravosudnih profesija</w:t>
      </w:r>
      <w:bookmarkEnd w:id="36"/>
    </w:p>
    <w:p w14:paraId="4B47EBC2" w14:textId="6A8F99E3" w:rsidR="00387F70" w:rsidRPr="009A613C" w:rsidRDefault="00387F70" w:rsidP="00387F70">
      <w:pPr>
        <w:shd w:val="clear" w:color="auto" w:fill="FFFFFF"/>
        <w:spacing w:before="100" w:beforeAutospacing="1" w:after="100" w:afterAutospacing="1" w:line="240" w:lineRule="auto"/>
        <w:jc w:val="both"/>
        <w:rPr>
          <w:rFonts w:eastAsia="Times New Roman" w:cstheme="minorHAnsi"/>
          <w:color w:val="000000"/>
        </w:rPr>
      </w:pPr>
      <w:r w:rsidRPr="009A613C">
        <w:rPr>
          <w:rFonts w:eastAsia="Times New Roman" w:cstheme="minorHAnsi"/>
          <w:color w:val="000000"/>
        </w:rPr>
        <w:t xml:space="preserve">Radi realizacije Operativnog cilja 2.2. neophodno je paralelno raditi na </w:t>
      </w:r>
      <w:r w:rsidR="0025255B" w:rsidRPr="009A613C">
        <w:rPr>
          <w:rFonts w:eastAsia="Times New Roman" w:cstheme="minorHAnsi"/>
          <w:color w:val="000000"/>
        </w:rPr>
        <w:t>unaprjeđ</w:t>
      </w:r>
      <w:r w:rsidRPr="009A613C">
        <w:rPr>
          <w:rFonts w:eastAsia="Times New Roman" w:cstheme="minorHAnsi"/>
          <w:color w:val="000000"/>
        </w:rPr>
        <w:t>enju stručnosti javnih izvršitelja i notara, zaposlenih u njihovim kancelarijama, kao i na uspostavljanju sistema obuka sudskih vještaka.</w:t>
      </w:r>
    </w:p>
    <w:p w14:paraId="513165CA" w14:textId="2F52F9BC" w:rsidR="00E6557C" w:rsidRPr="009A613C" w:rsidRDefault="00647845" w:rsidP="00387F70">
      <w:pPr>
        <w:shd w:val="clear" w:color="auto" w:fill="FFFFFF"/>
        <w:spacing w:before="100" w:beforeAutospacing="1" w:after="100" w:afterAutospacing="1" w:line="240" w:lineRule="auto"/>
        <w:jc w:val="both"/>
        <w:rPr>
          <w:rFonts w:eastAsia="Times New Roman" w:cstheme="minorHAnsi"/>
          <w:color w:val="000000"/>
        </w:rPr>
      </w:pPr>
      <w:r w:rsidRPr="009A613C">
        <w:rPr>
          <w:rFonts w:eastAsia="Times New Roman" w:cstheme="minorHAnsi"/>
          <w:color w:val="000000"/>
        </w:rPr>
        <w:t>Imajući u vidu da su</w:t>
      </w:r>
      <w:r w:rsidR="00E42F10">
        <w:rPr>
          <w:rFonts w:eastAsia="Times New Roman" w:cstheme="minorHAnsi"/>
          <w:color w:val="000000"/>
        </w:rPr>
        <w:t xml:space="preserve"> u</w:t>
      </w:r>
      <w:r w:rsidRPr="009A613C">
        <w:rPr>
          <w:rFonts w:eastAsia="Times New Roman" w:cstheme="minorHAnsi"/>
          <w:color w:val="000000"/>
        </w:rPr>
        <w:t xml:space="preserve"> prethodnom periodu </w:t>
      </w:r>
      <w:r w:rsidRPr="009A613C">
        <w:rPr>
          <w:rFonts w:eastAsia="Times New Roman" w:cstheme="minorHAnsi"/>
          <w:b/>
          <w:bCs/>
          <w:color w:val="000000"/>
        </w:rPr>
        <w:t>javni izvršitelji i zaposleni u kancelarijama javnih izvršitelja</w:t>
      </w:r>
      <w:r w:rsidRPr="009A613C">
        <w:rPr>
          <w:rFonts w:eastAsia="Times New Roman" w:cstheme="minorHAnsi"/>
          <w:color w:val="000000"/>
        </w:rPr>
        <w:t xml:space="preserve"> pohađali obuke koje su bile od značaja za ovladavanje stručnim znanjima, u predstojećem periodu prioritet predstavlja </w:t>
      </w:r>
      <w:r w:rsidR="0025255B" w:rsidRPr="009A613C">
        <w:rPr>
          <w:rFonts w:eastAsia="Times New Roman" w:cstheme="minorHAnsi"/>
          <w:color w:val="000000"/>
        </w:rPr>
        <w:t>unaprjeđ</w:t>
      </w:r>
      <w:r w:rsidRPr="009A613C">
        <w:rPr>
          <w:rFonts w:eastAsia="Times New Roman" w:cstheme="minorHAnsi"/>
          <w:color w:val="000000"/>
        </w:rPr>
        <w:t>enje njih</w:t>
      </w:r>
      <w:r w:rsidR="008E69CC" w:rsidRPr="009A613C">
        <w:rPr>
          <w:rFonts w:eastAsia="Times New Roman" w:cstheme="minorHAnsi"/>
          <w:color w:val="000000"/>
        </w:rPr>
        <w:t>ovih</w:t>
      </w:r>
      <w:r w:rsidRPr="009A613C">
        <w:rPr>
          <w:rFonts w:eastAsia="Times New Roman" w:cstheme="minorHAnsi"/>
          <w:color w:val="000000"/>
        </w:rPr>
        <w:t xml:space="preserve"> vještina (tzv. </w:t>
      </w:r>
      <w:r w:rsidRPr="009A613C">
        <w:rPr>
          <w:rFonts w:eastAsia="Times New Roman" w:cstheme="minorHAnsi"/>
          <w:i/>
          <w:iCs/>
          <w:color w:val="000000"/>
        </w:rPr>
        <w:t>soft skills</w:t>
      </w:r>
      <w:r w:rsidRPr="009A613C">
        <w:rPr>
          <w:rFonts w:eastAsia="Times New Roman" w:cstheme="minorHAnsi"/>
          <w:color w:val="000000"/>
        </w:rPr>
        <w:t>) u oblasti komunikacijskih vještina</w:t>
      </w:r>
      <w:r w:rsidR="008E69CC" w:rsidRPr="009A613C">
        <w:rPr>
          <w:rFonts w:eastAsia="Times New Roman" w:cstheme="minorHAnsi"/>
          <w:color w:val="000000"/>
        </w:rPr>
        <w:t xml:space="preserve"> </w:t>
      </w:r>
      <w:r w:rsidRPr="009A613C">
        <w:rPr>
          <w:rFonts w:eastAsia="Times New Roman" w:cstheme="minorHAnsi"/>
          <w:color w:val="000000"/>
        </w:rPr>
        <w:t>komunikacija sa strankama, krizna komunikacija, kao i obuka za pružanje asistencije policije i brošura vezano za istu.</w:t>
      </w:r>
    </w:p>
    <w:p w14:paraId="0AC47A48" w14:textId="3AD260D4" w:rsidR="006A1F45" w:rsidRPr="009A613C" w:rsidRDefault="006A1F45" w:rsidP="00387F70">
      <w:pPr>
        <w:jc w:val="both"/>
        <w:rPr>
          <w:rFonts w:cstheme="minorHAnsi"/>
        </w:rPr>
      </w:pPr>
      <w:r w:rsidRPr="009A613C">
        <w:rPr>
          <w:rFonts w:cstheme="minorHAnsi"/>
        </w:rPr>
        <w:t xml:space="preserve">Imajući u vidu da je tržište nepokretnosti prepoznato kao jedno od najrizičnijih oblasti u pogledu pranja novca i finansiranja terorizma, podizanje stručnih kapaciteta </w:t>
      </w:r>
      <w:r w:rsidRPr="009A613C">
        <w:rPr>
          <w:rFonts w:cstheme="minorHAnsi"/>
          <w:b/>
          <w:bCs/>
        </w:rPr>
        <w:t xml:space="preserve">notara </w:t>
      </w:r>
      <w:r w:rsidRPr="009A613C">
        <w:rPr>
          <w:rFonts w:cstheme="minorHAnsi"/>
        </w:rPr>
        <w:t xml:space="preserve">u ovoj oblasti, kao i izrada neophodnih alata koji bi im omogućili prepoznavanje rizičnih transakcija, od ključnog su značaja za suzbijanje pranja novca. Ovaj proces bi trebalo da prati i unaprjeđenje digitalnih vještina notara i zaposlenih u notarskim kancelarijama, kao i njihovo kontinuirano upoznavanje sa relevantnim međunarodnim standardima u oblasti porodičnog i nasljednog prava. </w:t>
      </w:r>
    </w:p>
    <w:p w14:paraId="3F26CEA0" w14:textId="67EFECFC" w:rsidR="00E6557C" w:rsidRDefault="00387F70" w:rsidP="006A1F45">
      <w:pPr>
        <w:jc w:val="both"/>
      </w:pPr>
      <w:r w:rsidRPr="009A613C">
        <w:t xml:space="preserve">Razvoj sistema obuka </w:t>
      </w:r>
      <w:r w:rsidRPr="009A613C">
        <w:rPr>
          <w:b/>
          <w:bCs/>
        </w:rPr>
        <w:t>sudskih vještaka</w:t>
      </w:r>
      <w:r w:rsidRPr="009A613C">
        <w:t xml:space="preserve"> zahtjeva intenzivan rad u predstojećem periodu, pri čemu prioritet predstavlja izrada plana daljeg razvoja ovog sistema kojim se moraju identifikovati primarne oblasti vještačenja u kojima je neophodno prioritetno razvijati programe obuke, kao i definisati mehanizme, rokove i nadležnosti.</w:t>
      </w:r>
    </w:p>
    <w:p w14:paraId="7A63612D" w14:textId="77777777" w:rsidR="00802A44" w:rsidRPr="009A613C" w:rsidRDefault="00802A44" w:rsidP="006A1F45">
      <w:pPr>
        <w:jc w:val="both"/>
      </w:pPr>
    </w:p>
    <w:p w14:paraId="5F82E137" w14:textId="334BD762" w:rsidR="00D448ED" w:rsidRPr="009A613C" w:rsidRDefault="00D448ED" w:rsidP="00D448ED">
      <w:pPr>
        <w:jc w:val="center"/>
      </w:pPr>
      <w:r w:rsidRPr="009A613C">
        <w:rPr>
          <w:i/>
          <w:iCs/>
          <w:sz w:val="20"/>
          <w:szCs w:val="20"/>
        </w:rPr>
        <w:t>Tabela</w:t>
      </w:r>
      <w:r w:rsidR="00802A44">
        <w:rPr>
          <w:i/>
          <w:iCs/>
          <w:sz w:val="20"/>
          <w:szCs w:val="20"/>
        </w:rPr>
        <w:t xml:space="preserve"> </w:t>
      </w:r>
      <w:r w:rsidR="00714363">
        <w:rPr>
          <w:i/>
          <w:iCs/>
          <w:sz w:val="20"/>
          <w:szCs w:val="20"/>
        </w:rPr>
        <w:t>12</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2.2.</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0D7ACF" w:rsidRPr="009A613C" w14:paraId="7CB3EBB2" w14:textId="77777777" w:rsidTr="00BE13A3">
        <w:trPr>
          <w:trHeight w:val="575"/>
        </w:trPr>
        <w:tc>
          <w:tcPr>
            <w:tcW w:w="1250" w:type="pct"/>
            <w:tcBorders>
              <w:top w:val="double" w:sz="4" w:space="0" w:color="auto"/>
            </w:tcBorders>
            <w:shd w:val="clear" w:color="auto" w:fill="FBE4D5" w:themeFill="accent2" w:themeFillTint="33"/>
          </w:tcPr>
          <w:p w14:paraId="53862B31" w14:textId="77777777" w:rsidR="000D7ACF" w:rsidRPr="009A613C" w:rsidRDefault="000D7ACF" w:rsidP="000D7ACF">
            <w:pPr>
              <w:rPr>
                <w:rFonts w:cstheme="minorHAnsi"/>
              </w:rPr>
            </w:pPr>
            <w:r w:rsidRPr="009A613C">
              <w:rPr>
                <w:rFonts w:cstheme="minorHAnsi"/>
              </w:rPr>
              <w:t xml:space="preserve">Operativni </w:t>
            </w:r>
          </w:p>
          <w:p w14:paraId="5C240D02" w14:textId="5D33EB2A" w:rsidR="000D7ACF" w:rsidRPr="009A613C" w:rsidRDefault="000D7ACF" w:rsidP="000D7ACF">
            <w:pPr>
              <w:rPr>
                <w:rFonts w:cstheme="minorHAnsi"/>
              </w:rPr>
            </w:pPr>
            <w:r w:rsidRPr="009A613C">
              <w:rPr>
                <w:rFonts w:cstheme="minorHAnsi"/>
              </w:rPr>
              <w:t>ciljevi</w:t>
            </w:r>
          </w:p>
        </w:tc>
        <w:tc>
          <w:tcPr>
            <w:tcW w:w="1875" w:type="pct"/>
            <w:tcBorders>
              <w:top w:val="double" w:sz="4" w:space="0" w:color="auto"/>
            </w:tcBorders>
            <w:shd w:val="clear" w:color="auto" w:fill="FBE4D5" w:themeFill="accent2" w:themeFillTint="33"/>
          </w:tcPr>
          <w:p w14:paraId="6E13FA50" w14:textId="2BD18778" w:rsidR="000D7ACF" w:rsidRPr="009A613C" w:rsidRDefault="000D7ACF" w:rsidP="000D7ACF">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6AAB4800" w14:textId="77777777" w:rsidR="000D7ACF" w:rsidRDefault="000D7ACF" w:rsidP="000D7ACF">
            <w:pPr>
              <w:rPr>
                <w:rFonts w:cstheme="minorHAnsi"/>
              </w:rPr>
            </w:pPr>
            <w:r w:rsidRPr="009A613C">
              <w:rPr>
                <w:rFonts w:cstheme="minorHAnsi"/>
              </w:rPr>
              <w:t>Početna vrijednost</w:t>
            </w:r>
          </w:p>
          <w:p w14:paraId="0F76C12E" w14:textId="31A483C7" w:rsidR="004802D4" w:rsidRPr="009A613C" w:rsidRDefault="004802D4" w:rsidP="000D7ACF">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59DDCDC3" w14:textId="59E35695" w:rsidR="000D7ACF" w:rsidRPr="009A613C" w:rsidRDefault="000D7ACF" w:rsidP="000D7ACF">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2D2B99B1" w14:textId="017D7138" w:rsidR="000D7ACF" w:rsidRPr="009A613C" w:rsidRDefault="000D7ACF" w:rsidP="000D7ACF">
            <w:pPr>
              <w:rPr>
                <w:rFonts w:cstheme="minorHAnsi"/>
              </w:rPr>
            </w:pPr>
            <w:r w:rsidRPr="009A613C">
              <w:rPr>
                <w:rFonts w:cstheme="minorHAnsi"/>
              </w:rPr>
              <w:t>Ciljana vrijednost 2027.</w:t>
            </w:r>
          </w:p>
        </w:tc>
      </w:tr>
      <w:tr w:rsidR="002835E1" w:rsidRPr="009A613C" w14:paraId="64A058F3" w14:textId="77777777" w:rsidTr="00D16499">
        <w:trPr>
          <w:trHeight w:val="866"/>
        </w:trPr>
        <w:tc>
          <w:tcPr>
            <w:tcW w:w="1250" w:type="pct"/>
            <w:vMerge w:val="restart"/>
            <w:tcBorders>
              <w:top w:val="double" w:sz="4" w:space="0" w:color="auto"/>
            </w:tcBorders>
            <w:shd w:val="clear" w:color="auto" w:fill="E2EFD9" w:themeFill="accent6" w:themeFillTint="33"/>
          </w:tcPr>
          <w:p w14:paraId="2B19DDA6" w14:textId="77777777" w:rsidR="002835E1" w:rsidRPr="009A613C" w:rsidRDefault="002835E1" w:rsidP="000D7ACF">
            <w:pPr>
              <w:rPr>
                <w:rFonts w:cstheme="minorHAnsi"/>
              </w:rPr>
            </w:pPr>
            <w:r w:rsidRPr="009A613C">
              <w:rPr>
                <w:rFonts w:cstheme="minorHAnsi"/>
              </w:rPr>
              <w:t>2.2.</w:t>
            </w:r>
          </w:p>
          <w:p w14:paraId="1A58F476" w14:textId="032397E3" w:rsidR="002835E1" w:rsidRPr="009A613C" w:rsidRDefault="002835E1" w:rsidP="004120A4">
            <w:pPr>
              <w:jc w:val="both"/>
              <w:rPr>
                <w:rFonts w:cstheme="minorHAnsi"/>
              </w:rPr>
            </w:pPr>
            <w:r w:rsidRPr="009A613C">
              <w:rPr>
                <w:rFonts w:cstheme="minorHAnsi"/>
              </w:rPr>
              <w:t>Unaprjeđenje stručnosti pravosudnih profesija</w:t>
            </w:r>
          </w:p>
          <w:p w14:paraId="1D66080C" w14:textId="77777777" w:rsidR="002835E1" w:rsidRPr="009A613C" w:rsidRDefault="002835E1" w:rsidP="000D7ACF">
            <w:pPr>
              <w:rPr>
                <w:rFonts w:cstheme="minorHAnsi"/>
              </w:rPr>
            </w:pPr>
          </w:p>
        </w:tc>
        <w:tc>
          <w:tcPr>
            <w:tcW w:w="1875" w:type="pct"/>
            <w:tcBorders>
              <w:top w:val="double" w:sz="4" w:space="0" w:color="auto"/>
            </w:tcBorders>
            <w:shd w:val="clear" w:color="auto" w:fill="FFFFFF" w:themeFill="background1"/>
          </w:tcPr>
          <w:p w14:paraId="6E4F7BEA" w14:textId="108F7193" w:rsidR="002835E1" w:rsidRPr="009A613C" w:rsidRDefault="002835E1" w:rsidP="0046797F">
            <w:pPr>
              <w:shd w:val="clear" w:color="auto" w:fill="FFFFFF" w:themeFill="background1"/>
              <w:spacing w:after="240"/>
              <w:jc w:val="both"/>
              <w:rPr>
                <w:rFonts w:cstheme="minorHAnsi"/>
              </w:rPr>
            </w:pPr>
            <w:r w:rsidRPr="009A613C">
              <w:rPr>
                <w:rFonts w:cstheme="minorHAnsi"/>
              </w:rPr>
              <w:t xml:space="preserve"> % notara koji su završili obuku u oblasti spr</w:t>
            </w:r>
            <w:r>
              <w:rPr>
                <w:rFonts w:cstheme="minorHAnsi"/>
              </w:rPr>
              <w:t>j</w:t>
            </w:r>
            <w:r w:rsidRPr="009A613C">
              <w:rPr>
                <w:rFonts w:cstheme="minorHAnsi"/>
              </w:rPr>
              <w:t>ečavanja pranja novca</w:t>
            </w:r>
          </w:p>
        </w:tc>
        <w:tc>
          <w:tcPr>
            <w:tcW w:w="625" w:type="pct"/>
            <w:tcBorders>
              <w:top w:val="double" w:sz="4" w:space="0" w:color="auto"/>
            </w:tcBorders>
            <w:shd w:val="clear" w:color="auto" w:fill="FFFFFF" w:themeFill="background1"/>
          </w:tcPr>
          <w:p w14:paraId="7A51ABC0" w14:textId="03751DA1" w:rsidR="002835E1" w:rsidRPr="009A613C" w:rsidRDefault="002835E1" w:rsidP="000D7ACF">
            <w:pPr>
              <w:shd w:val="clear" w:color="auto" w:fill="FFFFFF" w:themeFill="background1"/>
              <w:jc w:val="center"/>
              <w:rPr>
                <w:rFonts w:cstheme="minorHAnsi"/>
              </w:rPr>
            </w:pPr>
            <w:r>
              <w:rPr>
                <w:rFonts w:cstheme="minorHAnsi"/>
              </w:rPr>
              <w:t>1</w:t>
            </w:r>
            <w:r w:rsidRPr="009A613C">
              <w:rPr>
                <w:rFonts w:cstheme="minorHAnsi"/>
              </w:rPr>
              <w:t>0%</w:t>
            </w:r>
          </w:p>
        </w:tc>
        <w:tc>
          <w:tcPr>
            <w:tcW w:w="625" w:type="pct"/>
            <w:tcBorders>
              <w:top w:val="double" w:sz="4" w:space="0" w:color="auto"/>
            </w:tcBorders>
            <w:shd w:val="clear" w:color="auto" w:fill="FFFFFF" w:themeFill="background1"/>
          </w:tcPr>
          <w:p w14:paraId="2A36ECBF" w14:textId="2BB8A26E" w:rsidR="002835E1" w:rsidRPr="009A613C" w:rsidRDefault="002835E1" w:rsidP="000D7ACF">
            <w:pPr>
              <w:shd w:val="clear" w:color="auto" w:fill="FFFFFF" w:themeFill="background1"/>
              <w:jc w:val="center"/>
              <w:rPr>
                <w:rFonts w:cstheme="minorHAnsi"/>
              </w:rPr>
            </w:pPr>
            <w:r w:rsidRPr="009A613C">
              <w:rPr>
                <w:rFonts w:cstheme="minorHAnsi"/>
              </w:rPr>
              <w:t>100%</w:t>
            </w:r>
          </w:p>
        </w:tc>
        <w:tc>
          <w:tcPr>
            <w:tcW w:w="625" w:type="pct"/>
            <w:tcBorders>
              <w:top w:val="double" w:sz="4" w:space="0" w:color="auto"/>
              <w:right w:val="double" w:sz="4" w:space="0" w:color="auto"/>
            </w:tcBorders>
            <w:shd w:val="clear" w:color="auto" w:fill="FFFFFF" w:themeFill="background1"/>
          </w:tcPr>
          <w:p w14:paraId="182528F1" w14:textId="1820E64B" w:rsidR="002835E1" w:rsidRPr="009A613C" w:rsidRDefault="002835E1" w:rsidP="000D7ACF">
            <w:pPr>
              <w:shd w:val="clear" w:color="auto" w:fill="FFFFFF" w:themeFill="background1"/>
              <w:jc w:val="center"/>
              <w:rPr>
                <w:rFonts w:cstheme="minorHAnsi"/>
              </w:rPr>
            </w:pPr>
            <w:r w:rsidRPr="009A613C">
              <w:rPr>
                <w:rFonts w:cstheme="minorHAnsi"/>
              </w:rPr>
              <w:t>100%</w:t>
            </w:r>
          </w:p>
        </w:tc>
      </w:tr>
      <w:tr w:rsidR="000D7ACF" w:rsidRPr="009A613C" w14:paraId="44D89185" w14:textId="77777777" w:rsidTr="000D7ACF">
        <w:trPr>
          <w:trHeight w:val="254"/>
        </w:trPr>
        <w:tc>
          <w:tcPr>
            <w:tcW w:w="1250" w:type="pct"/>
            <w:vMerge/>
            <w:shd w:val="clear" w:color="auto" w:fill="E2EFD9" w:themeFill="accent6" w:themeFillTint="33"/>
          </w:tcPr>
          <w:p w14:paraId="68FFC1CE" w14:textId="77777777" w:rsidR="000D7ACF" w:rsidRPr="009A613C" w:rsidRDefault="000D7ACF" w:rsidP="000D7ACF">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36BAE436" w14:textId="2A3ECFE3" w:rsidR="000D7ACF" w:rsidRPr="009A613C" w:rsidRDefault="000D7ACF" w:rsidP="0046797F">
            <w:pPr>
              <w:shd w:val="clear" w:color="auto" w:fill="FFFFFF" w:themeFill="background1"/>
              <w:spacing w:after="240"/>
              <w:jc w:val="both"/>
              <w:rPr>
                <w:rFonts w:cstheme="minorHAnsi"/>
              </w:rPr>
            </w:pPr>
            <w:r w:rsidRPr="009A613C">
              <w:rPr>
                <w:rFonts w:cstheme="minorHAnsi"/>
              </w:rPr>
              <w:t>Broj novorazvijenih i sprovedenih obuka za javne izvršitelje</w:t>
            </w:r>
          </w:p>
        </w:tc>
        <w:tc>
          <w:tcPr>
            <w:tcW w:w="625" w:type="pct"/>
            <w:tcBorders>
              <w:top w:val="double" w:sz="4" w:space="0" w:color="auto"/>
              <w:bottom w:val="double" w:sz="4" w:space="0" w:color="auto"/>
            </w:tcBorders>
            <w:shd w:val="clear" w:color="auto" w:fill="FFFFFF" w:themeFill="background1"/>
          </w:tcPr>
          <w:p w14:paraId="3AD1C66E" w14:textId="7DA93AF5" w:rsidR="000D7ACF" w:rsidRPr="009A613C" w:rsidRDefault="00E31A1B" w:rsidP="000D7ACF">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tcBorders>
            <w:shd w:val="clear" w:color="auto" w:fill="FFFFFF" w:themeFill="background1"/>
          </w:tcPr>
          <w:p w14:paraId="1CB6497F" w14:textId="46BA0DB5" w:rsidR="000D7ACF" w:rsidRPr="009A613C" w:rsidRDefault="000D7ACF" w:rsidP="000D7ACF">
            <w:pPr>
              <w:shd w:val="clear" w:color="auto" w:fill="FFFFFF" w:themeFill="background1"/>
              <w:jc w:val="center"/>
              <w:rPr>
                <w:rFonts w:cstheme="minorHAnsi"/>
              </w:rPr>
            </w:pPr>
            <w:r w:rsidRPr="009A613C">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182E5752" w14:textId="6AACB537" w:rsidR="000D7ACF" w:rsidRPr="009A613C" w:rsidRDefault="000D7ACF" w:rsidP="000D7ACF">
            <w:pPr>
              <w:shd w:val="clear" w:color="auto" w:fill="FFFFFF" w:themeFill="background1"/>
              <w:jc w:val="center"/>
              <w:rPr>
                <w:rFonts w:cstheme="minorHAnsi"/>
              </w:rPr>
            </w:pPr>
            <w:r w:rsidRPr="009A613C">
              <w:rPr>
                <w:rFonts w:cstheme="minorHAnsi"/>
              </w:rPr>
              <w:t>+4</w:t>
            </w:r>
          </w:p>
        </w:tc>
      </w:tr>
      <w:tr w:rsidR="000D7ACF" w:rsidRPr="009A613C" w14:paraId="48F72725" w14:textId="77777777" w:rsidTr="000D7ACF">
        <w:trPr>
          <w:trHeight w:val="254"/>
        </w:trPr>
        <w:tc>
          <w:tcPr>
            <w:tcW w:w="1250" w:type="pct"/>
            <w:vMerge/>
            <w:shd w:val="clear" w:color="auto" w:fill="E2EFD9" w:themeFill="accent6" w:themeFillTint="33"/>
          </w:tcPr>
          <w:p w14:paraId="43494CA3" w14:textId="77777777" w:rsidR="000D7ACF" w:rsidRPr="009A613C" w:rsidRDefault="000D7ACF" w:rsidP="000D7ACF">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6E0DE659" w14:textId="7EB0DE5C" w:rsidR="000D7ACF" w:rsidRPr="009A613C" w:rsidRDefault="000D7ACF" w:rsidP="0046797F">
            <w:pPr>
              <w:shd w:val="clear" w:color="auto" w:fill="FFFFFF" w:themeFill="background1"/>
              <w:spacing w:after="240"/>
              <w:jc w:val="both"/>
              <w:rPr>
                <w:rFonts w:cstheme="minorHAnsi"/>
              </w:rPr>
            </w:pPr>
            <w:r w:rsidRPr="009A613C">
              <w:rPr>
                <w:rFonts w:cstheme="minorHAnsi"/>
              </w:rPr>
              <w:t>Broj novorazvijenih i sprovedenih obuka za sudske vještake</w:t>
            </w:r>
          </w:p>
        </w:tc>
        <w:tc>
          <w:tcPr>
            <w:tcW w:w="625" w:type="pct"/>
            <w:tcBorders>
              <w:top w:val="double" w:sz="4" w:space="0" w:color="auto"/>
              <w:bottom w:val="double" w:sz="4" w:space="0" w:color="auto"/>
            </w:tcBorders>
            <w:shd w:val="clear" w:color="auto" w:fill="FFFFFF" w:themeFill="background1"/>
          </w:tcPr>
          <w:p w14:paraId="264ADC12" w14:textId="03C94313" w:rsidR="000D7ACF" w:rsidRPr="009A613C" w:rsidRDefault="005051B4" w:rsidP="000D7ACF">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20E95C35" w14:textId="624F7864" w:rsidR="000D7ACF" w:rsidRPr="009A613C" w:rsidRDefault="000D7ACF" w:rsidP="000D7ACF">
            <w:pPr>
              <w:shd w:val="clear" w:color="auto" w:fill="FFFFFF" w:themeFill="background1"/>
              <w:jc w:val="center"/>
              <w:rPr>
                <w:rFonts w:cstheme="minorHAnsi"/>
              </w:rPr>
            </w:pPr>
            <w:r w:rsidRPr="009A613C">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3383238A" w14:textId="1DCA6FAB" w:rsidR="000D7ACF" w:rsidRPr="009A613C" w:rsidRDefault="000D7ACF" w:rsidP="000D7ACF">
            <w:pPr>
              <w:shd w:val="clear" w:color="auto" w:fill="FFFFFF" w:themeFill="background1"/>
              <w:jc w:val="center"/>
              <w:rPr>
                <w:rFonts w:cstheme="minorHAnsi"/>
              </w:rPr>
            </w:pPr>
            <w:r w:rsidRPr="009A613C">
              <w:rPr>
                <w:rFonts w:cstheme="minorHAnsi"/>
              </w:rPr>
              <w:t>+4</w:t>
            </w:r>
          </w:p>
        </w:tc>
      </w:tr>
    </w:tbl>
    <w:p w14:paraId="5018A2A2" w14:textId="3330A4A1" w:rsidR="000D7ACF" w:rsidRDefault="000D7ACF" w:rsidP="006A1F45">
      <w:pPr>
        <w:jc w:val="both"/>
      </w:pPr>
    </w:p>
    <w:p w14:paraId="6C2872AE" w14:textId="77777777" w:rsidR="001B49A8" w:rsidRPr="009A613C" w:rsidRDefault="001B49A8" w:rsidP="006A1F45">
      <w:pPr>
        <w:jc w:val="both"/>
      </w:pPr>
    </w:p>
    <w:p w14:paraId="18AC4CEA" w14:textId="528624CA" w:rsidR="004F6A83" w:rsidRPr="009A613C" w:rsidRDefault="0025255B">
      <w:pPr>
        <w:pStyle w:val="Heading3"/>
        <w:numPr>
          <w:ilvl w:val="1"/>
          <w:numId w:val="9"/>
        </w:numPr>
        <w:spacing w:after="240"/>
        <w:jc w:val="center"/>
        <w:rPr>
          <w:rFonts w:cstheme="minorHAnsi"/>
          <w:sz w:val="23"/>
          <w:szCs w:val="23"/>
        </w:rPr>
      </w:pPr>
      <w:bookmarkStart w:id="37" w:name="_Toc156937965"/>
      <w:r w:rsidRPr="009A613C">
        <w:rPr>
          <w:rFonts w:cstheme="minorHAnsi"/>
          <w:sz w:val="23"/>
          <w:szCs w:val="23"/>
        </w:rPr>
        <w:lastRenderedPageBreak/>
        <w:t>Unaprjeđ</w:t>
      </w:r>
      <w:r w:rsidR="004F6A83" w:rsidRPr="009A613C">
        <w:rPr>
          <w:rFonts w:cstheme="minorHAnsi"/>
          <w:sz w:val="23"/>
          <w:szCs w:val="23"/>
        </w:rPr>
        <w:t>enje kapaciteta Centra za obuku</w:t>
      </w:r>
      <w:r w:rsidR="008B467D" w:rsidRPr="009A613C">
        <w:rPr>
          <w:rFonts w:cstheme="minorHAnsi"/>
          <w:sz w:val="23"/>
          <w:szCs w:val="23"/>
        </w:rPr>
        <w:t xml:space="preserve"> u sudstvu i državnom tužilaštvu</w:t>
      </w:r>
      <w:bookmarkEnd w:id="37"/>
    </w:p>
    <w:p w14:paraId="322D0CDD" w14:textId="33D97710" w:rsidR="00D448ED" w:rsidRPr="00F5656C" w:rsidRDefault="008B467D" w:rsidP="008B467D">
      <w:pPr>
        <w:jc w:val="both"/>
      </w:pPr>
      <w:r w:rsidRPr="00F5656C">
        <w:t>Obezb</w:t>
      </w:r>
      <w:r w:rsidR="002A0646">
        <w:t>j</w:t>
      </w:r>
      <w:r w:rsidRPr="00F5656C">
        <w:t>eđivanje adekvatnih budžetskih, infrastrukturnih i administrativnih kapaciteta Centra za obuku u sudstvu i državnom tužilaštvu predstavlja neophodni preduslov dostizanja i očuvanja kvaliteta i stručnosti rada nosilaca pravosudnih funkcija.</w:t>
      </w:r>
    </w:p>
    <w:p w14:paraId="17D1273B" w14:textId="33875166" w:rsidR="008B467D" w:rsidRPr="00F5656C" w:rsidRDefault="008B467D" w:rsidP="008B467D">
      <w:pPr>
        <w:jc w:val="both"/>
      </w:pPr>
      <w:r w:rsidRPr="00F5656C">
        <w:t>Imajući ovo na umu, u predstojećem periodu je potrebno kontinuirano raditi na obezb</w:t>
      </w:r>
      <w:r w:rsidR="002A0646">
        <w:t>j</w:t>
      </w:r>
      <w:r w:rsidRPr="00F5656C">
        <w:t>eđivanju zakonom definisanog ud</w:t>
      </w:r>
      <w:r w:rsidR="002A0646">
        <w:t>j</w:t>
      </w:r>
      <w:r w:rsidRPr="00F5656C">
        <w:t>ela budžeta Centra. Pored toga, važnu ulogu u efikasnom funkcionisanju Centra igra i osnaživanje administrativnih kapaciteta, na čemu je potrebno raditi na dva paralelna kolos</w:t>
      </w:r>
      <w:r w:rsidR="002A0646">
        <w:t>j</w:t>
      </w:r>
      <w:r w:rsidRPr="00F5656C">
        <w:t>eka:</w:t>
      </w:r>
    </w:p>
    <w:p w14:paraId="4FE66BCD" w14:textId="1DDBC677" w:rsidR="008B467D" w:rsidRPr="00F5656C" w:rsidRDefault="00530F73">
      <w:pPr>
        <w:pStyle w:val="ListParagraph"/>
        <w:numPr>
          <w:ilvl w:val="0"/>
          <w:numId w:val="2"/>
        </w:numPr>
        <w:jc w:val="both"/>
      </w:pPr>
      <w:r w:rsidRPr="00F5656C">
        <w:t>Prvo</w:t>
      </w:r>
      <w:r w:rsidR="008B467D" w:rsidRPr="00F5656C">
        <w:t xml:space="preserve">, neophodno je osigurati kontinuirano popunjavanje sistematizovanih radnih mjesta u Centru, potom i </w:t>
      </w:r>
    </w:p>
    <w:p w14:paraId="3769374B" w14:textId="79ED035F" w:rsidR="008B467D" w:rsidRPr="00F5656C" w:rsidRDefault="00173314">
      <w:pPr>
        <w:pStyle w:val="ListParagraph"/>
        <w:numPr>
          <w:ilvl w:val="0"/>
          <w:numId w:val="2"/>
        </w:numPr>
        <w:jc w:val="both"/>
      </w:pPr>
      <w:r w:rsidRPr="00F5656C">
        <w:t>S</w:t>
      </w:r>
      <w:r w:rsidR="008B467D" w:rsidRPr="00F5656C">
        <w:t>provoditi redovne obuke zaposlenih</w:t>
      </w:r>
      <w:r w:rsidR="00F438AF" w:rsidRPr="00F5656C">
        <w:t>, kao i članova Upravnog odbora i Programskog savjeta</w:t>
      </w:r>
      <w:r w:rsidR="008B467D" w:rsidRPr="00F5656C">
        <w:t xml:space="preserve"> u oblasti strateškog i projektnog planiranja, analitike, monitoringa i evaluacije.</w:t>
      </w:r>
    </w:p>
    <w:p w14:paraId="34F26495" w14:textId="636E7C85" w:rsidR="000D1C6B" w:rsidRPr="00F5656C" w:rsidRDefault="00B11E9C" w:rsidP="00B11E9C">
      <w:pPr>
        <w:jc w:val="both"/>
      </w:pPr>
      <w:r w:rsidRPr="00F5656C">
        <w:t xml:space="preserve">Dalji razvoj </w:t>
      </w:r>
      <w:r w:rsidR="006B23D9">
        <w:t xml:space="preserve">primjene modernih metoda učenja, uključujući i </w:t>
      </w:r>
      <w:r w:rsidRPr="00F5656C">
        <w:t>program učenja na daljinu (</w:t>
      </w:r>
      <w:r w:rsidRPr="00F5656C">
        <w:rPr>
          <w:i/>
          <w:iCs/>
        </w:rPr>
        <w:t>e-learning</w:t>
      </w:r>
      <w:r w:rsidRPr="00F5656C">
        <w:t xml:space="preserve">) treba da bude u fokusu daljeg osnaživanja i razvoja </w:t>
      </w:r>
      <w:r w:rsidR="002A0646">
        <w:t>C</w:t>
      </w:r>
      <w:r w:rsidRPr="00F5656C">
        <w:t>entra.</w:t>
      </w:r>
      <w:r w:rsidR="000D1C6B" w:rsidRPr="00F5656C">
        <w:t xml:space="preserve"> </w:t>
      </w:r>
      <w:r w:rsidR="00F32A75" w:rsidRPr="00F5656C">
        <w:rPr>
          <w:rFonts w:eastAsia="Calibri" w:cs="Calibri"/>
        </w:rPr>
        <w:t>Imajući u vidu značaj koji evidencije o sprovedenim obukama i učešću nosilaca pravosudnih funkcija na obukama imaju u procesu ocjenjivanja njihovog rada i napredovanja, značajnu pažnju treba posvetiti obezb</w:t>
      </w:r>
      <w:r w:rsidR="002A0646">
        <w:rPr>
          <w:rFonts w:eastAsia="Calibri" w:cs="Calibri"/>
        </w:rPr>
        <w:t>j</w:t>
      </w:r>
      <w:r w:rsidR="00F32A75" w:rsidRPr="00F5656C">
        <w:rPr>
          <w:rFonts w:eastAsia="Calibri" w:cs="Calibri"/>
        </w:rPr>
        <w:t>eđivanju interoperabilnost</w:t>
      </w:r>
      <w:r w:rsidR="002A0646">
        <w:rPr>
          <w:rFonts w:eastAsia="Calibri" w:cs="Calibri"/>
        </w:rPr>
        <w:t>i</w:t>
      </w:r>
      <w:r w:rsidR="00F32A75" w:rsidRPr="00F5656C">
        <w:rPr>
          <w:rFonts w:eastAsia="Calibri" w:cs="Calibri"/>
        </w:rPr>
        <w:t xml:space="preserve"> IT sistema Centra sa IT sistemima drugih institucija pravosuđa.</w:t>
      </w:r>
      <w:r w:rsidR="000D1C6B" w:rsidRPr="00F5656C">
        <w:t xml:space="preserve"> </w:t>
      </w:r>
    </w:p>
    <w:p w14:paraId="199D4B8C" w14:textId="20ABF8A6" w:rsidR="00F32A75" w:rsidRPr="009A613C" w:rsidRDefault="000D1C6B" w:rsidP="00B11E9C">
      <w:pPr>
        <w:jc w:val="both"/>
      </w:pPr>
      <w:r w:rsidRPr="00F5656C">
        <w:rPr>
          <w:rFonts w:eastAsia="Calibri" w:cs="Calibri"/>
        </w:rPr>
        <w:t>Neophodno je kontinuirano raditi na unaprjeđenju</w:t>
      </w:r>
      <w:r w:rsidR="00F32A75" w:rsidRPr="00F5656C">
        <w:rPr>
          <w:rFonts w:eastAsia="Calibri" w:cs="Calibri"/>
        </w:rPr>
        <w:t xml:space="preserve"> regionaln</w:t>
      </w:r>
      <w:r w:rsidRPr="00F5656C">
        <w:rPr>
          <w:rFonts w:eastAsia="Calibri" w:cs="Calibri"/>
        </w:rPr>
        <w:t>e</w:t>
      </w:r>
      <w:r w:rsidR="00F32A75" w:rsidRPr="00F5656C">
        <w:rPr>
          <w:rFonts w:eastAsia="Calibri" w:cs="Calibri"/>
        </w:rPr>
        <w:t xml:space="preserve"> i međunarodn</w:t>
      </w:r>
      <w:r w:rsidRPr="00F5656C">
        <w:rPr>
          <w:rFonts w:eastAsia="Calibri" w:cs="Calibri"/>
        </w:rPr>
        <w:t>e</w:t>
      </w:r>
      <w:r w:rsidR="00F32A75" w:rsidRPr="00F5656C">
        <w:rPr>
          <w:rFonts w:eastAsia="Calibri" w:cs="Calibri"/>
        </w:rPr>
        <w:t xml:space="preserve"> saradnj</w:t>
      </w:r>
      <w:r w:rsidRPr="00F5656C">
        <w:rPr>
          <w:rFonts w:eastAsia="Calibri" w:cs="Calibri"/>
        </w:rPr>
        <w:t>e</w:t>
      </w:r>
      <w:r w:rsidR="00F32A75" w:rsidRPr="00F5656C">
        <w:rPr>
          <w:rFonts w:eastAsia="Calibri" w:cs="Calibri"/>
        </w:rPr>
        <w:t>.</w:t>
      </w:r>
    </w:p>
    <w:p w14:paraId="4F1C15C6" w14:textId="0E48E847" w:rsidR="000D7ACF" w:rsidRPr="009A613C" w:rsidRDefault="00D448ED" w:rsidP="00D448ED">
      <w:pPr>
        <w:jc w:val="center"/>
      </w:pPr>
      <w:r w:rsidRPr="009A613C">
        <w:rPr>
          <w:i/>
          <w:iCs/>
          <w:sz w:val="20"/>
          <w:szCs w:val="20"/>
        </w:rPr>
        <w:t xml:space="preserve">Tabela </w:t>
      </w:r>
      <w:r w:rsidR="00714363">
        <w:rPr>
          <w:i/>
          <w:iCs/>
          <w:sz w:val="20"/>
          <w:szCs w:val="20"/>
        </w:rPr>
        <w:t>13</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2.3.</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0D7ACF" w:rsidRPr="009A613C" w14:paraId="787617E8" w14:textId="77777777" w:rsidTr="00BE13A3">
        <w:trPr>
          <w:trHeight w:val="575"/>
        </w:trPr>
        <w:tc>
          <w:tcPr>
            <w:tcW w:w="1250" w:type="pct"/>
            <w:tcBorders>
              <w:top w:val="double" w:sz="4" w:space="0" w:color="auto"/>
            </w:tcBorders>
            <w:shd w:val="clear" w:color="auto" w:fill="FBE4D5" w:themeFill="accent2" w:themeFillTint="33"/>
          </w:tcPr>
          <w:p w14:paraId="1AB9F3F4" w14:textId="77777777" w:rsidR="000D7ACF" w:rsidRPr="009A613C" w:rsidRDefault="000D7ACF" w:rsidP="000D7ACF">
            <w:pPr>
              <w:rPr>
                <w:rFonts w:cstheme="minorHAnsi"/>
              </w:rPr>
            </w:pPr>
            <w:r w:rsidRPr="009A613C">
              <w:rPr>
                <w:rFonts w:cstheme="minorHAnsi"/>
              </w:rPr>
              <w:t xml:space="preserve">Operativni </w:t>
            </w:r>
          </w:p>
          <w:p w14:paraId="56A3EC7D" w14:textId="6AD0A32B" w:rsidR="000D7ACF" w:rsidRPr="009A613C" w:rsidRDefault="000D7ACF" w:rsidP="000D7ACF">
            <w:pPr>
              <w:rPr>
                <w:rFonts w:cstheme="minorHAnsi"/>
              </w:rPr>
            </w:pPr>
            <w:r w:rsidRPr="009A613C">
              <w:rPr>
                <w:rFonts w:cstheme="minorHAnsi"/>
              </w:rPr>
              <w:t>ciljevi</w:t>
            </w:r>
          </w:p>
        </w:tc>
        <w:tc>
          <w:tcPr>
            <w:tcW w:w="1875" w:type="pct"/>
            <w:tcBorders>
              <w:top w:val="double" w:sz="4" w:space="0" w:color="auto"/>
            </w:tcBorders>
            <w:shd w:val="clear" w:color="auto" w:fill="FBE4D5" w:themeFill="accent2" w:themeFillTint="33"/>
          </w:tcPr>
          <w:p w14:paraId="69B46793" w14:textId="6110860E" w:rsidR="000D7ACF" w:rsidRPr="009A613C" w:rsidRDefault="000D7ACF" w:rsidP="000D7ACF">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689C3FD3" w14:textId="77777777" w:rsidR="000D7ACF" w:rsidRDefault="000D7ACF" w:rsidP="000D7ACF">
            <w:pPr>
              <w:rPr>
                <w:rFonts w:cstheme="minorHAnsi"/>
              </w:rPr>
            </w:pPr>
            <w:r w:rsidRPr="009A613C">
              <w:rPr>
                <w:rFonts w:cstheme="minorHAnsi"/>
              </w:rPr>
              <w:t>Početna vrijednost</w:t>
            </w:r>
          </w:p>
          <w:p w14:paraId="48F66F62" w14:textId="57B0FA23" w:rsidR="004802D4" w:rsidRPr="009A613C" w:rsidRDefault="004802D4" w:rsidP="000D7ACF">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311BDB8B" w14:textId="0D5CD426" w:rsidR="000D7ACF" w:rsidRPr="009A613C" w:rsidRDefault="000D7ACF" w:rsidP="000D7ACF">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14C22E47" w14:textId="3D436B87" w:rsidR="000D7ACF" w:rsidRPr="009A613C" w:rsidRDefault="000D7ACF" w:rsidP="000D7ACF">
            <w:pPr>
              <w:rPr>
                <w:rFonts w:cstheme="minorHAnsi"/>
              </w:rPr>
            </w:pPr>
            <w:r w:rsidRPr="009A613C">
              <w:rPr>
                <w:rFonts w:cstheme="minorHAnsi"/>
              </w:rPr>
              <w:t>Ciljana vrijednost 2027.</w:t>
            </w:r>
          </w:p>
        </w:tc>
      </w:tr>
      <w:tr w:rsidR="008649C4" w:rsidRPr="009A613C" w14:paraId="5D0DAD91" w14:textId="77777777" w:rsidTr="00784893">
        <w:trPr>
          <w:trHeight w:val="1583"/>
        </w:trPr>
        <w:tc>
          <w:tcPr>
            <w:tcW w:w="1250" w:type="pct"/>
            <w:vMerge w:val="restart"/>
            <w:tcBorders>
              <w:top w:val="double" w:sz="4" w:space="0" w:color="auto"/>
            </w:tcBorders>
            <w:shd w:val="clear" w:color="auto" w:fill="E2EFD9" w:themeFill="accent6" w:themeFillTint="33"/>
          </w:tcPr>
          <w:p w14:paraId="79B6B028" w14:textId="77777777" w:rsidR="008649C4" w:rsidRPr="009A613C" w:rsidRDefault="008649C4" w:rsidP="000D7ACF">
            <w:pPr>
              <w:rPr>
                <w:rFonts w:cstheme="minorHAnsi"/>
              </w:rPr>
            </w:pPr>
            <w:r w:rsidRPr="009A613C">
              <w:rPr>
                <w:rFonts w:cstheme="minorHAnsi"/>
              </w:rPr>
              <w:t>2.3.</w:t>
            </w:r>
          </w:p>
          <w:p w14:paraId="7090E870" w14:textId="13C8FEA2" w:rsidR="008649C4" w:rsidRPr="009A613C" w:rsidRDefault="008649C4" w:rsidP="004120A4">
            <w:pPr>
              <w:jc w:val="both"/>
              <w:rPr>
                <w:rFonts w:cstheme="minorHAnsi"/>
              </w:rPr>
            </w:pPr>
            <w:r w:rsidRPr="009A613C">
              <w:rPr>
                <w:rFonts w:cstheme="minorHAnsi"/>
              </w:rPr>
              <w:t>Unaprjeđenje kapaciteta Centra za obuku u sudstvu i državnom tužilaštvu</w:t>
            </w:r>
          </w:p>
          <w:p w14:paraId="65800F5F" w14:textId="77777777" w:rsidR="008649C4" w:rsidRPr="009A613C" w:rsidRDefault="008649C4" w:rsidP="000D7ACF">
            <w:pPr>
              <w:rPr>
                <w:rFonts w:cstheme="minorHAnsi"/>
              </w:rPr>
            </w:pPr>
          </w:p>
        </w:tc>
        <w:tc>
          <w:tcPr>
            <w:tcW w:w="1875" w:type="pct"/>
            <w:tcBorders>
              <w:top w:val="double" w:sz="4" w:space="0" w:color="auto"/>
            </w:tcBorders>
            <w:shd w:val="clear" w:color="auto" w:fill="FFFFFF" w:themeFill="background1"/>
          </w:tcPr>
          <w:p w14:paraId="7CDAA585" w14:textId="5EC89E2E" w:rsidR="008649C4" w:rsidRPr="00F5656C" w:rsidRDefault="008649C4" w:rsidP="002A0646">
            <w:pPr>
              <w:shd w:val="clear" w:color="auto" w:fill="FFFFFF" w:themeFill="background1"/>
              <w:spacing w:after="240"/>
              <w:jc w:val="both"/>
              <w:rPr>
                <w:rFonts w:cstheme="minorHAnsi"/>
              </w:rPr>
            </w:pPr>
            <w:r w:rsidRPr="00F5656C">
              <w:rPr>
                <w:rFonts w:cstheme="minorHAnsi"/>
              </w:rPr>
              <w:t xml:space="preserve">% dostignutog </w:t>
            </w:r>
            <w:r>
              <w:rPr>
                <w:rFonts w:cstheme="minorHAnsi"/>
              </w:rPr>
              <w:t>z</w:t>
            </w:r>
            <w:r w:rsidRPr="00F5656C">
              <w:rPr>
                <w:rFonts w:cstheme="minorHAnsi"/>
              </w:rPr>
              <w:t>akonskog targeta budžeta Centra za obuku u sudstvu i državnom tužilaštvu</w:t>
            </w:r>
            <w:r>
              <w:rPr>
                <w:rFonts w:cstheme="minorHAnsi"/>
              </w:rPr>
              <w:t xml:space="preserve"> (</w:t>
            </w:r>
            <w:r w:rsidRPr="00582BFB">
              <w:rPr>
                <w:rFonts w:cstheme="minorHAnsi"/>
              </w:rPr>
              <w:t>2% opredijeljenog budžeta za sudstvo i državno tužilaštvo</w:t>
            </w:r>
            <w:r>
              <w:rPr>
                <w:rFonts w:cstheme="minorHAnsi"/>
              </w:rPr>
              <w:t>)</w:t>
            </w:r>
          </w:p>
        </w:tc>
        <w:tc>
          <w:tcPr>
            <w:tcW w:w="625" w:type="pct"/>
            <w:tcBorders>
              <w:top w:val="double" w:sz="4" w:space="0" w:color="auto"/>
            </w:tcBorders>
            <w:shd w:val="clear" w:color="auto" w:fill="FFFFFF" w:themeFill="background1"/>
          </w:tcPr>
          <w:p w14:paraId="6B0CE2BD" w14:textId="59014219" w:rsidR="008649C4" w:rsidRPr="00582BFB" w:rsidRDefault="008649C4" w:rsidP="000D7ACF">
            <w:pPr>
              <w:shd w:val="clear" w:color="auto" w:fill="FFFFFF" w:themeFill="background1"/>
              <w:jc w:val="center"/>
              <w:rPr>
                <w:rFonts w:cstheme="minorHAnsi"/>
              </w:rPr>
            </w:pPr>
            <w:r w:rsidRPr="00582BFB">
              <w:rPr>
                <w:rFonts w:cstheme="minorHAnsi"/>
              </w:rPr>
              <w:t>60%</w:t>
            </w:r>
          </w:p>
        </w:tc>
        <w:tc>
          <w:tcPr>
            <w:tcW w:w="625" w:type="pct"/>
            <w:tcBorders>
              <w:top w:val="double" w:sz="4" w:space="0" w:color="auto"/>
            </w:tcBorders>
            <w:shd w:val="clear" w:color="auto" w:fill="FFFFFF" w:themeFill="background1"/>
          </w:tcPr>
          <w:p w14:paraId="68635D93" w14:textId="530CEB9D" w:rsidR="008649C4" w:rsidRPr="00582BFB" w:rsidRDefault="008649C4" w:rsidP="000D7ACF">
            <w:pPr>
              <w:shd w:val="clear" w:color="auto" w:fill="FFFFFF" w:themeFill="background1"/>
              <w:jc w:val="center"/>
              <w:rPr>
                <w:rFonts w:cstheme="minorHAnsi"/>
              </w:rPr>
            </w:pPr>
            <w:r w:rsidRPr="00582BFB">
              <w:rPr>
                <w:rFonts w:cstheme="minorHAnsi"/>
              </w:rPr>
              <w:t>100%</w:t>
            </w:r>
          </w:p>
        </w:tc>
        <w:tc>
          <w:tcPr>
            <w:tcW w:w="625" w:type="pct"/>
            <w:tcBorders>
              <w:top w:val="double" w:sz="4" w:space="0" w:color="auto"/>
              <w:right w:val="double" w:sz="4" w:space="0" w:color="auto"/>
            </w:tcBorders>
            <w:shd w:val="clear" w:color="auto" w:fill="FFFFFF" w:themeFill="background1"/>
          </w:tcPr>
          <w:p w14:paraId="4709C66A" w14:textId="31B7BE01" w:rsidR="008649C4" w:rsidRPr="00582BFB" w:rsidRDefault="008649C4" w:rsidP="000D7ACF">
            <w:pPr>
              <w:shd w:val="clear" w:color="auto" w:fill="FFFFFF" w:themeFill="background1"/>
              <w:jc w:val="center"/>
              <w:rPr>
                <w:rFonts w:cstheme="minorHAnsi"/>
              </w:rPr>
            </w:pPr>
            <w:r w:rsidRPr="00582BFB">
              <w:rPr>
                <w:rFonts w:cstheme="minorHAnsi"/>
              </w:rPr>
              <w:t>100%</w:t>
            </w:r>
          </w:p>
        </w:tc>
      </w:tr>
      <w:tr w:rsidR="000D7ACF" w:rsidRPr="009A613C" w14:paraId="75500151" w14:textId="77777777" w:rsidTr="00BE13A3">
        <w:trPr>
          <w:trHeight w:val="254"/>
        </w:trPr>
        <w:tc>
          <w:tcPr>
            <w:tcW w:w="1250" w:type="pct"/>
            <w:vMerge/>
            <w:shd w:val="clear" w:color="auto" w:fill="E2EFD9" w:themeFill="accent6" w:themeFillTint="33"/>
          </w:tcPr>
          <w:p w14:paraId="70C88471" w14:textId="77777777" w:rsidR="000D7ACF" w:rsidRPr="009A613C" w:rsidRDefault="000D7ACF" w:rsidP="000D7ACF">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578DCB0D" w14:textId="781BF3A9" w:rsidR="000D7ACF" w:rsidRPr="00F5656C" w:rsidRDefault="000D7ACF" w:rsidP="002A0646">
            <w:pPr>
              <w:shd w:val="clear" w:color="auto" w:fill="FFFFFF" w:themeFill="background1"/>
              <w:spacing w:after="240"/>
              <w:jc w:val="both"/>
              <w:rPr>
                <w:rFonts w:cstheme="minorHAnsi"/>
              </w:rPr>
            </w:pPr>
            <w:r w:rsidRPr="00F5656C">
              <w:rPr>
                <w:rFonts w:cstheme="minorHAnsi"/>
              </w:rPr>
              <w:t>% popunjenosti sistematizovanih radnih mjesta</w:t>
            </w:r>
            <w:r w:rsidR="00862050">
              <w:rPr>
                <w:rFonts w:cstheme="minorHAnsi"/>
              </w:rPr>
              <w:t xml:space="preserve"> </w:t>
            </w:r>
            <w:r w:rsidR="00862050" w:rsidRPr="00ED323C">
              <w:rPr>
                <w:rFonts w:cstheme="minorHAnsi"/>
              </w:rPr>
              <w:t>u Centru za obuku u sudstvu i državnom tužilaštvu</w:t>
            </w:r>
          </w:p>
        </w:tc>
        <w:tc>
          <w:tcPr>
            <w:tcW w:w="625" w:type="pct"/>
            <w:tcBorders>
              <w:top w:val="double" w:sz="4" w:space="0" w:color="auto"/>
              <w:bottom w:val="double" w:sz="4" w:space="0" w:color="auto"/>
            </w:tcBorders>
            <w:shd w:val="clear" w:color="auto" w:fill="FFFFFF" w:themeFill="background1"/>
          </w:tcPr>
          <w:p w14:paraId="75B3900E" w14:textId="33509C26" w:rsidR="000D7ACF" w:rsidRPr="009A613C" w:rsidRDefault="00C94E5E" w:rsidP="000D7ACF">
            <w:pPr>
              <w:shd w:val="clear" w:color="auto" w:fill="FFFFFF" w:themeFill="background1"/>
              <w:jc w:val="center"/>
              <w:rPr>
                <w:rFonts w:cstheme="minorHAnsi"/>
              </w:rPr>
            </w:pPr>
            <w:r>
              <w:rPr>
                <w:rFonts w:cstheme="minorHAnsi"/>
              </w:rPr>
              <w:t>79%</w:t>
            </w:r>
          </w:p>
        </w:tc>
        <w:tc>
          <w:tcPr>
            <w:tcW w:w="625" w:type="pct"/>
            <w:tcBorders>
              <w:top w:val="double" w:sz="4" w:space="0" w:color="auto"/>
              <w:bottom w:val="double" w:sz="4" w:space="0" w:color="auto"/>
            </w:tcBorders>
            <w:shd w:val="clear" w:color="auto" w:fill="FFFFFF" w:themeFill="background1"/>
          </w:tcPr>
          <w:p w14:paraId="04AA5D3B" w14:textId="48FDDA26" w:rsidR="000D7ACF" w:rsidRPr="009A613C" w:rsidRDefault="00C94E5E" w:rsidP="000D7ACF">
            <w:pPr>
              <w:shd w:val="clear" w:color="auto" w:fill="FFFFFF" w:themeFill="background1"/>
              <w:jc w:val="center"/>
              <w:rPr>
                <w:rFonts w:cstheme="minorHAnsi"/>
              </w:rPr>
            </w:pPr>
            <w:r>
              <w:rPr>
                <w:rFonts w:cstheme="minorHAnsi"/>
              </w:rPr>
              <w:t>85</w:t>
            </w:r>
            <w:r w:rsidR="000D7ACF" w:rsidRPr="009A613C">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16C74287" w14:textId="6E482269" w:rsidR="000D7ACF" w:rsidRPr="009A613C" w:rsidRDefault="000D7ACF" w:rsidP="000D7ACF">
            <w:pPr>
              <w:shd w:val="clear" w:color="auto" w:fill="FFFFFF" w:themeFill="background1"/>
              <w:jc w:val="center"/>
              <w:rPr>
                <w:rFonts w:cstheme="minorHAnsi"/>
              </w:rPr>
            </w:pPr>
            <w:r w:rsidRPr="009A613C">
              <w:rPr>
                <w:rFonts w:cstheme="minorHAnsi"/>
              </w:rPr>
              <w:t>100%</w:t>
            </w:r>
          </w:p>
        </w:tc>
      </w:tr>
      <w:tr w:rsidR="000D7ACF" w:rsidRPr="009A613C" w14:paraId="011B17BB" w14:textId="77777777" w:rsidTr="007A283B">
        <w:trPr>
          <w:trHeight w:val="254"/>
        </w:trPr>
        <w:tc>
          <w:tcPr>
            <w:tcW w:w="1250" w:type="pct"/>
            <w:vMerge/>
            <w:shd w:val="clear" w:color="auto" w:fill="E2EFD9" w:themeFill="accent6" w:themeFillTint="33"/>
          </w:tcPr>
          <w:p w14:paraId="194F7D2F" w14:textId="77777777" w:rsidR="000D7ACF" w:rsidRPr="009A613C" w:rsidRDefault="000D7ACF" w:rsidP="000D7ACF">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19823830" w14:textId="4DA6C566" w:rsidR="000D7ACF" w:rsidRPr="00F5656C" w:rsidRDefault="000D7ACF" w:rsidP="002A0646">
            <w:pPr>
              <w:shd w:val="clear" w:color="auto" w:fill="FFFFFF" w:themeFill="background1"/>
              <w:spacing w:after="240"/>
              <w:jc w:val="both"/>
              <w:rPr>
                <w:rFonts w:cstheme="minorHAnsi"/>
              </w:rPr>
            </w:pPr>
            <w:r w:rsidRPr="00F5656C">
              <w:rPr>
                <w:rFonts w:cstheme="minorHAnsi"/>
              </w:rPr>
              <w:t>Broj obuka za zaposlene</w:t>
            </w:r>
            <w:r w:rsidR="00B8065F" w:rsidRPr="00F5656C">
              <w:rPr>
                <w:rFonts w:cstheme="minorHAnsi"/>
              </w:rPr>
              <w:t xml:space="preserve"> </w:t>
            </w:r>
            <w:r w:rsidR="00B8065F" w:rsidRPr="00F5656C">
              <w:t>kao i članov</w:t>
            </w:r>
            <w:r w:rsidR="006B23D9">
              <w:t>e</w:t>
            </w:r>
            <w:r w:rsidR="00B8065F" w:rsidRPr="00F5656C">
              <w:t xml:space="preserve"> Upravnog odbora i Programskog savjeta</w:t>
            </w:r>
            <w:r w:rsidRPr="00F5656C">
              <w:rPr>
                <w:rFonts w:cstheme="minorHAnsi"/>
              </w:rPr>
              <w:t xml:space="preserve"> u Centru </w:t>
            </w:r>
            <w:r w:rsidR="008B467D" w:rsidRPr="00F5656C">
              <w:rPr>
                <w:rFonts w:cstheme="minorHAnsi"/>
              </w:rPr>
              <w:t xml:space="preserve">za obuku u sudstvu i državnom tužilaštvu </w:t>
            </w:r>
            <w:r w:rsidRPr="00F5656C">
              <w:rPr>
                <w:rFonts w:cstheme="minorHAnsi"/>
              </w:rPr>
              <w:t>u oblasti strateškog i projektnog planiranja, monitoringa i evaluacije</w:t>
            </w:r>
          </w:p>
        </w:tc>
        <w:tc>
          <w:tcPr>
            <w:tcW w:w="625" w:type="pct"/>
            <w:tcBorders>
              <w:top w:val="double" w:sz="4" w:space="0" w:color="auto"/>
              <w:bottom w:val="double" w:sz="4" w:space="0" w:color="auto"/>
            </w:tcBorders>
            <w:shd w:val="clear" w:color="auto" w:fill="FFFFFF" w:themeFill="background1"/>
          </w:tcPr>
          <w:p w14:paraId="33B2412F" w14:textId="373EFB5F" w:rsidR="000D7ACF" w:rsidRPr="009A613C" w:rsidRDefault="00C94E5E" w:rsidP="000D7ACF">
            <w:pPr>
              <w:shd w:val="clear" w:color="auto" w:fill="FFFFFF" w:themeFill="background1"/>
              <w:jc w:val="center"/>
              <w:rPr>
                <w:rFonts w:cstheme="minorHAnsi"/>
              </w:rPr>
            </w:pPr>
            <w:r>
              <w:rPr>
                <w:rFonts w:cstheme="minorHAnsi"/>
              </w:rPr>
              <w:t>3</w:t>
            </w:r>
          </w:p>
        </w:tc>
        <w:tc>
          <w:tcPr>
            <w:tcW w:w="625" w:type="pct"/>
            <w:tcBorders>
              <w:top w:val="double" w:sz="4" w:space="0" w:color="auto"/>
              <w:bottom w:val="double" w:sz="4" w:space="0" w:color="auto"/>
            </w:tcBorders>
            <w:shd w:val="clear" w:color="auto" w:fill="FFFFFF" w:themeFill="background1"/>
          </w:tcPr>
          <w:p w14:paraId="587B874F" w14:textId="3C9ECB8F" w:rsidR="000D7ACF" w:rsidRPr="009A613C" w:rsidRDefault="00C94E5E" w:rsidP="000D7ACF">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1602B65F" w14:textId="675D85B9" w:rsidR="000D7ACF" w:rsidRPr="009A613C" w:rsidRDefault="00C94E5E" w:rsidP="000D7ACF">
            <w:pPr>
              <w:shd w:val="clear" w:color="auto" w:fill="FFFFFF" w:themeFill="background1"/>
              <w:jc w:val="center"/>
              <w:rPr>
                <w:rFonts w:cstheme="minorHAnsi"/>
              </w:rPr>
            </w:pPr>
            <w:r>
              <w:rPr>
                <w:rFonts w:cstheme="minorHAnsi"/>
              </w:rPr>
              <w:t>+4</w:t>
            </w:r>
          </w:p>
        </w:tc>
      </w:tr>
    </w:tbl>
    <w:p w14:paraId="58BB4B6E" w14:textId="77777777" w:rsidR="0002204F" w:rsidRPr="009A613C" w:rsidRDefault="0002204F" w:rsidP="000D7ACF"/>
    <w:p w14:paraId="250F69C7" w14:textId="3A93F832" w:rsidR="004F6A83" w:rsidRPr="009A613C" w:rsidRDefault="004F6A83">
      <w:pPr>
        <w:pStyle w:val="Heading3"/>
        <w:numPr>
          <w:ilvl w:val="1"/>
          <w:numId w:val="9"/>
        </w:numPr>
        <w:spacing w:after="240"/>
        <w:jc w:val="center"/>
        <w:rPr>
          <w:rFonts w:cstheme="minorHAnsi"/>
        </w:rPr>
      </w:pPr>
      <w:bookmarkStart w:id="38" w:name="_Toc156937966"/>
      <w:r w:rsidRPr="009A613C">
        <w:rPr>
          <w:rFonts w:cstheme="minorHAnsi"/>
        </w:rPr>
        <w:lastRenderedPageBreak/>
        <w:t>Optimizacija pravosudne mreže</w:t>
      </w:r>
      <w:bookmarkEnd w:id="38"/>
    </w:p>
    <w:p w14:paraId="1C7CF0FF" w14:textId="3462F8CE" w:rsidR="001810ED" w:rsidRDefault="00530F73" w:rsidP="00A76444">
      <w:pPr>
        <w:jc w:val="both"/>
      </w:pPr>
      <w:r w:rsidRPr="009A613C">
        <w:t>Kao što je ranije pomenuto</w:t>
      </w:r>
      <w:r w:rsidR="002A0646">
        <w:t>,</w:t>
      </w:r>
      <w:r w:rsidRPr="009A613C">
        <w:t xml:space="preserve"> parametri koje CEPEJ prati u sklopu svog mandata pokazuju komparativno odstupajuće podatke o prosječnom broju sudova i sudija</w:t>
      </w:r>
      <w:r w:rsidR="00582BFB">
        <w:t>, kao i broj</w:t>
      </w:r>
      <w:r w:rsidR="00E86EE4">
        <w:t>u</w:t>
      </w:r>
      <w:r w:rsidR="00582BFB">
        <w:t xml:space="preserve"> državnih tužilaca </w:t>
      </w:r>
      <w:r w:rsidRPr="009A613C">
        <w:t>u odnosu na broj stanovnika u Crnoj Gori. Dosadašnji analitički rad na pripremi optimi</w:t>
      </w:r>
      <w:r w:rsidR="00D8111A" w:rsidRPr="009A613C">
        <w:t xml:space="preserve">zacije dao je određene rezultate u pogledu projekcije uticaja ukidanja pojedinih sudova u odnosu na broj predmeta koji imaju u radu. </w:t>
      </w:r>
    </w:p>
    <w:p w14:paraId="7BDB4547" w14:textId="7A3B8053" w:rsidR="001810ED" w:rsidRDefault="001810ED" w:rsidP="001810ED">
      <w:pPr>
        <w:jc w:val="both"/>
      </w:pPr>
      <w:r>
        <w:t xml:space="preserve">Trenutno važeća </w:t>
      </w:r>
      <w:r w:rsidRPr="001810ED">
        <w:t>Odluka o broju sudija u sudovima za pojedine sudove predviđa kao optimalan broj dvoje ili troje sudija.</w:t>
      </w:r>
      <w:r>
        <w:t xml:space="preserve"> Ovaj podatak treba sagledati i u kontekstu činjenice da ovaj broj sudija onemogućava formiranje tročlanih i petočlanih vijeća kada procesni zakoni to zahtijevaju, čime se </w:t>
      </w:r>
      <w:r w:rsidR="000E7268">
        <w:t>blokira</w:t>
      </w:r>
      <w:r>
        <w:t xml:space="preserve"> rad suda u punom kapacitetu.</w:t>
      </w:r>
      <w:r w:rsidRPr="001810ED">
        <w:t xml:space="preserve"> </w:t>
      </w:r>
      <w:r>
        <w:t xml:space="preserve">Istovremeno, otklanjanje ovog problema raspoređivanjem većeg broja sudija, neminovno vodi do </w:t>
      </w:r>
      <w:r w:rsidRPr="001810ED">
        <w:t>nesrazmjerno manje opterećenosti sudije u tom sudu u odnosu na sudije koje funkciju vrše u drugim</w:t>
      </w:r>
      <w:r>
        <w:t xml:space="preserve"> sudovima, prvenstveno u većim</w:t>
      </w:r>
      <w:r w:rsidRPr="001810ED">
        <w:t xml:space="preserve"> gradovima</w:t>
      </w:r>
      <w:r>
        <w:t xml:space="preserve"> gdje je veći i prosječni priliv predmeta</w:t>
      </w:r>
      <w:r w:rsidRPr="001810ED">
        <w:t>.</w:t>
      </w:r>
    </w:p>
    <w:p w14:paraId="37471B59" w14:textId="3847DE02" w:rsidR="006F31E3" w:rsidRDefault="001810ED" w:rsidP="00171720">
      <w:pPr>
        <w:jc w:val="both"/>
      </w:pPr>
      <w:r>
        <w:t>Kada se na navedeno dodaju i vrlo složena pitanja poput geografske površine koju pokriva područje određenog suda, prosječna naseljenost tog područja, starosna i etnička struktura stanovništva, kao i intenzitet privredne djelatnosti, lako se uviđa da se proces koji je do sada nazivan racionalizacija, prije treba tretirati kao optimizacija pravosudne mreže, naročito ako se uzme u obzir da bi prethodno pomenute</w:t>
      </w:r>
      <w:r w:rsidR="00D8111A" w:rsidRPr="009A613C">
        <w:t xml:space="preserve"> nalaze</w:t>
      </w:r>
      <w:r>
        <w:t xml:space="preserve"> </w:t>
      </w:r>
      <w:r w:rsidR="00D8111A" w:rsidRPr="009A613C">
        <w:t>trebalo dopuniti procjenom finansijskih implikacija implementacije nekoliko različitih modela optimizacije pravosudne mreže (</w:t>
      </w:r>
      <w:r w:rsidR="00D8111A" w:rsidRPr="009A613C">
        <w:rPr>
          <w:i/>
          <w:iCs/>
        </w:rPr>
        <w:t>cost assessment</w:t>
      </w:r>
      <w:r w:rsidR="00D8111A" w:rsidRPr="009A613C">
        <w:t>) uzimajući pritom u obzir i uporedna iskustva iz regiona.</w:t>
      </w:r>
      <w:r w:rsidR="00F52A08">
        <w:rPr>
          <w:rStyle w:val="FootnoteReference"/>
        </w:rPr>
        <w:footnoteReference w:id="42"/>
      </w:r>
      <w:r w:rsidR="005C2562" w:rsidRPr="009A613C">
        <w:t xml:space="preserve"> Na osnovu ovako prikupljenih podataka</w:t>
      </w:r>
      <w:r w:rsidR="00363484" w:rsidRPr="009A613C">
        <w:t>, neophodno je izraditi sveobuhvatan plan optimizacije koji bi uključio precizne aktivnosti i rokove za njihovo preduzimanje.</w:t>
      </w:r>
    </w:p>
    <w:p w14:paraId="381CD0C3" w14:textId="77777777" w:rsidR="00171720" w:rsidRPr="00171720" w:rsidRDefault="00171720" w:rsidP="00171720">
      <w:pPr>
        <w:jc w:val="both"/>
      </w:pPr>
    </w:p>
    <w:p w14:paraId="42153CED" w14:textId="297637CA" w:rsidR="00EE701D" w:rsidRPr="009A613C" w:rsidRDefault="00D448ED" w:rsidP="00D448ED">
      <w:pPr>
        <w:jc w:val="center"/>
      </w:pPr>
      <w:r w:rsidRPr="009A613C">
        <w:rPr>
          <w:i/>
          <w:iCs/>
          <w:sz w:val="20"/>
          <w:szCs w:val="20"/>
        </w:rPr>
        <w:t xml:space="preserve">Tabela </w:t>
      </w:r>
      <w:r w:rsidR="00714363">
        <w:rPr>
          <w:i/>
          <w:iCs/>
          <w:sz w:val="20"/>
          <w:szCs w:val="20"/>
        </w:rPr>
        <w:t>14</w:t>
      </w:r>
      <w:r w:rsidRPr="009A613C">
        <w:rPr>
          <w:i/>
          <w:iCs/>
          <w:sz w:val="20"/>
          <w:szCs w:val="20"/>
        </w:rPr>
        <w:t>:</w:t>
      </w:r>
      <w:r w:rsidR="00714363">
        <w:rPr>
          <w:i/>
          <w:iCs/>
          <w:sz w:val="20"/>
          <w:szCs w:val="20"/>
        </w:rPr>
        <w:t xml:space="preserve"> Indikatori realizacije Operativnog cilja 2.4.</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EE701D" w:rsidRPr="009A613C" w14:paraId="13143381" w14:textId="77777777" w:rsidTr="00BE13A3">
        <w:trPr>
          <w:trHeight w:val="575"/>
        </w:trPr>
        <w:tc>
          <w:tcPr>
            <w:tcW w:w="1250" w:type="pct"/>
            <w:tcBorders>
              <w:top w:val="double" w:sz="4" w:space="0" w:color="auto"/>
            </w:tcBorders>
            <w:shd w:val="clear" w:color="auto" w:fill="FBE4D5" w:themeFill="accent2" w:themeFillTint="33"/>
          </w:tcPr>
          <w:p w14:paraId="636208F5" w14:textId="77777777" w:rsidR="00EE701D" w:rsidRPr="009A613C" w:rsidRDefault="00EE701D" w:rsidP="00EE701D">
            <w:pPr>
              <w:rPr>
                <w:rFonts w:cstheme="minorHAnsi"/>
              </w:rPr>
            </w:pPr>
            <w:r w:rsidRPr="009A613C">
              <w:rPr>
                <w:rFonts w:cstheme="minorHAnsi"/>
              </w:rPr>
              <w:t xml:space="preserve">Operativni </w:t>
            </w:r>
          </w:p>
          <w:p w14:paraId="4972938B" w14:textId="42FE794B" w:rsidR="00EE701D" w:rsidRPr="009A613C" w:rsidRDefault="00EE701D" w:rsidP="00EE701D">
            <w:pPr>
              <w:rPr>
                <w:rFonts w:cstheme="minorHAnsi"/>
              </w:rPr>
            </w:pPr>
            <w:r w:rsidRPr="009A613C">
              <w:rPr>
                <w:rFonts w:cstheme="minorHAnsi"/>
              </w:rPr>
              <w:t>ciljevi</w:t>
            </w:r>
          </w:p>
        </w:tc>
        <w:tc>
          <w:tcPr>
            <w:tcW w:w="1875" w:type="pct"/>
            <w:tcBorders>
              <w:top w:val="double" w:sz="4" w:space="0" w:color="auto"/>
            </w:tcBorders>
            <w:shd w:val="clear" w:color="auto" w:fill="FBE4D5" w:themeFill="accent2" w:themeFillTint="33"/>
          </w:tcPr>
          <w:p w14:paraId="4B931748" w14:textId="3780075E" w:rsidR="00EE701D" w:rsidRPr="009A613C" w:rsidRDefault="00EE701D" w:rsidP="00EE701D">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54FB4F0B" w14:textId="77777777" w:rsidR="00EE701D" w:rsidRDefault="00EE701D" w:rsidP="00EE701D">
            <w:pPr>
              <w:rPr>
                <w:rFonts w:cstheme="minorHAnsi"/>
              </w:rPr>
            </w:pPr>
            <w:r w:rsidRPr="009A613C">
              <w:rPr>
                <w:rFonts w:cstheme="minorHAnsi"/>
              </w:rPr>
              <w:t>Početna vrijednost</w:t>
            </w:r>
          </w:p>
          <w:p w14:paraId="64F1128D" w14:textId="719300DC" w:rsidR="004802D4" w:rsidRPr="009A613C" w:rsidRDefault="004802D4" w:rsidP="00EE701D">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0F618C8F" w14:textId="41603909" w:rsidR="00EE701D" w:rsidRPr="009A613C" w:rsidRDefault="00EE701D" w:rsidP="00EE701D">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2C59FB8E" w14:textId="2378EB42" w:rsidR="00EE701D" w:rsidRPr="009A613C" w:rsidRDefault="00EE701D" w:rsidP="00EE701D">
            <w:pPr>
              <w:rPr>
                <w:rFonts w:cstheme="minorHAnsi"/>
              </w:rPr>
            </w:pPr>
            <w:r w:rsidRPr="009A613C">
              <w:rPr>
                <w:rFonts w:cstheme="minorHAnsi"/>
              </w:rPr>
              <w:t>Ciljana vrijednost 2027.</w:t>
            </w:r>
          </w:p>
        </w:tc>
      </w:tr>
      <w:tr w:rsidR="00EE701D" w:rsidRPr="009A613C" w14:paraId="197EC2BD" w14:textId="77777777" w:rsidTr="00BE13A3">
        <w:trPr>
          <w:trHeight w:val="254"/>
        </w:trPr>
        <w:tc>
          <w:tcPr>
            <w:tcW w:w="1250" w:type="pct"/>
            <w:vMerge w:val="restart"/>
            <w:tcBorders>
              <w:top w:val="double" w:sz="4" w:space="0" w:color="auto"/>
            </w:tcBorders>
            <w:shd w:val="clear" w:color="auto" w:fill="E2EFD9" w:themeFill="accent6" w:themeFillTint="33"/>
          </w:tcPr>
          <w:p w14:paraId="5D1619FA" w14:textId="77777777" w:rsidR="00EE701D" w:rsidRPr="009A613C" w:rsidRDefault="00EE701D" w:rsidP="00EE701D">
            <w:pPr>
              <w:rPr>
                <w:rFonts w:cstheme="minorHAnsi"/>
              </w:rPr>
            </w:pPr>
            <w:r w:rsidRPr="009A613C">
              <w:rPr>
                <w:rFonts w:cstheme="minorHAnsi"/>
              </w:rPr>
              <w:t>2.4.</w:t>
            </w:r>
          </w:p>
          <w:p w14:paraId="33EF7E76" w14:textId="77777777" w:rsidR="00EE701D" w:rsidRPr="009A613C" w:rsidRDefault="00EE701D" w:rsidP="000E7268">
            <w:pPr>
              <w:jc w:val="both"/>
              <w:rPr>
                <w:rFonts w:cstheme="minorHAnsi"/>
              </w:rPr>
            </w:pPr>
            <w:r w:rsidRPr="009A613C">
              <w:rPr>
                <w:rFonts w:cstheme="minorHAnsi"/>
              </w:rPr>
              <w:t>Optimizacija pravosudne mreže</w:t>
            </w:r>
          </w:p>
          <w:p w14:paraId="0908A931" w14:textId="77777777" w:rsidR="00EE701D" w:rsidRPr="009A613C" w:rsidRDefault="00EE701D" w:rsidP="00EE701D">
            <w:pPr>
              <w:rPr>
                <w:rFonts w:cstheme="minorHAnsi"/>
              </w:rPr>
            </w:pPr>
          </w:p>
        </w:tc>
        <w:tc>
          <w:tcPr>
            <w:tcW w:w="1875" w:type="pct"/>
            <w:tcBorders>
              <w:top w:val="double" w:sz="4" w:space="0" w:color="auto"/>
              <w:bottom w:val="double" w:sz="4" w:space="0" w:color="auto"/>
            </w:tcBorders>
            <w:shd w:val="clear" w:color="auto" w:fill="FFFFFF" w:themeFill="background1"/>
          </w:tcPr>
          <w:p w14:paraId="2C4F81A9" w14:textId="047A4BC8" w:rsidR="00EE701D" w:rsidRPr="009A613C" w:rsidRDefault="00F62306" w:rsidP="000E7268">
            <w:pPr>
              <w:shd w:val="clear" w:color="auto" w:fill="FFFFFF" w:themeFill="background1"/>
              <w:spacing w:after="240"/>
              <w:jc w:val="both"/>
              <w:rPr>
                <w:rFonts w:cstheme="minorHAnsi"/>
              </w:rPr>
            </w:pPr>
            <w:r w:rsidRPr="00C65614">
              <w:rPr>
                <w:rFonts w:cstheme="minorHAnsi"/>
              </w:rPr>
              <w:t>Aktivnosti i rokovi za optimizaciju pravosudne mreže definisani Planom  optimizacije pravosudne mreže</w:t>
            </w:r>
          </w:p>
        </w:tc>
        <w:tc>
          <w:tcPr>
            <w:tcW w:w="625" w:type="pct"/>
            <w:tcBorders>
              <w:top w:val="double" w:sz="4" w:space="0" w:color="auto"/>
              <w:bottom w:val="double" w:sz="4" w:space="0" w:color="auto"/>
            </w:tcBorders>
            <w:shd w:val="clear" w:color="auto" w:fill="FFFFFF" w:themeFill="background1"/>
          </w:tcPr>
          <w:p w14:paraId="012E0777" w14:textId="15FB0D61" w:rsidR="00EE701D" w:rsidRPr="009A613C" w:rsidRDefault="00EE701D" w:rsidP="00EE701D">
            <w:pPr>
              <w:shd w:val="clear" w:color="auto" w:fill="FFFFFF" w:themeFill="background1"/>
              <w:jc w:val="center"/>
              <w:rPr>
                <w:rFonts w:cstheme="minorHAnsi"/>
              </w:rPr>
            </w:pPr>
            <w:r w:rsidRPr="009A613C">
              <w:rPr>
                <w:rFonts w:cstheme="minorHAnsi"/>
              </w:rPr>
              <w:t>NE</w:t>
            </w:r>
          </w:p>
        </w:tc>
        <w:tc>
          <w:tcPr>
            <w:tcW w:w="625" w:type="pct"/>
            <w:tcBorders>
              <w:top w:val="double" w:sz="4" w:space="0" w:color="auto"/>
              <w:bottom w:val="double" w:sz="4" w:space="0" w:color="auto"/>
            </w:tcBorders>
            <w:shd w:val="clear" w:color="auto" w:fill="FFFFFF" w:themeFill="background1"/>
          </w:tcPr>
          <w:p w14:paraId="5DE11641" w14:textId="5B3CF304" w:rsidR="00EE701D" w:rsidRPr="009A613C" w:rsidRDefault="00EE701D" w:rsidP="00EE701D">
            <w:pPr>
              <w:shd w:val="clear" w:color="auto" w:fill="FFFFFF" w:themeFill="background1"/>
              <w:jc w:val="center"/>
              <w:rPr>
                <w:rFonts w:cstheme="minorHAnsi"/>
              </w:rPr>
            </w:pPr>
            <w:r w:rsidRPr="009A613C">
              <w:rPr>
                <w:rFonts w:cstheme="minorHAnsi"/>
              </w:rPr>
              <w:t>DA</w:t>
            </w:r>
          </w:p>
        </w:tc>
        <w:tc>
          <w:tcPr>
            <w:tcW w:w="625" w:type="pct"/>
            <w:tcBorders>
              <w:top w:val="double" w:sz="4" w:space="0" w:color="auto"/>
              <w:bottom w:val="double" w:sz="4" w:space="0" w:color="auto"/>
              <w:right w:val="double" w:sz="4" w:space="0" w:color="auto"/>
            </w:tcBorders>
            <w:shd w:val="clear" w:color="auto" w:fill="FFFFFF" w:themeFill="background1"/>
          </w:tcPr>
          <w:p w14:paraId="1F1F9408" w14:textId="4C43C3CF" w:rsidR="00EE701D" w:rsidRPr="009A613C" w:rsidRDefault="00EE701D" w:rsidP="00EE701D">
            <w:pPr>
              <w:shd w:val="clear" w:color="auto" w:fill="FFFFFF" w:themeFill="background1"/>
              <w:jc w:val="center"/>
              <w:rPr>
                <w:rFonts w:cstheme="minorHAnsi"/>
              </w:rPr>
            </w:pPr>
            <w:r w:rsidRPr="009A613C">
              <w:rPr>
                <w:rFonts w:cstheme="minorHAnsi"/>
              </w:rPr>
              <w:t>DA</w:t>
            </w:r>
          </w:p>
        </w:tc>
      </w:tr>
      <w:tr w:rsidR="00EE701D" w:rsidRPr="009A613C" w14:paraId="71E349A0" w14:textId="77777777" w:rsidTr="00BE13A3">
        <w:trPr>
          <w:trHeight w:val="254"/>
        </w:trPr>
        <w:tc>
          <w:tcPr>
            <w:tcW w:w="1250" w:type="pct"/>
            <w:vMerge/>
            <w:shd w:val="clear" w:color="auto" w:fill="E2EFD9" w:themeFill="accent6" w:themeFillTint="33"/>
          </w:tcPr>
          <w:p w14:paraId="2F01793E" w14:textId="77777777" w:rsidR="00EE701D" w:rsidRPr="009A613C" w:rsidRDefault="00EE701D" w:rsidP="00EE701D">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66951C48" w14:textId="5EBBB07E" w:rsidR="00EE701D" w:rsidRPr="009A613C" w:rsidRDefault="00EE701D" w:rsidP="00EE701D">
            <w:pPr>
              <w:shd w:val="clear" w:color="auto" w:fill="FFFFFF" w:themeFill="background1"/>
              <w:spacing w:after="240"/>
              <w:rPr>
                <w:rFonts w:cstheme="minorHAnsi"/>
              </w:rPr>
            </w:pPr>
            <w:r w:rsidRPr="009A613C">
              <w:rPr>
                <w:rFonts w:cstheme="minorHAnsi"/>
              </w:rPr>
              <w:t>% sprovedenog plana optimizacije pravosudne mreže</w:t>
            </w:r>
          </w:p>
        </w:tc>
        <w:tc>
          <w:tcPr>
            <w:tcW w:w="625" w:type="pct"/>
            <w:tcBorders>
              <w:top w:val="double" w:sz="4" w:space="0" w:color="auto"/>
              <w:bottom w:val="double" w:sz="4" w:space="0" w:color="auto"/>
            </w:tcBorders>
            <w:shd w:val="clear" w:color="auto" w:fill="FFFFFF" w:themeFill="background1"/>
          </w:tcPr>
          <w:p w14:paraId="016AF16B" w14:textId="616EB8E0" w:rsidR="00EE701D" w:rsidRPr="009A613C" w:rsidRDefault="00EE701D" w:rsidP="00EE701D">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7EBC41A0" w14:textId="0ADCC603" w:rsidR="00EE701D" w:rsidRPr="009A613C" w:rsidRDefault="00E5758E" w:rsidP="00EE701D">
            <w:pPr>
              <w:shd w:val="clear" w:color="auto" w:fill="FFFFFF" w:themeFill="background1"/>
              <w:jc w:val="center"/>
              <w:rPr>
                <w:rFonts w:cstheme="minorHAnsi"/>
              </w:rPr>
            </w:pPr>
            <w:r>
              <w:rPr>
                <w:rFonts w:cstheme="minorHAnsi"/>
              </w:rPr>
              <w:t>2</w:t>
            </w:r>
            <w:r w:rsidR="00EE701D" w:rsidRPr="009A613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172E9A54" w14:textId="643E6ACA" w:rsidR="00EE701D" w:rsidRPr="009A613C" w:rsidRDefault="00EE701D" w:rsidP="00EE701D">
            <w:pPr>
              <w:shd w:val="clear" w:color="auto" w:fill="FFFFFF" w:themeFill="background1"/>
              <w:jc w:val="center"/>
              <w:rPr>
                <w:rFonts w:cstheme="minorHAnsi"/>
              </w:rPr>
            </w:pPr>
            <w:r w:rsidRPr="009A613C">
              <w:rPr>
                <w:rFonts w:cstheme="minorHAnsi"/>
              </w:rPr>
              <w:t>50%</w:t>
            </w:r>
          </w:p>
        </w:tc>
      </w:tr>
    </w:tbl>
    <w:p w14:paraId="1E890EEF" w14:textId="020788D0" w:rsidR="000D7ACF" w:rsidRDefault="000D7ACF" w:rsidP="000D7ACF"/>
    <w:p w14:paraId="76183BA5" w14:textId="77777777" w:rsidR="00171720" w:rsidRPr="009A613C" w:rsidRDefault="00171720" w:rsidP="000D7ACF"/>
    <w:p w14:paraId="5B59B6AE" w14:textId="33952A4D" w:rsidR="004F6A83" w:rsidRPr="009A613C" w:rsidRDefault="0025255B">
      <w:pPr>
        <w:pStyle w:val="Heading3"/>
        <w:numPr>
          <w:ilvl w:val="1"/>
          <w:numId w:val="9"/>
        </w:numPr>
        <w:spacing w:after="240"/>
        <w:jc w:val="center"/>
        <w:rPr>
          <w:rFonts w:cstheme="minorHAnsi"/>
          <w:sz w:val="23"/>
          <w:szCs w:val="23"/>
          <w14:ligatures w14:val="standardContextual"/>
        </w:rPr>
      </w:pPr>
      <w:bookmarkStart w:id="39" w:name="_Toc156937967"/>
      <w:r w:rsidRPr="009A613C">
        <w:rPr>
          <w:rFonts w:cstheme="minorHAnsi"/>
          <w:sz w:val="23"/>
          <w:szCs w:val="23"/>
          <w14:ligatures w14:val="standardContextual"/>
        </w:rPr>
        <w:lastRenderedPageBreak/>
        <w:t>Unaprjeđ</w:t>
      </w:r>
      <w:r w:rsidR="004F6A83" w:rsidRPr="009A613C">
        <w:rPr>
          <w:rFonts w:cstheme="minorHAnsi"/>
          <w:sz w:val="23"/>
          <w:szCs w:val="23"/>
          <w14:ligatures w14:val="standardContextual"/>
        </w:rPr>
        <w:t>enje procesnog zakonodavstva</w:t>
      </w:r>
      <w:bookmarkEnd w:id="39"/>
    </w:p>
    <w:p w14:paraId="160BDC90" w14:textId="0171F237" w:rsidR="00363484" w:rsidRPr="009A613C" w:rsidRDefault="00363484" w:rsidP="00363484">
      <w:r w:rsidRPr="009A613C">
        <w:t xml:space="preserve">Izrada i usvajanje ove Strategije korespondiraju periodu intenzivne legislativne aktivnosti Ministarstva pravde, pri čemu pripreme izmjena procesnog zakonodavstva igraju važnu ulogu u tom procesu. </w:t>
      </w:r>
    </w:p>
    <w:p w14:paraId="5EFCB987" w14:textId="159B09DD" w:rsidR="00363484" w:rsidRPr="009A613C" w:rsidRDefault="00363484" w:rsidP="00E80099">
      <w:pPr>
        <w:jc w:val="both"/>
      </w:pPr>
      <w:r w:rsidRPr="009A613C">
        <w:t xml:space="preserve">U tom smislu, u predstojećem periodu potrebno je privesti kraju izradu nacrta </w:t>
      </w:r>
      <w:r w:rsidR="00E86EE4">
        <w:t>Z</w:t>
      </w:r>
      <w:r w:rsidRPr="009A613C">
        <w:t>akona o izmjenama i dopunama Zakonika o krivičnom postupku</w:t>
      </w:r>
      <w:r w:rsidR="00E80099" w:rsidRPr="009A613C">
        <w:t xml:space="preserve">, Zakona o postupanju prema maloljetnicima u krivičnom postupku, </w:t>
      </w:r>
      <w:r w:rsidRPr="009A613C">
        <w:t>Zakona o parničnom postupku</w:t>
      </w:r>
      <w:r w:rsidR="00E80099" w:rsidRPr="009A613C">
        <w:t xml:space="preserve"> </w:t>
      </w:r>
      <w:r w:rsidR="00E80099" w:rsidRPr="00997CD5">
        <w:t xml:space="preserve">i </w:t>
      </w:r>
      <w:r w:rsidR="00E80099" w:rsidRPr="00F5656C">
        <w:t>Zakona o izvrš</w:t>
      </w:r>
      <w:r w:rsidR="00997CD5" w:rsidRPr="00F5656C">
        <w:t>enju i obezbjeđenju</w:t>
      </w:r>
      <w:r w:rsidRPr="00997CD5">
        <w:t xml:space="preserve">, ali i </w:t>
      </w:r>
      <w:r w:rsidR="00407B62" w:rsidRPr="00997CD5">
        <w:t xml:space="preserve">ponovo </w:t>
      </w:r>
      <w:r w:rsidRPr="00997CD5">
        <w:t xml:space="preserve">započeti proces </w:t>
      </w:r>
      <w:r w:rsidR="00407B62" w:rsidRPr="00997CD5">
        <w:t xml:space="preserve">izmjena i dopuna </w:t>
      </w:r>
      <w:r w:rsidR="00407B62" w:rsidRPr="00F5656C">
        <w:t>Zakona o upravnom sporu.</w:t>
      </w:r>
    </w:p>
    <w:p w14:paraId="57EB4B1F" w14:textId="076E7AD8" w:rsidR="00192DDC" w:rsidRPr="009A613C" w:rsidRDefault="00192DDC" w:rsidP="00E80099">
      <w:pPr>
        <w:jc w:val="both"/>
      </w:pPr>
      <w:r w:rsidRPr="009A613C">
        <w:t xml:space="preserve">Prilikom izmjena krivičnog procesnog zakonodavstva, posebnu pažnju bi trebalo posvetiti usaglašavanju sa relevantnim međunarodnim standardima u oblasti pravde po mjeri djeteta i kao i pristupa pravdi za žrtve krivičnih djela. </w:t>
      </w:r>
    </w:p>
    <w:p w14:paraId="02A4F399" w14:textId="528A3958" w:rsidR="00D448ED" w:rsidRPr="009A613C" w:rsidRDefault="00192DDC" w:rsidP="006B57B0">
      <w:pPr>
        <w:jc w:val="both"/>
        <w:rPr>
          <w:rFonts w:cstheme="minorHAnsi"/>
        </w:rPr>
      </w:pPr>
      <w:r w:rsidRPr="009A613C">
        <w:rPr>
          <w:rFonts w:cstheme="minorHAnsi"/>
        </w:rPr>
        <w:t>Kada je riječ o građanskom procesnom zakonodavstvu, fokus bi trebalo da bude na unapr</w:t>
      </w:r>
      <w:r w:rsidR="00870BE1" w:rsidRPr="009A613C">
        <w:rPr>
          <w:rFonts w:cstheme="minorHAnsi"/>
        </w:rPr>
        <w:t>j</w:t>
      </w:r>
      <w:r w:rsidRPr="009A613C">
        <w:rPr>
          <w:rFonts w:cstheme="minorHAnsi"/>
        </w:rPr>
        <w:t xml:space="preserve">eđenju rada javnih izvršitelja </w:t>
      </w:r>
      <w:r w:rsidR="006405CA" w:rsidRPr="009A613C">
        <w:rPr>
          <w:rFonts w:cstheme="minorHAnsi"/>
        </w:rPr>
        <w:t>kroz prošireni obim baza podataka kojima javni izvršitelji mogu direktno pristupiti</w:t>
      </w:r>
      <w:r w:rsidR="00302A3E" w:rsidRPr="009A613C">
        <w:rPr>
          <w:rFonts w:cstheme="minorHAnsi"/>
        </w:rPr>
        <w:t>, a posebno</w:t>
      </w:r>
      <w:r w:rsidR="006405CA" w:rsidRPr="009A613C">
        <w:rPr>
          <w:rFonts w:cstheme="minorHAnsi"/>
        </w:rPr>
        <w:t xml:space="preserve"> </w:t>
      </w:r>
      <w:r w:rsidR="00302A3E" w:rsidRPr="009A613C">
        <w:rPr>
          <w:rFonts w:eastAsia="Times New Roman" w:cstheme="minorHAnsi"/>
          <w:color w:val="000000"/>
        </w:rPr>
        <w:t>uvezivanje sa registrima Centralnog klirinškog depozitarnog društva (provjera da li su dužnici registrovani u njihovom sistemu hartija od vrijednosti), te Centralne banke Crne Gore vezano za elektronsku razmjenu dokumenata.</w:t>
      </w:r>
      <w:r w:rsidR="00DA58CE">
        <w:rPr>
          <w:rFonts w:eastAsia="Times New Roman" w:cstheme="minorHAnsi"/>
          <w:color w:val="000000"/>
        </w:rPr>
        <w:t xml:space="preserve"> Neophodna je i dalje, kontinuirana digitalizacija procesa.</w:t>
      </w:r>
    </w:p>
    <w:p w14:paraId="50C74A47" w14:textId="443CB305" w:rsidR="00EE701D" w:rsidRPr="009A613C" w:rsidRDefault="00D448ED" w:rsidP="00D448ED">
      <w:pPr>
        <w:jc w:val="center"/>
      </w:pPr>
      <w:r w:rsidRPr="009A613C">
        <w:rPr>
          <w:i/>
          <w:iCs/>
          <w:sz w:val="20"/>
          <w:szCs w:val="20"/>
        </w:rPr>
        <w:t xml:space="preserve">Tabela </w:t>
      </w:r>
      <w:r w:rsidR="00714363">
        <w:rPr>
          <w:i/>
          <w:iCs/>
          <w:sz w:val="20"/>
          <w:szCs w:val="20"/>
        </w:rPr>
        <w:t>15</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2.5.</w:t>
      </w:r>
    </w:p>
    <w:tbl>
      <w:tblPr>
        <w:tblStyle w:val="TableGrid"/>
        <w:tblW w:w="5000" w:type="pct"/>
        <w:tblInd w:w="-5" w:type="dxa"/>
        <w:tblLayout w:type="fixed"/>
        <w:tblLook w:val="04A0" w:firstRow="1" w:lastRow="0" w:firstColumn="1" w:lastColumn="0" w:noHBand="0" w:noVBand="1"/>
      </w:tblPr>
      <w:tblGrid>
        <w:gridCol w:w="2266"/>
        <w:gridCol w:w="3396"/>
        <w:gridCol w:w="1132"/>
        <w:gridCol w:w="1132"/>
        <w:gridCol w:w="1414"/>
      </w:tblGrid>
      <w:tr w:rsidR="00EE701D" w:rsidRPr="009A613C" w14:paraId="4A394C99" w14:textId="77777777" w:rsidTr="00C83318">
        <w:trPr>
          <w:trHeight w:val="575"/>
        </w:trPr>
        <w:tc>
          <w:tcPr>
            <w:tcW w:w="1213" w:type="pct"/>
            <w:tcBorders>
              <w:top w:val="double" w:sz="4" w:space="0" w:color="auto"/>
            </w:tcBorders>
            <w:shd w:val="clear" w:color="auto" w:fill="FBE4D5" w:themeFill="accent2" w:themeFillTint="33"/>
          </w:tcPr>
          <w:p w14:paraId="1B7CA07E" w14:textId="77777777" w:rsidR="00EE701D" w:rsidRPr="009A613C" w:rsidRDefault="00EE701D" w:rsidP="00EE701D">
            <w:pPr>
              <w:rPr>
                <w:rFonts w:cstheme="minorHAnsi"/>
              </w:rPr>
            </w:pPr>
            <w:r w:rsidRPr="009A613C">
              <w:rPr>
                <w:rFonts w:cstheme="minorHAnsi"/>
              </w:rPr>
              <w:t xml:space="preserve">Operativni </w:t>
            </w:r>
          </w:p>
          <w:p w14:paraId="4907D63D" w14:textId="1725BAB9" w:rsidR="00EE701D" w:rsidRPr="009A613C" w:rsidRDefault="00EE701D" w:rsidP="00EE701D">
            <w:pPr>
              <w:rPr>
                <w:rFonts w:cstheme="minorHAnsi"/>
              </w:rPr>
            </w:pPr>
            <w:r w:rsidRPr="009A613C">
              <w:rPr>
                <w:rFonts w:cstheme="minorHAnsi"/>
              </w:rPr>
              <w:t>cilj</w:t>
            </w:r>
          </w:p>
        </w:tc>
        <w:tc>
          <w:tcPr>
            <w:tcW w:w="1818" w:type="pct"/>
            <w:tcBorders>
              <w:top w:val="double" w:sz="4" w:space="0" w:color="auto"/>
            </w:tcBorders>
            <w:shd w:val="clear" w:color="auto" w:fill="FBE4D5" w:themeFill="accent2" w:themeFillTint="33"/>
          </w:tcPr>
          <w:p w14:paraId="4CB2B242" w14:textId="1D79007C" w:rsidR="00EE701D" w:rsidRPr="009A613C" w:rsidRDefault="00EE701D" w:rsidP="00EE701D">
            <w:pPr>
              <w:rPr>
                <w:rFonts w:cstheme="minorHAnsi"/>
              </w:rPr>
            </w:pPr>
            <w:r w:rsidRPr="009A613C">
              <w:rPr>
                <w:rFonts w:cstheme="minorHAnsi"/>
              </w:rPr>
              <w:t>Indikator učinka</w:t>
            </w:r>
          </w:p>
        </w:tc>
        <w:tc>
          <w:tcPr>
            <w:tcW w:w="606" w:type="pct"/>
            <w:tcBorders>
              <w:top w:val="double" w:sz="4" w:space="0" w:color="auto"/>
            </w:tcBorders>
            <w:shd w:val="clear" w:color="auto" w:fill="FBE4D5" w:themeFill="accent2" w:themeFillTint="33"/>
          </w:tcPr>
          <w:p w14:paraId="360563EF" w14:textId="77777777" w:rsidR="00EE701D" w:rsidRDefault="00EE701D" w:rsidP="00EE701D">
            <w:pPr>
              <w:rPr>
                <w:rFonts w:cstheme="minorHAnsi"/>
              </w:rPr>
            </w:pPr>
            <w:r w:rsidRPr="009A613C">
              <w:rPr>
                <w:rFonts w:cstheme="minorHAnsi"/>
              </w:rPr>
              <w:t>Početna vrijednost</w:t>
            </w:r>
          </w:p>
          <w:p w14:paraId="7E6D6E7B" w14:textId="1D027987" w:rsidR="004802D4" w:rsidRPr="009A613C" w:rsidRDefault="004802D4" w:rsidP="00EE701D">
            <w:pPr>
              <w:rPr>
                <w:rFonts w:cstheme="minorHAnsi"/>
              </w:rPr>
            </w:pPr>
            <w:r>
              <w:rPr>
                <w:rFonts w:cstheme="minorHAnsi"/>
              </w:rPr>
              <w:t>2023.</w:t>
            </w:r>
          </w:p>
        </w:tc>
        <w:tc>
          <w:tcPr>
            <w:tcW w:w="606" w:type="pct"/>
            <w:tcBorders>
              <w:top w:val="double" w:sz="4" w:space="0" w:color="auto"/>
            </w:tcBorders>
            <w:shd w:val="clear" w:color="auto" w:fill="FBE4D5" w:themeFill="accent2" w:themeFillTint="33"/>
          </w:tcPr>
          <w:p w14:paraId="47346316" w14:textId="1406A4A8" w:rsidR="00EE701D" w:rsidRPr="009A613C" w:rsidRDefault="00EE701D" w:rsidP="00EE701D">
            <w:pPr>
              <w:rPr>
                <w:rFonts w:cstheme="minorHAnsi"/>
              </w:rPr>
            </w:pPr>
            <w:r w:rsidRPr="009A613C">
              <w:rPr>
                <w:rFonts w:cstheme="minorHAnsi"/>
              </w:rPr>
              <w:t>Ciljana vrijednost 2025.</w:t>
            </w:r>
          </w:p>
        </w:tc>
        <w:tc>
          <w:tcPr>
            <w:tcW w:w="757" w:type="pct"/>
            <w:tcBorders>
              <w:top w:val="double" w:sz="4" w:space="0" w:color="auto"/>
              <w:right w:val="double" w:sz="4" w:space="0" w:color="auto"/>
            </w:tcBorders>
            <w:shd w:val="clear" w:color="auto" w:fill="FBE4D5" w:themeFill="accent2" w:themeFillTint="33"/>
          </w:tcPr>
          <w:p w14:paraId="3FCA2D51" w14:textId="5DE771E2" w:rsidR="00EE701D" w:rsidRPr="009A613C" w:rsidRDefault="00EE701D" w:rsidP="00EE701D">
            <w:pPr>
              <w:rPr>
                <w:rFonts w:cstheme="minorHAnsi"/>
              </w:rPr>
            </w:pPr>
            <w:r w:rsidRPr="009A613C">
              <w:rPr>
                <w:rFonts w:cstheme="minorHAnsi"/>
              </w:rPr>
              <w:t>Ciljana vrijednost 2027.</w:t>
            </w:r>
          </w:p>
        </w:tc>
      </w:tr>
      <w:tr w:rsidR="00EE701D" w:rsidRPr="009A613C" w14:paraId="7D62E0F5" w14:textId="77777777" w:rsidTr="00C83318">
        <w:trPr>
          <w:trHeight w:val="254"/>
        </w:trPr>
        <w:tc>
          <w:tcPr>
            <w:tcW w:w="1213" w:type="pct"/>
            <w:vMerge w:val="restart"/>
            <w:tcBorders>
              <w:top w:val="double" w:sz="4" w:space="0" w:color="auto"/>
            </w:tcBorders>
            <w:shd w:val="clear" w:color="auto" w:fill="E2EFD9" w:themeFill="accent6" w:themeFillTint="33"/>
          </w:tcPr>
          <w:p w14:paraId="2DC36D86" w14:textId="77777777" w:rsidR="00EE701D" w:rsidRPr="009A613C" w:rsidRDefault="00EE701D" w:rsidP="00EE701D">
            <w:pPr>
              <w:rPr>
                <w:rFonts w:cstheme="minorHAnsi"/>
              </w:rPr>
            </w:pPr>
            <w:r w:rsidRPr="009A613C">
              <w:rPr>
                <w:rFonts w:cstheme="minorHAnsi"/>
              </w:rPr>
              <w:t>2.5.</w:t>
            </w:r>
          </w:p>
          <w:p w14:paraId="3D4D82B9" w14:textId="6EE4C760" w:rsidR="00EE701D" w:rsidRPr="009A613C" w:rsidRDefault="0025255B" w:rsidP="00EE701D">
            <w:pPr>
              <w:rPr>
                <w:rFonts w:cstheme="minorHAnsi"/>
              </w:rPr>
            </w:pPr>
            <w:r w:rsidRPr="009A613C">
              <w:rPr>
                <w:rFonts w:cstheme="minorHAnsi"/>
              </w:rPr>
              <w:t>Unaprjeđ</w:t>
            </w:r>
            <w:r w:rsidR="00EE701D" w:rsidRPr="009A613C">
              <w:rPr>
                <w:rFonts w:cstheme="minorHAnsi"/>
              </w:rPr>
              <w:t xml:space="preserve">enje procesnog zakonodavstva </w:t>
            </w:r>
          </w:p>
          <w:p w14:paraId="133C7110" w14:textId="77777777" w:rsidR="00EE701D" w:rsidRPr="009A613C" w:rsidRDefault="00EE701D" w:rsidP="00EE701D">
            <w:pPr>
              <w:rPr>
                <w:rFonts w:cstheme="minorHAnsi"/>
              </w:rPr>
            </w:pPr>
          </w:p>
        </w:tc>
        <w:tc>
          <w:tcPr>
            <w:tcW w:w="1818" w:type="pct"/>
            <w:tcBorders>
              <w:top w:val="double" w:sz="4" w:space="0" w:color="auto"/>
              <w:bottom w:val="double" w:sz="4" w:space="0" w:color="auto"/>
            </w:tcBorders>
            <w:shd w:val="clear" w:color="auto" w:fill="FFFFFF" w:themeFill="background1"/>
          </w:tcPr>
          <w:p w14:paraId="10CA205F" w14:textId="619CD343" w:rsidR="00EE701D" w:rsidRPr="009A613C" w:rsidRDefault="00EE701D" w:rsidP="00EE701D">
            <w:pPr>
              <w:shd w:val="clear" w:color="auto" w:fill="FFFFFF" w:themeFill="background1"/>
              <w:spacing w:after="240"/>
              <w:rPr>
                <w:rFonts w:cstheme="minorHAnsi"/>
              </w:rPr>
            </w:pPr>
            <w:r w:rsidRPr="009A613C">
              <w:rPr>
                <w:rFonts w:cstheme="minorHAnsi"/>
              </w:rPr>
              <w:t>% usvojenih izmjena zakona iz oblasti građanskog zakonodavstva</w:t>
            </w:r>
          </w:p>
        </w:tc>
        <w:tc>
          <w:tcPr>
            <w:tcW w:w="606" w:type="pct"/>
            <w:tcBorders>
              <w:top w:val="double" w:sz="4" w:space="0" w:color="auto"/>
              <w:bottom w:val="double" w:sz="4" w:space="0" w:color="auto"/>
            </w:tcBorders>
            <w:shd w:val="clear" w:color="auto" w:fill="FFFFFF" w:themeFill="background1"/>
          </w:tcPr>
          <w:p w14:paraId="3548A0C6" w14:textId="5861AC4C" w:rsidR="00EE701D" w:rsidRPr="009A613C" w:rsidRDefault="00EE701D" w:rsidP="00EE701D">
            <w:pPr>
              <w:shd w:val="clear" w:color="auto" w:fill="FFFFFF" w:themeFill="background1"/>
              <w:jc w:val="center"/>
              <w:rPr>
                <w:rFonts w:cstheme="minorHAnsi"/>
              </w:rPr>
            </w:pPr>
            <w:r w:rsidRPr="009A613C">
              <w:rPr>
                <w:rFonts w:cstheme="minorHAnsi"/>
              </w:rPr>
              <w:t>0%</w:t>
            </w:r>
          </w:p>
        </w:tc>
        <w:tc>
          <w:tcPr>
            <w:tcW w:w="606" w:type="pct"/>
            <w:tcBorders>
              <w:top w:val="double" w:sz="4" w:space="0" w:color="auto"/>
              <w:bottom w:val="double" w:sz="4" w:space="0" w:color="auto"/>
            </w:tcBorders>
            <w:shd w:val="clear" w:color="auto" w:fill="FFFFFF" w:themeFill="background1"/>
          </w:tcPr>
          <w:p w14:paraId="3E4C919D" w14:textId="361BBC39" w:rsidR="00EE701D" w:rsidRPr="009A613C" w:rsidRDefault="00EE701D" w:rsidP="00EE701D">
            <w:pPr>
              <w:shd w:val="clear" w:color="auto" w:fill="FFFFFF" w:themeFill="background1"/>
              <w:jc w:val="center"/>
              <w:rPr>
                <w:rFonts w:cstheme="minorHAnsi"/>
              </w:rPr>
            </w:pPr>
            <w:r w:rsidRPr="009A613C">
              <w:rPr>
                <w:rFonts w:cstheme="minorHAnsi"/>
              </w:rPr>
              <w:t>80%</w:t>
            </w:r>
          </w:p>
        </w:tc>
        <w:tc>
          <w:tcPr>
            <w:tcW w:w="757" w:type="pct"/>
            <w:tcBorders>
              <w:top w:val="double" w:sz="4" w:space="0" w:color="auto"/>
              <w:bottom w:val="double" w:sz="4" w:space="0" w:color="auto"/>
              <w:right w:val="double" w:sz="4" w:space="0" w:color="auto"/>
            </w:tcBorders>
            <w:shd w:val="clear" w:color="auto" w:fill="FFFFFF" w:themeFill="background1"/>
          </w:tcPr>
          <w:p w14:paraId="1A7B0B08" w14:textId="61109DAA" w:rsidR="00EE701D" w:rsidRPr="009A613C" w:rsidRDefault="00EE701D" w:rsidP="00EE701D">
            <w:pPr>
              <w:shd w:val="clear" w:color="auto" w:fill="FFFFFF" w:themeFill="background1"/>
              <w:jc w:val="center"/>
              <w:rPr>
                <w:rFonts w:cstheme="minorHAnsi"/>
              </w:rPr>
            </w:pPr>
            <w:r w:rsidRPr="009A613C">
              <w:rPr>
                <w:rFonts w:cstheme="minorHAnsi"/>
              </w:rPr>
              <w:t>100%</w:t>
            </w:r>
          </w:p>
        </w:tc>
      </w:tr>
      <w:tr w:rsidR="00EE701D" w:rsidRPr="009A613C" w14:paraId="0E2D50BA" w14:textId="77777777" w:rsidTr="00C83318">
        <w:trPr>
          <w:trHeight w:val="254"/>
        </w:trPr>
        <w:tc>
          <w:tcPr>
            <w:tcW w:w="1213" w:type="pct"/>
            <w:vMerge/>
            <w:shd w:val="clear" w:color="auto" w:fill="E2EFD9" w:themeFill="accent6" w:themeFillTint="33"/>
          </w:tcPr>
          <w:p w14:paraId="555D19E7" w14:textId="77777777" w:rsidR="00EE701D" w:rsidRPr="009A613C" w:rsidRDefault="00EE701D" w:rsidP="00EE701D">
            <w:pPr>
              <w:pStyle w:val="ListParagraph"/>
              <w:ind w:left="314"/>
              <w:rPr>
                <w:rFonts w:cstheme="minorHAnsi"/>
              </w:rPr>
            </w:pPr>
          </w:p>
        </w:tc>
        <w:tc>
          <w:tcPr>
            <w:tcW w:w="1818" w:type="pct"/>
            <w:tcBorders>
              <w:top w:val="double" w:sz="4" w:space="0" w:color="auto"/>
              <w:bottom w:val="double" w:sz="4" w:space="0" w:color="auto"/>
            </w:tcBorders>
            <w:shd w:val="clear" w:color="auto" w:fill="FFFFFF" w:themeFill="background1"/>
          </w:tcPr>
          <w:p w14:paraId="6FB79958" w14:textId="557D5D1F" w:rsidR="00EE701D" w:rsidRPr="009A613C" w:rsidRDefault="00EE701D" w:rsidP="00EE701D">
            <w:pPr>
              <w:shd w:val="clear" w:color="auto" w:fill="FFFFFF" w:themeFill="background1"/>
              <w:spacing w:after="240"/>
              <w:rPr>
                <w:rFonts w:cstheme="minorHAnsi"/>
              </w:rPr>
            </w:pPr>
            <w:r w:rsidRPr="009A613C">
              <w:rPr>
                <w:rFonts w:cstheme="minorHAnsi"/>
              </w:rPr>
              <w:t>% usvojenih izmjena zakona iz oblasti krivičnog zakonodavstva</w:t>
            </w:r>
          </w:p>
        </w:tc>
        <w:tc>
          <w:tcPr>
            <w:tcW w:w="606" w:type="pct"/>
            <w:tcBorders>
              <w:top w:val="double" w:sz="4" w:space="0" w:color="auto"/>
              <w:bottom w:val="double" w:sz="4" w:space="0" w:color="auto"/>
            </w:tcBorders>
            <w:shd w:val="clear" w:color="auto" w:fill="FFFFFF" w:themeFill="background1"/>
          </w:tcPr>
          <w:p w14:paraId="7182AA6B" w14:textId="456A4A59" w:rsidR="00EE701D" w:rsidRPr="009A613C" w:rsidRDefault="00EE701D" w:rsidP="00EE701D">
            <w:pPr>
              <w:shd w:val="clear" w:color="auto" w:fill="FFFFFF" w:themeFill="background1"/>
              <w:jc w:val="center"/>
              <w:rPr>
                <w:rFonts w:cstheme="minorHAnsi"/>
              </w:rPr>
            </w:pPr>
            <w:r w:rsidRPr="009A613C">
              <w:rPr>
                <w:rFonts w:cstheme="minorHAnsi"/>
              </w:rPr>
              <w:t>0%</w:t>
            </w:r>
          </w:p>
        </w:tc>
        <w:tc>
          <w:tcPr>
            <w:tcW w:w="606" w:type="pct"/>
            <w:tcBorders>
              <w:top w:val="double" w:sz="4" w:space="0" w:color="auto"/>
              <w:bottom w:val="double" w:sz="4" w:space="0" w:color="auto"/>
            </w:tcBorders>
            <w:shd w:val="clear" w:color="auto" w:fill="FFFFFF" w:themeFill="background1"/>
          </w:tcPr>
          <w:p w14:paraId="3CD0C8FA" w14:textId="19B31B3D" w:rsidR="00EE701D" w:rsidRPr="009A613C" w:rsidRDefault="00EE701D" w:rsidP="00EE701D">
            <w:pPr>
              <w:shd w:val="clear" w:color="auto" w:fill="FFFFFF" w:themeFill="background1"/>
              <w:jc w:val="center"/>
              <w:rPr>
                <w:rFonts w:cstheme="minorHAnsi"/>
              </w:rPr>
            </w:pPr>
            <w:r w:rsidRPr="009A613C">
              <w:rPr>
                <w:rFonts w:cstheme="minorHAnsi"/>
              </w:rPr>
              <w:t>70%</w:t>
            </w:r>
          </w:p>
        </w:tc>
        <w:tc>
          <w:tcPr>
            <w:tcW w:w="757" w:type="pct"/>
            <w:tcBorders>
              <w:top w:val="double" w:sz="4" w:space="0" w:color="auto"/>
              <w:bottom w:val="double" w:sz="4" w:space="0" w:color="auto"/>
              <w:right w:val="double" w:sz="4" w:space="0" w:color="auto"/>
            </w:tcBorders>
            <w:shd w:val="clear" w:color="auto" w:fill="FFFFFF" w:themeFill="background1"/>
          </w:tcPr>
          <w:p w14:paraId="30BAED46" w14:textId="34E932CD" w:rsidR="00EE701D" w:rsidRPr="009A613C" w:rsidRDefault="00997CD5" w:rsidP="00EE701D">
            <w:pPr>
              <w:shd w:val="clear" w:color="auto" w:fill="FFFFFF" w:themeFill="background1"/>
              <w:jc w:val="center"/>
              <w:rPr>
                <w:rFonts w:cstheme="minorHAnsi"/>
              </w:rPr>
            </w:pPr>
            <w:r>
              <w:rPr>
                <w:rFonts w:cstheme="minorHAnsi"/>
              </w:rPr>
              <w:t>100</w:t>
            </w:r>
            <w:r w:rsidR="00EE701D" w:rsidRPr="009A613C">
              <w:rPr>
                <w:rFonts w:cstheme="minorHAnsi"/>
              </w:rPr>
              <w:t>%</w:t>
            </w:r>
          </w:p>
        </w:tc>
      </w:tr>
      <w:tr w:rsidR="00EE701D" w:rsidRPr="009A613C" w14:paraId="6039CDB2" w14:textId="77777777" w:rsidTr="00C83318">
        <w:trPr>
          <w:trHeight w:val="254"/>
        </w:trPr>
        <w:tc>
          <w:tcPr>
            <w:tcW w:w="1213" w:type="pct"/>
            <w:vMerge/>
            <w:shd w:val="clear" w:color="auto" w:fill="E2EFD9" w:themeFill="accent6" w:themeFillTint="33"/>
          </w:tcPr>
          <w:p w14:paraId="7B7EAF2E" w14:textId="77777777" w:rsidR="00EE701D" w:rsidRPr="009A613C" w:rsidRDefault="00EE701D" w:rsidP="00EE701D">
            <w:pPr>
              <w:pStyle w:val="ListParagraph"/>
              <w:ind w:left="314"/>
              <w:rPr>
                <w:rFonts w:cstheme="minorHAnsi"/>
              </w:rPr>
            </w:pPr>
          </w:p>
        </w:tc>
        <w:tc>
          <w:tcPr>
            <w:tcW w:w="1818" w:type="pct"/>
            <w:tcBorders>
              <w:top w:val="double" w:sz="4" w:space="0" w:color="auto"/>
              <w:bottom w:val="double" w:sz="4" w:space="0" w:color="auto"/>
            </w:tcBorders>
            <w:shd w:val="clear" w:color="auto" w:fill="FFFFFF" w:themeFill="background1"/>
          </w:tcPr>
          <w:p w14:paraId="46138015" w14:textId="41F45A31" w:rsidR="00EE701D" w:rsidRPr="009A613C" w:rsidRDefault="00EE701D" w:rsidP="00EE701D">
            <w:pPr>
              <w:shd w:val="clear" w:color="auto" w:fill="FFFFFF" w:themeFill="background1"/>
              <w:spacing w:after="240"/>
              <w:rPr>
                <w:rFonts w:cstheme="minorHAnsi"/>
              </w:rPr>
            </w:pPr>
            <w:r w:rsidRPr="009A613C">
              <w:rPr>
                <w:rFonts w:cstheme="minorHAnsi"/>
              </w:rPr>
              <w:t>% usvojenih izmjena zakona iz oblasti upravnog zakonodavstva</w:t>
            </w:r>
          </w:p>
        </w:tc>
        <w:tc>
          <w:tcPr>
            <w:tcW w:w="606" w:type="pct"/>
            <w:tcBorders>
              <w:top w:val="double" w:sz="4" w:space="0" w:color="auto"/>
              <w:bottom w:val="double" w:sz="4" w:space="0" w:color="auto"/>
            </w:tcBorders>
            <w:shd w:val="clear" w:color="auto" w:fill="FFFFFF" w:themeFill="background1"/>
          </w:tcPr>
          <w:p w14:paraId="75256F95" w14:textId="5634DEFE" w:rsidR="00EE701D" w:rsidRPr="009A613C" w:rsidRDefault="00EE701D" w:rsidP="00EE701D">
            <w:pPr>
              <w:shd w:val="clear" w:color="auto" w:fill="FFFFFF" w:themeFill="background1"/>
              <w:jc w:val="center"/>
              <w:rPr>
                <w:rFonts w:cstheme="minorHAnsi"/>
              </w:rPr>
            </w:pPr>
            <w:r w:rsidRPr="009A613C">
              <w:rPr>
                <w:rFonts w:cstheme="minorHAnsi"/>
              </w:rPr>
              <w:t>0%</w:t>
            </w:r>
          </w:p>
        </w:tc>
        <w:tc>
          <w:tcPr>
            <w:tcW w:w="606" w:type="pct"/>
            <w:tcBorders>
              <w:top w:val="double" w:sz="4" w:space="0" w:color="auto"/>
              <w:bottom w:val="double" w:sz="4" w:space="0" w:color="auto"/>
            </w:tcBorders>
            <w:shd w:val="clear" w:color="auto" w:fill="FFFFFF" w:themeFill="background1"/>
          </w:tcPr>
          <w:p w14:paraId="38368BAF" w14:textId="29F3449D" w:rsidR="00EE701D" w:rsidRPr="009A613C" w:rsidRDefault="005F2C16" w:rsidP="00EE701D">
            <w:pPr>
              <w:shd w:val="clear" w:color="auto" w:fill="FFFFFF" w:themeFill="background1"/>
              <w:jc w:val="center"/>
              <w:rPr>
                <w:rFonts w:cstheme="minorHAnsi"/>
              </w:rPr>
            </w:pPr>
            <w:r>
              <w:rPr>
                <w:rFonts w:cstheme="minorHAnsi"/>
              </w:rPr>
              <w:t>8</w:t>
            </w:r>
            <w:r w:rsidR="00EE701D" w:rsidRPr="009A613C">
              <w:rPr>
                <w:rFonts w:cstheme="minorHAnsi"/>
              </w:rPr>
              <w:t>0%</w:t>
            </w:r>
          </w:p>
        </w:tc>
        <w:tc>
          <w:tcPr>
            <w:tcW w:w="757" w:type="pct"/>
            <w:tcBorders>
              <w:top w:val="double" w:sz="4" w:space="0" w:color="auto"/>
              <w:bottom w:val="double" w:sz="4" w:space="0" w:color="auto"/>
              <w:right w:val="double" w:sz="4" w:space="0" w:color="auto"/>
            </w:tcBorders>
            <w:shd w:val="clear" w:color="auto" w:fill="FFFFFF" w:themeFill="background1"/>
          </w:tcPr>
          <w:p w14:paraId="1F99896D" w14:textId="67B9B76B" w:rsidR="00EE701D" w:rsidRPr="009A613C" w:rsidRDefault="00EE701D" w:rsidP="00EE701D">
            <w:pPr>
              <w:shd w:val="clear" w:color="auto" w:fill="FFFFFF" w:themeFill="background1"/>
              <w:jc w:val="center"/>
              <w:rPr>
                <w:rFonts w:cstheme="minorHAnsi"/>
              </w:rPr>
            </w:pPr>
            <w:r w:rsidRPr="009A613C">
              <w:rPr>
                <w:rFonts w:cstheme="minorHAnsi"/>
              </w:rPr>
              <w:t>100%</w:t>
            </w:r>
          </w:p>
        </w:tc>
      </w:tr>
    </w:tbl>
    <w:p w14:paraId="3EC53078" w14:textId="77777777" w:rsidR="00715698" w:rsidRPr="009A613C" w:rsidRDefault="00715698" w:rsidP="00EE701D"/>
    <w:p w14:paraId="1BC224AE" w14:textId="1AB0E080" w:rsidR="004F6A83" w:rsidRPr="009A613C" w:rsidRDefault="004F6A83">
      <w:pPr>
        <w:pStyle w:val="Heading3"/>
        <w:numPr>
          <w:ilvl w:val="1"/>
          <w:numId w:val="9"/>
        </w:numPr>
        <w:spacing w:after="240"/>
        <w:jc w:val="center"/>
        <w:rPr>
          <w:rFonts w:cstheme="minorHAnsi"/>
          <w:sz w:val="23"/>
          <w:szCs w:val="23"/>
          <w14:ligatures w14:val="standardContextual"/>
        </w:rPr>
      </w:pPr>
      <w:bookmarkStart w:id="40" w:name="_Toc156937968"/>
      <w:r w:rsidRPr="009A613C">
        <w:rPr>
          <w:rFonts w:cstheme="minorHAnsi"/>
          <w:sz w:val="23"/>
          <w:szCs w:val="23"/>
          <w14:ligatures w14:val="standardContextual"/>
        </w:rPr>
        <w:t>Smanjenje broja zaostalih predmeta</w:t>
      </w:r>
      <w:r w:rsidR="00ED600E" w:rsidRPr="009A613C">
        <w:rPr>
          <w:rFonts w:cstheme="minorHAnsi"/>
          <w:sz w:val="23"/>
          <w:szCs w:val="23"/>
          <w14:ligatures w14:val="standardContextual"/>
        </w:rPr>
        <w:t xml:space="preserve"> i jačanje alternativnog rješavanja sporova</w:t>
      </w:r>
      <w:bookmarkEnd w:id="40"/>
    </w:p>
    <w:p w14:paraId="709520CF" w14:textId="68D75A2F" w:rsidR="000752FD" w:rsidRPr="009A613C" w:rsidRDefault="000752FD" w:rsidP="000752FD">
      <w:pPr>
        <w:jc w:val="both"/>
      </w:pPr>
      <w:r w:rsidRPr="009A613C">
        <w:t xml:space="preserve">Otklanjanje zastoja u izboru nosilaca pravosudnih funkcija kroz aktivnosti ranije opisane u okviru Strateškog cilja 1, </w:t>
      </w:r>
      <w:r w:rsidR="00A0010D" w:rsidRPr="009A613C">
        <w:t>samo je jedan</w:t>
      </w:r>
      <w:r w:rsidR="002A0646">
        <w:t>,</w:t>
      </w:r>
      <w:r w:rsidR="00A0010D" w:rsidRPr="009A613C">
        <w:t xml:space="preserve"> ali ne i dovoljan pravac djelovanja kada je riječ o smanjenju broja zaostalih predmeta. Naime, ovaj proces je u velikoj m</w:t>
      </w:r>
      <w:r w:rsidR="005D4470" w:rsidRPr="009A613C">
        <w:t>j</w:t>
      </w:r>
      <w:r w:rsidR="00A0010D" w:rsidRPr="009A613C">
        <w:t xml:space="preserve">eri povezan sa planskim i efikasnim rješavanjem starih predmeta koji dugotrajno opterećuju pravosuđe, </w:t>
      </w:r>
      <w:r w:rsidR="00BD69D3" w:rsidRPr="009A613C">
        <w:t>unaprijeđenim</w:t>
      </w:r>
      <w:r w:rsidR="00A0010D" w:rsidRPr="009A613C">
        <w:t xml:space="preserve"> upravljanjem predmetima (</w:t>
      </w:r>
      <w:r w:rsidR="00A0010D" w:rsidRPr="009A613C">
        <w:rPr>
          <w:i/>
          <w:iCs/>
        </w:rPr>
        <w:t>case management</w:t>
      </w:r>
      <w:r w:rsidR="00A0010D" w:rsidRPr="009A613C">
        <w:t xml:space="preserve">) uključujući naprednu upotrebu digitalnih alata, </w:t>
      </w:r>
      <w:r w:rsidR="00170B0A" w:rsidRPr="009A613C">
        <w:t>ali i smanjenje priliva predmeta kroz proširenu primjenu alternativnog rješavanja sporova.</w:t>
      </w:r>
    </w:p>
    <w:p w14:paraId="1B133977" w14:textId="77777777" w:rsidR="0030199D" w:rsidRPr="009A613C" w:rsidRDefault="000D3BD6" w:rsidP="000752FD">
      <w:pPr>
        <w:jc w:val="both"/>
      </w:pPr>
      <w:r w:rsidRPr="009A613C">
        <w:t>Kako su aktivnosti usmjerene na unaprjeđenje IKT-a u pravosuđu adresirane kroz aktivnosti za sprovođenje Operativnog cilja 2.8</w:t>
      </w:r>
      <w:r w:rsidR="0030199D" w:rsidRPr="009A613C">
        <w:t xml:space="preserve">, realizacija Operativnog cilja 2.6. odvijaće se kroz ažuriranje i efektivno sprovođenje Programa za rješavanje starih predmeta. </w:t>
      </w:r>
    </w:p>
    <w:p w14:paraId="67FDD20E" w14:textId="4412C0AE" w:rsidR="000D3BD6" w:rsidRPr="009A613C" w:rsidRDefault="0030199D" w:rsidP="004904AE">
      <w:pPr>
        <w:spacing w:after="0"/>
        <w:jc w:val="both"/>
      </w:pPr>
      <w:r w:rsidRPr="009A613C">
        <w:lastRenderedPageBreak/>
        <w:t xml:space="preserve">Dodatno, </w:t>
      </w:r>
      <w:r w:rsidR="006F7EF6">
        <w:t xml:space="preserve">budući da je usvojen </w:t>
      </w:r>
      <w:r w:rsidRPr="009A613C">
        <w:t xml:space="preserve"> Program za unaprjeđenje alternativnog rješavanja sporova</w:t>
      </w:r>
      <w:r w:rsidR="006F7EF6">
        <w:t xml:space="preserve"> (2023-2025)</w:t>
      </w:r>
      <w:r w:rsidRPr="009A613C">
        <w:t>, čime</w:t>
      </w:r>
      <w:r w:rsidR="006F7EF6">
        <w:t xml:space="preserve"> se otvaraju</w:t>
      </w:r>
      <w:r w:rsidRPr="009A613C">
        <w:t xml:space="preserve"> nove perspektive proširenja primjene ovog načina rješavanja sporova</w:t>
      </w:r>
      <w:r w:rsidR="002A0646">
        <w:t>,</w:t>
      </w:r>
      <w:r w:rsidR="006F7EF6">
        <w:t xml:space="preserve"> </w:t>
      </w:r>
      <w:r w:rsidR="002A0646">
        <w:t>p</w:t>
      </w:r>
      <w:r w:rsidR="006F7EF6">
        <w:t>otrebno je</w:t>
      </w:r>
      <w:r w:rsidR="00A349C5" w:rsidRPr="009A613C">
        <w:t xml:space="preserve"> definisati mehanizme jačanja kapaciteta Centra za alternativno rješavanje sporova.</w:t>
      </w:r>
    </w:p>
    <w:p w14:paraId="23D1B51E" w14:textId="77777777" w:rsidR="00D448ED" w:rsidRPr="009A613C" w:rsidRDefault="00D448ED" w:rsidP="00D448ED"/>
    <w:p w14:paraId="561E8AD9" w14:textId="0D989245" w:rsidR="00EE701D" w:rsidRPr="009A613C" w:rsidRDefault="00D448ED" w:rsidP="00D448ED">
      <w:pPr>
        <w:jc w:val="center"/>
      </w:pPr>
      <w:r w:rsidRPr="009A613C">
        <w:rPr>
          <w:i/>
          <w:iCs/>
          <w:sz w:val="20"/>
          <w:szCs w:val="20"/>
        </w:rPr>
        <w:t xml:space="preserve">Tabela </w:t>
      </w:r>
      <w:r w:rsidR="00714363">
        <w:rPr>
          <w:i/>
          <w:iCs/>
          <w:sz w:val="20"/>
          <w:szCs w:val="20"/>
        </w:rPr>
        <w:t>16</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2.6.</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EE701D" w:rsidRPr="009A613C" w14:paraId="66D44DE5" w14:textId="77777777" w:rsidTr="00BE13A3">
        <w:trPr>
          <w:trHeight w:val="575"/>
        </w:trPr>
        <w:tc>
          <w:tcPr>
            <w:tcW w:w="1250" w:type="pct"/>
            <w:tcBorders>
              <w:top w:val="double" w:sz="4" w:space="0" w:color="auto"/>
            </w:tcBorders>
            <w:shd w:val="clear" w:color="auto" w:fill="FBE4D5" w:themeFill="accent2" w:themeFillTint="33"/>
          </w:tcPr>
          <w:p w14:paraId="4A4105A0" w14:textId="77777777" w:rsidR="00EE701D" w:rsidRPr="009A613C" w:rsidRDefault="00EE701D" w:rsidP="00EE701D">
            <w:pPr>
              <w:rPr>
                <w:rFonts w:cstheme="minorHAnsi"/>
              </w:rPr>
            </w:pPr>
            <w:r w:rsidRPr="009A613C">
              <w:rPr>
                <w:rFonts w:cstheme="minorHAnsi"/>
              </w:rPr>
              <w:t xml:space="preserve">Operativni </w:t>
            </w:r>
          </w:p>
          <w:p w14:paraId="0A55F492" w14:textId="3B819980" w:rsidR="00EE701D" w:rsidRPr="009A613C" w:rsidRDefault="00EE701D" w:rsidP="00EE701D">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1E944122" w14:textId="75EA9D30" w:rsidR="00EE701D" w:rsidRPr="009A613C" w:rsidRDefault="00EE701D" w:rsidP="00EE701D">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5984E5E9" w14:textId="77777777" w:rsidR="00EE701D" w:rsidRDefault="00EE701D" w:rsidP="00EE701D">
            <w:pPr>
              <w:rPr>
                <w:rFonts w:cstheme="minorHAnsi"/>
              </w:rPr>
            </w:pPr>
            <w:r w:rsidRPr="009A613C">
              <w:rPr>
                <w:rFonts w:cstheme="minorHAnsi"/>
              </w:rPr>
              <w:t>Početna vrijednost</w:t>
            </w:r>
          </w:p>
          <w:p w14:paraId="389382C1" w14:textId="41383B6C" w:rsidR="004802D4" w:rsidRPr="009A613C" w:rsidRDefault="004802D4" w:rsidP="00EE701D">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0E0BF1F2" w14:textId="5B8F7D66" w:rsidR="00EE701D" w:rsidRPr="009A613C" w:rsidRDefault="00EE701D" w:rsidP="00EE701D">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7B4D7D7E" w14:textId="2ACAA5E5" w:rsidR="00EE701D" w:rsidRPr="009A613C" w:rsidRDefault="00EE701D" w:rsidP="00EE701D">
            <w:pPr>
              <w:rPr>
                <w:rFonts w:cstheme="minorHAnsi"/>
              </w:rPr>
            </w:pPr>
            <w:r w:rsidRPr="009A613C">
              <w:rPr>
                <w:rFonts w:cstheme="minorHAnsi"/>
              </w:rPr>
              <w:t>Ciljana vrijednost 2027.</w:t>
            </w:r>
          </w:p>
        </w:tc>
      </w:tr>
      <w:tr w:rsidR="00EE701D" w:rsidRPr="009A613C" w14:paraId="253050CB" w14:textId="77777777" w:rsidTr="00BE13A3">
        <w:trPr>
          <w:trHeight w:val="254"/>
        </w:trPr>
        <w:tc>
          <w:tcPr>
            <w:tcW w:w="1250" w:type="pct"/>
            <w:vMerge w:val="restart"/>
            <w:tcBorders>
              <w:top w:val="double" w:sz="4" w:space="0" w:color="auto"/>
            </w:tcBorders>
            <w:shd w:val="clear" w:color="auto" w:fill="E2EFD9" w:themeFill="accent6" w:themeFillTint="33"/>
          </w:tcPr>
          <w:p w14:paraId="1E72533F" w14:textId="77777777" w:rsidR="00EE701D" w:rsidRPr="009A613C" w:rsidRDefault="00EE701D" w:rsidP="00EE701D">
            <w:pPr>
              <w:rPr>
                <w:rFonts w:cstheme="minorHAnsi"/>
              </w:rPr>
            </w:pPr>
            <w:r w:rsidRPr="009A613C">
              <w:rPr>
                <w:rFonts w:cstheme="minorHAnsi"/>
              </w:rPr>
              <w:t>2.6.</w:t>
            </w:r>
          </w:p>
          <w:p w14:paraId="22F04AFD" w14:textId="77777777" w:rsidR="00EE701D" w:rsidRPr="009A613C" w:rsidRDefault="00EE701D" w:rsidP="000E7268">
            <w:pPr>
              <w:jc w:val="both"/>
              <w:rPr>
                <w:rFonts w:cstheme="minorHAnsi"/>
              </w:rPr>
            </w:pPr>
            <w:r w:rsidRPr="009A613C">
              <w:rPr>
                <w:rFonts w:cstheme="minorHAnsi"/>
              </w:rPr>
              <w:t>Smanjenje broja zaostalih predmeta i jačanje alternativnog rješavanja sporova</w:t>
            </w:r>
          </w:p>
          <w:p w14:paraId="79BD4598" w14:textId="77777777" w:rsidR="00EE701D" w:rsidRPr="009A613C" w:rsidRDefault="00EE701D" w:rsidP="00EE701D">
            <w:pPr>
              <w:rPr>
                <w:rFonts w:cstheme="minorHAnsi"/>
              </w:rPr>
            </w:pPr>
          </w:p>
        </w:tc>
        <w:tc>
          <w:tcPr>
            <w:tcW w:w="1875" w:type="pct"/>
            <w:tcBorders>
              <w:top w:val="double" w:sz="4" w:space="0" w:color="auto"/>
              <w:bottom w:val="double" w:sz="4" w:space="0" w:color="auto"/>
            </w:tcBorders>
            <w:shd w:val="clear" w:color="auto" w:fill="FFFFFF" w:themeFill="background1"/>
          </w:tcPr>
          <w:p w14:paraId="6D23DEA3" w14:textId="208756BA" w:rsidR="00EE701D" w:rsidRPr="009A613C" w:rsidRDefault="00EE701D" w:rsidP="00F9620A">
            <w:pPr>
              <w:shd w:val="clear" w:color="auto" w:fill="FFFFFF" w:themeFill="background1"/>
              <w:spacing w:after="240"/>
              <w:jc w:val="both"/>
              <w:rPr>
                <w:rFonts w:cstheme="minorHAnsi"/>
              </w:rPr>
            </w:pPr>
            <w:r w:rsidRPr="009A613C">
              <w:rPr>
                <w:rFonts w:cstheme="minorHAnsi"/>
              </w:rPr>
              <w:t>% savladavanja priliva</w:t>
            </w:r>
            <w:r w:rsidR="000E7268">
              <w:rPr>
                <w:rFonts w:cstheme="minorHAnsi"/>
              </w:rPr>
              <w:t xml:space="preserve"> predmeta</w:t>
            </w:r>
          </w:p>
        </w:tc>
        <w:tc>
          <w:tcPr>
            <w:tcW w:w="625" w:type="pct"/>
            <w:tcBorders>
              <w:top w:val="double" w:sz="4" w:space="0" w:color="auto"/>
              <w:bottom w:val="double" w:sz="4" w:space="0" w:color="auto"/>
            </w:tcBorders>
            <w:shd w:val="clear" w:color="auto" w:fill="FFFFFF" w:themeFill="background1"/>
          </w:tcPr>
          <w:p w14:paraId="14210E53" w14:textId="390899B3" w:rsidR="00EE701D" w:rsidRPr="009A613C" w:rsidRDefault="002C2056" w:rsidP="00EE701D">
            <w:pPr>
              <w:shd w:val="clear" w:color="auto" w:fill="FFFFFF" w:themeFill="background1"/>
              <w:jc w:val="center"/>
              <w:rPr>
                <w:rFonts w:cstheme="minorHAnsi"/>
              </w:rPr>
            </w:pPr>
            <w:r>
              <w:rPr>
                <w:rFonts w:cstheme="minorHAnsi"/>
              </w:rPr>
              <w:t>84, 76</w:t>
            </w:r>
            <w:r w:rsidR="00EE701D" w:rsidRPr="009A613C">
              <w:rPr>
                <w:rFonts w:cstheme="minorHAnsi"/>
              </w:rPr>
              <w:t>%</w:t>
            </w:r>
          </w:p>
        </w:tc>
        <w:tc>
          <w:tcPr>
            <w:tcW w:w="625" w:type="pct"/>
            <w:tcBorders>
              <w:top w:val="double" w:sz="4" w:space="0" w:color="auto"/>
              <w:bottom w:val="double" w:sz="4" w:space="0" w:color="auto"/>
            </w:tcBorders>
            <w:shd w:val="clear" w:color="auto" w:fill="FFFFFF" w:themeFill="background1"/>
          </w:tcPr>
          <w:p w14:paraId="532F4A69" w14:textId="793A56A0" w:rsidR="00EE701D" w:rsidRPr="009A613C" w:rsidRDefault="002C2056" w:rsidP="00EE701D">
            <w:pPr>
              <w:shd w:val="clear" w:color="auto" w:fill="FFFFFF" w:themeFill="background1"/>
              <w:jc w:val="center"/>
              <w:rPr>
                <w:rFonts w:cstheme="minorHAnsi"/>
              </w:rPr>
            </w:pPr>
            <w:r>
              <w:rPr>
                <w:rFonts w:cstheme="minorHAnsi"/>
              </w:rPr>
              <w:t>100</w:t>
            </w:r>
            <w:r w:rsidR="00EE701D" w:rsidRPr="009A613C">
              <w:rPr>
                <w:rFonts w:cstheme="minorHAnsi"/>
              </w:rPr>
              <w:t>%</w:t>
            </w:r>
          </w:p>
        </w:tc>
        <w:tc>
          <w:tcPr>
            <w:tcW w:w="625" w:type="pct"/>
            <w:tcBorders>
              <w:top w:val="double" w:sz="4" w:space="0" w:color="auto"/>
              <w:bottom w:val="double" w:sz="4" w:space="0" w:color="auto"/>
              <w:right w:val="double" w:sz="4" w:space="0" w:color="auto"/>
            </w:tcBorders>
            <w:shd w:val="clear" w:color="auto" w:fill="FFFFFF" w:themeFill="background1"/>
          </w:tcPr>
          <w:p w14:paraId="58468A31" w14:textId="5AF6A4C4" w:rsidR="00EE701D" w:rsidRPr="009A613C" w:rsidRDefault="00EE701D" w:rsidP="00EE701D">
            <w:pPr>
              <w:shd w:val="clear" w:color="auto" w:fill="FFFFFF" w:themeFill="background1"/>
              <w:jc w:val="center"/>
              <w:rPr>
                <w:rFonts w:cstheme="minorHAnsi"/>
              </w:rPr>
            </w:pPr>
            <w:r w:rsidRPr="009A613C">
              <w:rPr>
                <w:rFonts w:cstheme="minorHAnsi"/>
              </w:rPr>
              <w:t>10</w:t>
            </w:r>
            <w:r w:rsidR="002C2056">
              <w:rPr>
                <w:rFonts w:cstheme="minorHAnsi"/>
              </w:rPr>
              <w:t>1</w:t>
            </w:r>
            <w:r w:rsidRPr="009A613C">
              <w:rPr>
                <w:rFonts w:cstheme="minorHAnsi"/>
              </w:rPr>
              <w:t>%</w:t>
            </w:r>
          </w:p>
        </w:tc>
      </w:tr>
      <w:tr w:rsidR="00EE701D" w:rsidRPr="009A613C" w14:paraId="55AA46EC" w14:textId="77777777" w:rsidTr="00BE13A3">
        <w:trPr>
          <w:trHeight w:val="254"/>
        </w:trPr>
        <w:tc>
          <w:tcPr>
            <w:tcW w:w="1250" w:type="pct"/>
            <w:vMerge/>
            <w:tcBorders>
              <w:bottom w:val="double" w:sz="4" w:space="0" w:color="auto"/>
            </w:tcBorders>
            <w:shd w:val="clear" w:color="auto" w:fill="E2EFD9" w:themeFill="accent6" w:themeFillTint="33"/>
          </w:tcPr>
          <w:p w14:paraId="78177A55" w14:textId="77777777" w:rsidR="00EE701D" w:rsidRPr="009A613C" w:rsidRDefault="00EE701D" w:rsidP="00EE701D">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37BD19DF" w14:textId="7B19AE6A" w:rsidR="00EE701D" w:rsidRPr="009A613C" w:rsidRDefault="00EE701D" w:rsidP="00F9620A">
            <w:pPr>
              <w:shd w:val="clear" w:color="auto" w:fill="FFFFFF" w:themeFill="background1"/>
              <w:spacing w:after="240"/>
              <w:jc w:val="both"/>
              <w:rPr>
                <w:rFonts w:cstheme="minorHAnsi"/>
              </w:rPr>
            </w:pPr>
            <w:r w:rsidRPr="009A613C">
              <w:rPr>
                <w:rFonts w:cstheme="minorHAnsi"/>
              </w:rPr>
              <w:t>Broj predmeta riješenih medijacijom na godišnjem nivou</w:t>
            </w:r>
          </w:p>
        </w:tc>
        <w:tc>
          <w:tcPr>
            <w:tcW w:w="625" w:type="pct"/>
            <w:tcBorders>
              <w:top w:val="double" w:sz="4" w:space="0" w:color="auto"/>
              <w:bottom w:val="double" w:sz="4" w:space="0" w:color="auto"/>
            </w:tcBorders>
            <w:shd w:val="clear" w:color="auto" w:fill="FFFFFF" w:themeFill="background1"/>
          </w:tcPr>
          <w:p w14:paraId="6C9657C0" w14:textId="00087178" w:rsidR="00EE701D" w:rsidRPr="009A613C" w:rsidRDefault="0050354F" w:rsidP="00EE701D">
            <w:pPr>
              <w:shd w:val="clear" w:color="auto" w:fill="FFFFFF" w:themeFill="background1"/>
              <w:jc w:val="center"/>
              <w:rPr>
                <w:rFonts w:cstheme="minorHAnsi"/>
              </w:rPr>
            </w:pPr>
            <w:r>
              <w:rPr>
                <w:rFonts w:cstheme="minorHAnsi"/>
              </w:rPr>
              <w:t>2</w:t>
            </w:r>
            <w:r w:rsidR="00A65C7E">
              <w:rPr>
                <w:rFonts w:cstheme="minorHAnsi"/>
              </w:rPr>
              <w:t>.</w:t>
            </w:r>
            <w:r>
              <w:rPr>
                <w:rFonts w:cstheme="minorHAnsi"/>
              </w:rPr>
              <w:t>397</w:t>
            </w:r>
          </w:p>
        </w:tc>
        <w:tc>
          <w:tcPr>
            <w:tcW w:w="625" w:type="pct"/>
            <w:tcBorders>
              <w:top w:val="double" w:sz="4" w:space="0" w:color="auto"/>
              <w:bottom w:val="double" w:sz="4" w:space="0" w:color="auto"/>
            </w:tcBorders>
            <w:shd w:val="clear" w:color="auto" w:fill="FFFFFF" w:themeFill="background1"/>
          </w:tcPr>
          <w:p w14:paraId="5EB1557D" w14:textId="614A5CCE" w:rsidR="00EE701D" w:rsidRPr="009A613C" w:rsidRDefault="0050354F" w:rsidP="00EE701D">
            <w:pPr>
              <w:shd w:val="clear" w:color="auto" w:fill="FFFFFF" w:themeFill="background1"/>
              <w:jc w:val="center"/>
              <w:rPr>
                <w:rFonts w:cstheme="minorHAnsi"/>
              </w:rPr>
            </w:pPr>
            <w:r>
              <w:rPr>
                <w:rFonts w:cstheme="minorHAnsi"/>
              </w:rPr>
              <w:t>2</w:t>
            </w:r>
            <w:r w:rsidR="00A65C7E">
              <w:rPr>
                <w:rFonts w:cstheme="minorHAnsi"/>
              </w:rPr>
              <w:t>.</w:t>
            </w:r>
            <w:r>
              <w:rPr>
                <w:rFonts w:cstheme="minorHAnsi"/>
              </w:rPr>
              <w:t>600</w:t>
            </w:r>
          </w:p>
        </w:tc>
        <w:tc>
          <w:tcPr>
            <w:tcW w:w="625" w:type="pct"/>
            <w:tcBorders>
              <w:top w:val="double" w:sz="4" w:space="0" w:color="auto"/>
              <w:bottom w:val="double" w:sz="4" w:space="0" w:color="auto"/>
              <w:right w:val="double" w:sz="4" w:space="0" w:color="auto"/>
            </w:tcBorders>
            <w:shd w:val="clear" w:color="auto" w:fill="FFFFFF" w:themeFill="background1"/>
          </w:tcPr>
          <w:p w14:paraId="54297640" w14:textId="4273D1E1" w:rsidR="00EE701D" w:rsidRPr="009A613C" w:rsidRDefault="0050354F" w:rsidP="00EE701D">
            <w:pPr>
              <w:shd w:val="clear" w:color="auto" w:fill="FFFFFF" w:themeFill="background1"/>
              <w:jc w:val="center"/>
              <w:rPr>
                <w:rFonts w:cstheme="minorHAnsi"/>
              </w:rPr>
            </w:pPr>
            <w:r>
              <w:rPr>
                <w:rFonts w:cstheme="minorHAnsi"/>
              </w:rPr>
              <w:t>3</w:t>
            </w:r>
            <w:r w:rsidR="00A65C7E">
              <w:rPr>
                <w:rFonts w:cstheme="minorHAnsi"/>
              </w:rPr>
              <w:t>.</w:t>
            </w:r>
            <w:r>
              <w:rPr>
                <w:rFonts w:cstheme="minorHAnsi"/>
              </w:rPr>
              <w:t>000</w:t>
            </w:r>
          </w:p>
        </w:tc>
      </w:tr>
    </w:tbl>
    <w:p w14:paraId="2D35F71E" w14:textId="77777777" w:rsidR="00EE701D" w:rsidRPr="009A613C" w:rsidRDefault="00EE701D" w:rsidP="001B7BA4">
      <w:pPr>
        <w:pStyle w:val="Heading3"/>
      </w:pPr>
    </w:p>
    <w:p w14:paraId="0205D72B" w14:textId="7B958C9C" w:rsidR="004F6A83" w:rsidRDefault="001B7BA4" w:rsidP="00130D50">
      <w:pPr>
        <w:pStyle w:val="Heading3"/>
        <w:jc w:val="center"/>
      </w:pPr>
      <w:bookmarkStart w:id="41" w:name="_Toc156937969"/>
      <w:r w:rsidRPr="001B7BA4">
        <w:t>2.7</w:t>
      </w:r>
      <w:r w:rsidR="005C599E">
        <w:t>.</w:t>
      </w:r>
      <w:r>
        <w:t xml:space="preserve"> </w:t>
      </w:r>
      <w:r w:rsidR="0025255B" w:rsidRPr="001B7BA4">
        <w:t>Unaprjeđ</w:t>
      </w:r>
      <w:r w:rsidR="004F6A83" w:rsidRPr="001B7BA4">
        <w:t>enje sistema pravosudnog menadžmenta</w:t>
      </w:r>
      <w:r w:rsidR="00ED600E" w:rsidRPr="001B7BA4">
        <w:t xml:space="preserve">, </w:t>
      </w:r>
      <w:r w:rsidR="004F6A83" w:rsidRPr="001B7BA4">
        <w:t xml:space="preserve">administracije </w:t>
      </w:r>
      <w:r w:rsidR="00ED600E" w:rsidRPr="001B7BA4">
        <w:t>i strateškog planiranja</w:t>
      </w:r>
      <w:bookmarkEnd w:id="41"/>
    </w:p>
    <w:p w14:paraId="24944856" w14:textId="77777777" w:rsidR="001B7BA4" w:rsidRPr="001B7BA4" w:rsidRDefault="001B7BA4" w:rsidP="001B7BA4"/>
    <w:p w14:paraId="4ADF7931" w14:textId="215B17C3" w:rsidR="008B7068" w:rsidRPr="009A613C" w:rsidRDefault="00F9620A" w:rsidP="00F9620A">
      <w:pPr>
        <w:jc w:val="both"/>
      </w:pPr>
      <w:r w:rsidRPr="009A613C">
        <w:t>Efikasno planiranje</w:t>
      </w:r>
      <w:r w:rsidR="00D91475" w:rsidRPr="009A613C">
        <w:t xml:space="preserve"> i</w:t>
      </w:r>
      <w:r w:rsidRPr="009A613C">
        <w:t xml:space="preserve"> upravljanje </w:t>
      </w:r>
      <w:r w:rsidR="00D91475" w:rsidRPr="009A613C">
        <w:t xml:space="preserve">resursima i </w:t>
      </w:r>
      <w:r w:rsidRPr="009A613C">
        <w:t>procesima, izvještavanje i evaluacija rezultata, neizostavni su segmenti unaprijeđenog rada pravosuđa u svim njegovim segmentima, uključujući tu i blisko povezane institucije poput Ministarstva pravde. Imajući ovo u vidu, u periodu koji predstoji potrebno je raditi na kontinuiranom i precizno targetiranom jačanju kapaciteta Sudskog i Tužilačkog savjeta, kao i Ministarstva pravde na dva paralelna kolos</w:t>
      </w:r>
      <w:r w:rsidR="002A0646">
        <w:t>j</w:t>
      </w:r>
      <w:r w:rsidRPr="009A613C">
        <w:t>eka</w:t>
      </w:r>
      <w:r w:rsidR="006209BA" w:rsidRPr="009A613C">
        <w:t>:</w:t>
      </w:r>
    </w:p>
    <w:p w14:paraId="6846E15C" w14:textId="2A237133" w:rsidR="006209BA" w:rsidRPr="009A613C" w:rsidRDefault="006209BA">
      <w:pPr>
        <w:pStyle w:val="ListParagraph"/>
        <w:numPr>
          <w:ilvl w:val="0"/>
          <w:numId w:val="2"/>
        </w:numPr>
        <w:ind w:left="714" w:hanging="357"/>
        <w:contextualSpacing w:val="0"/>
        <w:jc w:val="both"/>
      </w:pPr>
      <w:r w:rsidRPr="009A613C">
        <w:t>Centralizacija i automatizacija procesa rada kroz primjenu softvera za centralizovano upravljanje budžetom i ljudskim resursima</w:t>
      </w:r>
      <w:r w:rsidR="00D91475" w:rsidRPr="009A613C">
        <w:t xml:space="preserve"> (ERP)</w:t>
      </w:r>
      <w:r w:rsidR="001041FF" w:rsidRPr="009A613C">
        <w:t>,</w:t>
      </w:r>
    </w:p>
    <w:p w14:paraId="021D4B20" w14:textId="2CBA7E2E" w:rsidR="00D91475" w:rsidRPr="009A613C" w:rsidRDefault="00D91475">
      <w:pPr>
        <w:pStyle w:val="ListParagraph"/>
        <w:numPr>
          <w:ilvl w:val="0"/>
          <w:numId w:val="2"/>
        </w:numPr>
        <w:ind w:left="714" w:hanging="357"/>
        <w:contextualSpacing w:val="0"/>
        <w:jc w:val="both"/>
      </w:pPr>
      <w:r w:rsidRPr="009A613C">
        <w:t xml:space="preserve">Unaprjeđenje procesa izvještavanja o </w:t>
      </w:r>
      <w:r w:rsidR="001041FF" w:rsidRPr="009A613C">
        <w:t>primjeni relevantnih dokumenata javnih politika, kroz unaprjeđenje i unifikaciju metodološkog pristupa (</w:t>
      </w:r>
      <w:r w:rsidR="001041FF" w:rsidRPr="009A613C">
        <w:rPr>
          <w:i/>
          <w:iCs/>
        </w:rPr>
        <w:t>indicator based</w:t>
      </w:r>
      <w:r w:rsidR="001041FF" w:rsidRPr="009A613C">
        <w:t>) i upotrebu digitalnih alata,</w:t>
      </w:r>
    </w:p>
    <w:p w14:paraId="2DE992EC" w14:textId="4E0CFC83" w:rsidR="001041FF" w:rsidRPr="009A613C" w:rsidRDefault="001041FF">
      <w:pPr>
        <w:pStyle w:val="ListParagraph"/>
        <w:numPr>
          <w:ilvl w:val="0"/>
          <w:numId w:val="2"/>
        </w:numPr>
        <w:ind w:left="714" w:hanging="357"/>
        <w:contextualSpacing w:val="0"/>
        <w:jc w:val="both"/>
      </w:pPr>
      <w:r w:rsidRPr="009A613C">
        <w:t>Unaprjeđenje praktičnih vještina članova oba savjeta i zaposlenih u njihovim sekretarijatima, kao i zaposlenih u Ministarstvu pravde, između ostalog, u oblasti strateškog i budžetskog planiranja, analitike, kao i planiranja i sprovođenja projekata.</w:t>
      </w:r>
    </w:p>
    <w:p w14:paraId="1A29B710" w14:textId="7CC550D6" w:rsidR="00EE701D" w:rsidRPr="009A613C" w:rsidRDefault="00D448ED" w:rsidP="00D448ED">
      <w:pPr>
        <w:jc w:val="center"/>
      </w:pPr>
      <w:r w:rsidRPr="009A613C">
        <w:rPr>
          <w:i/>
          <w:iCs/>
          <w:sz w:val="20"/>
          <w:szCs w:val="20"/>
        </w:rPr>
        <w:t xml:space="preserve">Tabela </w:t>
      </w:r>
      <w:r w:rsidR="00714363">
        <w:rPr>
          <w:i/>
          <w:iCs/>
          <w:sz w:val="20"/>
          <w:szCs w:val="20"/>
        </w:rPr>
        <w:t>17</w:t>
      </w:r>
      <w:r w:rsidRPr="009A613C">
        <w:rPr>
          <w:i/>
          <w:iCs/>
          <w:sz w:val="20"/>
          <w:szCs w:val="20"/>
        </w:rPr>
        <w:t>:</w:t>
      </w:r>
      <w:r w:rsidR="00714363" w:rsidRPr="00714363">
        <w:rPr>
          <w:i/>
          <w:iCs/>
          <w:sz w:val="20"/>
          <w:szCs w:val="20"/>
        </w:rPr>
        <w:t xml:space="preserve"> </w:t>
      </w:r>
      <w:r w:rsidR="00714363">
        <w:rPr>
          <w:i/>
          <w:iCs/>
          <w:sz w:val="20"/>
          <w:szCs w:val="20"/>
        </w:rPr>
        <w:t>Indikatori realizacije Operativnog cilja 2.7</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EE701D" w:rsidRPr="009A613C" w14:paraId="3628C524" w14:textId="77777777" w:rsidTr="00BE13A3">
        <w:trPr>
          <w:trHeight w:val="575"/>
        </w:trPr>
        <w:tc>
          <w:tcPr>
            <w:tcW w:w="1250" w:type="pct"/>
            <w:tcBorders>
              <w:top w:val="double" w:sz="4" w:space="0" w:color="auto"/>
            </w:tcBorders>
            <w:shd w:val="clear" w:color="auto" w:fill="FBE4D5" w:themeFill="accent2" w:themeFillTint="33"/>
          </w:tcPr>
          <w:p w14:paraId="16DE54B2" w14:textId="77777777" w:rsidR="00EE701D" w:rsidRPr="009A613C" w:rsidRDefault="00EE701D" w:rsidP="00EE701D">
            <w:pPr>
              <w:rPr>
                <w:rFonts w:cstheme="minorHAnsi"/>
              </w:rPr>
            </w:pPr>
            <w:r w:rsidRPr="009A613C">
              <w:rPr>
                <w:rFonts w:cstheme="minorHAnsi"/>
              </w:rPr>
              <w:t xml:space="preserve">Operativni </w:t>
            </w:r>
          </w:p>
          <w:p w14:paraId="04EB60CA" w14:textId="6A63F705" w:rsidR="00EE701D" w:rsidRPr="009A613C" w:rsidRDefault="00EE701D" w:rsidP="00EE701D">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54ECC9CC" w14:textId="18086A2A" w:rsidR="00EE701D" w:rsidRPr="009A613C" w:rsidRDefault="00EE701D" w:rsidP="00EE701D">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5A7B76DE" w14:textId="77777777" w:rsidR="00EE701D" w:rsidRDefault="00EE701D" w:rsidP="00EE701D">
            <w:pPr>
              <w:rPr>
                <w:rFonts w:cstheme="minorHAnsi"/>
              </w:rPr>
            </w:pPr>
            <w:r w:rsidRPr="009A613C">
              <w:rPr>
                <w:rFonts w:cstheme="minorHAnsi"/>
              </w:rPr>
              <w:t>Početna vrijednost</w:t>
            </w:r>
          </w:p>
          <w:p w14:paraId="1B067B97" w14:textId="59644C44" w:rsidR="004802D4" w:rsidRPr="009A613C" w:rsidRDefault="004802D4" w:rsidP="00EE701D">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62C01995" w14:textId="6D27C366" w:rsidR="00EE701D" w:rsidRPr="009A613C" w:rsidRDefault="00EE701D" w:rsidP="00EE701D">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7EA25F23" w14:textId="29800D14" w:rsidR="00EE701D" w:rsidRPr="009A613C" w:rsidRDefault="00EE701D" w:rsidP="00EE701D">
            <w:pPr>
              <w:rPr>
                <w:rFonts w:cstheme="minorHAnsi"/>
              </w:rPr>
            </w:pPr>
            <w:r w:rsidRPr="009A613C">
              <w:rPr>
                <w:rFonts w:cstheme="minorHAnsi"/>
              </w:rPr>
              <w:t>Ciljana vrijednost 2027.</w:t>
            </w:r>
          </w:p>
        </w:tc>
      </w:tr>
      <w:tr w:rsidR="00C46B68" w:rsidRPr="009A613C" w14:paraId="53BCB4A6" w14:textId="77777777" w:rsidTr="00D16499">
        <w:trPr>
          <w:trHeight w:val="777"/>
        </w:trPr>
        <w:tc>
          <w:tcPr>
            <w:tcW w:w="1250" w:type="pct"/>
            <w:vMerge w:val="restart"/>
            <w:tcBorders>
              <w:top w:val="double" w:sz="4" w:space="0" w:color="auto"/>
            </w:tcBorders>
            <w:shd w:val="clear" w:color="auto" w:fill="E2EFD9" w:themeFill="accent6" w:themeFillTint="33"/>
          </w:tcPr>
          <w:p w14:paraId="6B0638AD" w14:textId="77777777" w:rsidR="00C46B68" w:rsidRPr="009A613C" w:rsidRDefault="00C46B68" w:rsidP="00F3241C">
            <w:pPr>
              <w:rPr>
                <w:rFonts w:cstheme="minorHAnsi"/>
              </w:rPr>
            </w:pPr>
            <w:r w:rsidRPr="009A613C">
              <w:rPr>
                <w:rFonts w:cstheme="minorHAnsi"/>
              </w:rPr>
              <w:t>2.7.</w:t>
            </w:r>
          </w:p>
          <w:p w14:paraId="68B93251" w14:textId="63D84D37" w:rsidR="00C46B68" w:rsidRPr="009A613C" w:rsidRDefault="00C46B68" w:rsidP="00F3241C">
            <w:pPr>
              <w:rPr>
                <w:rFonts w:cstheme="minorHAnsi"/>
              </w:rPr>
            </w:pPr>
            <w:r w:rsidRPr="009A613C">
              <w:rPr>
                <w:rFonts w:cstheme="minorHAnsi"/>
              </w:rPr>
              <w:t>Unaprjeđenje sistema pravosudnog menadžmenta</w:t>
            </w:r>
            <w:r>
              <w:rPr>
                <w:rFonts w:cstheme="minorHAnsi"/>
              </w:rPr>
              <w:t>,</w:t>
            </w:r>
            <w:r w:rsidRPr="009A613C">
              <w:rPr>
                <w:rFonts w:cstheme="minorHAnsi"/>
              </w:rPr>
              <w:t xml:space="preserve"> administracije </w:t>
            </w:r>
            <w:r>
              <w:rPr>
                <w:rFonts w:cstheme="minorHAnsi"/>
              </w:rPr>
              <w:t xml:space="preserve">i strateškog planiranja </w:t>
            </w:r>
          </w:p>
          <w:p w14:paraId="551FC0A1" w14:textId="77777777" w:rsidR="00C46B68" w:rsidRPr="009A613C" w:rsidRDefault="00C46B68" w:rsidP="00F3241C">
            <w:pPr>
              <w:rPr>
                <w:rFonts w:cstheme="minorHAnsi"/>
              </w:rPr>
            </w:pPr>
          </w:p>
        </w:tc>
        <w:tc>
          <w:tcPr>
            <w:tcW w:w="1875" w:type="pct"/>
            <w:tcBorders>
              <w:top w:val="double" w:sz="4" w:space="0" w:color="auto"/>
            </w:tcBorders>
            <w:shd w:val="clear" w:color="auto" w:fill="FFFFFF" w:themeFill="background1"/>
          </w:tcPr>
          <w:p w14:paraId="3E2DD66D" w14:textId="0F3BE71E" w:rsidR="00C46B68" w:rsidRPr="009A613C" w:rsidRDefault="00C46B68" w:rsidP="00F3241C">
            <w:pPr>
              <w:shd w:val="clear" w:color="auto" w:fill="FFFFFF" w:themeFill="background1"/>
              <w:spacing w:after="240"/>
              <w:rPr>
                <w:rFonts w:cstheme="minorHAnsi"/>
              </w:rPr>
            </w:pPr>
            <w:r w:rsidRPr="009A613C">
              <w:rPr>
                <w:rFonts w:cstheme="minorHAnsi"/>
              </w:rPr>
              <w:lastRenderedPageBreak/>
              <w:t>% uspostavljanja ERP sistema u Sudskom savjetu</w:t>
            </w:r>
          </w:p>
        </w:tc>
        <w:tc>
          <w:tcPr>
            <w:tcW w:w="625" w:type="pct"/>
            <w:tcBorders>
              <w:top w:val="double" w:sz="4" w:space="0" w:color="auto"/>
            </w:tcBorders>
            <w:shd w:val="clear" w:color="auto" w:fill="FFFFFF" w:themeFill="background1"/>
          </w:tcPr>
          <w:p w14:paraId="7F87E9B0" w14:textId="6BFAA4B9" w:rsidR="00C46B68" w:rsidRPr="009A613C" w:rsidRDefault="00C46B68" w:rsidP="00F3241C">
            <w:pPr>
              <w:shd w:val="clear" w:color="auto" w:fill="FFFFFF" w:themeFill="background1"/>
              <w:jc w:val="center"/>
              <w:rPr>
                <w:rFonts w:cstheme="minorHAnsi"/>
              </w:rPr>
            </w:pPr>
            <w:r>
              <w:rPr>
                <w:rFonts w:cstheme="minorHAnsi"/>
              </w:rPr>
              <w:t>0%</w:t>
            </w:r>
          </w:p>
        </w:tc>
        <w:tc>
          <w:tcPr>
            <w:tcW w:w="625" w:type="pct"/>
            <w:tcBorders>
              <w:top w:val="double" w:sz="4" w:space="0" w:color="auto"/>
            </w:tcBorders>
            <w:shd w:val="clear" w:color="auto" w:fill="FFFFFF" w:themeFill="background1"/>
          </w:tcPr>
          <w:p w14:paraId="1C1CF9D4" w14:textId="103231BA" w:rsidR="00C46B68" w:rsidRPr="009A613C" w:rsidRDefault="00C46B68" w:rsidP="00F3241C">
            <w:pPr>
              <w:shd w:val="clear" w:color="auto" w:fill="FFFFFF" w:themeFill="background1"/>
              <w:jc w:val="center"/>
              <w:rPr>
                <w:rFonts w:cstheme="minorHAnsi"/>
              </w:rPr>
            </w:pPr>
            <w:r>
              <w:rPr>
                <w:rFonts w:cstheme="minorHAnsi"/>
              </w:rPr>
              <w:t>50%</w:t>
            </w:r>
          </w:p>
        </w:tc>
        <w:tc>
          <w:tcPr>
            <w:tcW w:w="625" w:type="pct"/>
            <w:tcBorders>
              <w:top w:val="double" w:sz="4" w:space="0" w:color="auto"/>
              <w:right w:val="double" w:sz="4" w:space="0" w:color="auto"/>
            </w:tcBorders>
            <w:shd w:val="clear" w:color="auto" w:fill="FFFFFF" w:themeFill="background1"/>
          </w:tcPr>
          <w:p w14:paraId="1EA8FB48" w14:textId="4E8FA039" w:rsidR="00C46B68" w:rsidRPr="009A613C" w:rsidRDefault="00C46B68" w:rsidP="00F3241C">
            <w:pPr>
              <w:shd w:val="clear" w:color="auto" w:fill="FFFFFF" w:themeFill="background1"/>
              <w:jc w:val="center"/>
              <w:rPr>
                <w:rFonts w:cstheme="minorHAnsi"/>
              </w:rPr>
            </w:pPr>
            <w:r>
              <w:rPr>
                <w:rFonts w:cstheme="minorHAnsi"/>
              </w:rPr>
              <w:t>100%</w:t>
            </w:r>
          </w:p>
        </w:tc>
      </w:tr>
      <w:tr w:rsidR="00F3241C" w:rsidRPr="009A613C" w14:paraId="441239AA" w14:textId="77777777" w:rsidTr="00BE13A3">
        <w:trPr>
          <w:trHeight w:val="254"/>
        </w:trPr>
        <w:tc>
          <w:tcPr>
            <w:tcW w:w="1250" w:type="pct"/>
            <w:vMerge/>
            <w:shd w:val="clear" w:color="auto" w:fill="E2EFD9" w:themeFill="accent6" w:themeFillTint="33"/>
          </w:tcPr>
          <w:p w14:paraId="1789EBAC" w14:textId="77777777" w:rsidR="00F3241C" w:rsidRPr="009A613C" w:rsidRDefault="00F3241C" w:rsidP="00F3241C">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2122EA0C" w14:textId="2B5F6699" w:rsidR="00F3241C" w:rsidRPr="009A613C" w:rsidRDefault="00F3241C" w:rsidP="00F3241C">
            <w:pPr>
              <w:shd w:val="clear" w:color="auto" w:fill="FFFFFF" w:themeFill="background1"/>
              <w:spacing w:after="240"/>
              <w:rPr>
                <w:rFonts w:cstheme="minorHAnsi"/>
              </w:rPr>
            </w:pPr>
            <w:r w:rsidRPr="009A613C">
              <w:rPr>
                <w:rFonts w:cstheme="minorHAnsi"/>
              </w:rPr>
              <w:t>% zaposlenih u Ministarstvu pravde koji su završili obuke u oblasti strateškog planiranja i analitike</w:t>
            </w:r>
          </w:p>
        </w:tc>
        <w:tc>
          <w:tcPr>
            <w:tcW w:w="625" w:type="pct"/>
            <w:tcBorders>
              <w:top w:val="double" w:sz="4" w:space="0" w:color="auto"/>
              <w:bottom w:val="double" w:sz="4" w:space="0" w:color="auto"/>
            </w:tcBorders>
            <w:shd w:val="clear" w:color="auto" w:fill="FFFFFF" w:themeFill="background1"/>
          </w:tcPr>
          <w:p w14:paraId="5379898D" w14:textId="05EFC564" w:rsidR="00F3241C" w:rsidRPr="009A613C" w:rsidRDefault="00F3241C" w:rsidP="00F3241C">
            <w:pPr>
              <w:shd w:val="clear" w:color="auto" w:fill="FFFFFF" w:themeFill="background1"/>
              <w:jc w:val="center"/>
              <w:rPr>
                <w:rFonts w:cstheme="minorHAnsi"/>
              </w:rPr>
            </w:pPr>
            <w:r w:rsidRPr="009A613C">
              <w:rPr>
                <w:rFonts w:cstheme="minorHAnsi"/>
              </w:rPr>
              <w:t>10%</w:t>
            </w:r>
          </w:p>
        </w:tc>
        <w:tc>
          <w:tcPr>
            <w:tcW w:w="625" w:type="pct"/>
            <w:tcBorders>
              <w:top w:val="double" w:sz="4" w:space="0" w:color="auto"/>
              <w:bottom w:val="double" w:sz="4" w:space="0" w:color="auto"/>
            </w:tcBorders>
            <w:shd w:val="clear" w:color="auto" w:fill="FFFFFF" w:themeFill="background1"/>
          </w:tcPr>
          <w:p w14:paraId="789ED317" w14:textId="5A743D95" w:rsidR="00F3241C" w:rsidRPr="009A613C" w:rsidRDefault="00F3241C" w:rsidP="00F3241C">
            <w:pPr>
              <w:shd w:val="clear" w:color="auto" w:fill="FFFFFF" w:themeFill="background1"/>
              <w:jc w:val="center"/>
              <w:rPr>
                <w:rFonts w:cstheme="minorHAnsi"/>
              </w:rPr>
            </w:pPr>
            <w:r w:rsidRPr="009A613C">
              <w:rPr>
                <w:rFonts w:cstheme="minorHAnsi"/>
              </w:rPr>
              <w:t>20%</w:t>
            </w:r>
          </w:p>
        </w:tc>
        <w:tc>
          <w:tcPr>
            <w:tcW w:w="625" w:type="pct"/>
            <w:tcBorders>
              <w:top w:val="double" w:sz="4" w:space="0" w:color="auto"/>
              <w:bottom w:val="double" w:sz="4" w:space="0" w:color="auto"/>
              <w:right w:val="double" w:sz="4" w:space="0" w:color="auto"/>
            </w:tcBorders>
            <w:shd w:val="clear" w:color="auto" w:fill="FFFFFF" w:themeFill="background1"/>
          </w:tcPr>
          <w:p w14:paraId="001516A4" w14:textId="386B5612" w:rsidR="00F3241C" w:rsidRPr="009A613C" w:rsidRDefault="00F3241C" w:rsidP="00F3241C">
            <w:pPr>
              <w:shd w:val="clear" w:color="auto" w:fill="FFFFFF" w:themeFill="background1"/>
              <w:jc w:val="center"/>
              <w:rPr>
                <w:rFonts w:cstheme="minorHAnsi"/>
              </w:rPr>
            </w:pPr>
            <w:r w:rsidRPr="009A613C">
              <w:rPr>
                <w:rFonts w:cstheme="minorHAnsi"/>
              </w:rPr>
              <w:t>30%</w:t>
            </w:r>
          </w:p>
        </w:tc>
      </w:tr>
      <w:tr w:rsidR="00F3241C" w:rsidRPr="009A613C" w14:paraId="54042C4B" w14:textId="77777777" w:rsidTr="00F3241C">
        <w:trPr>
          <w:trHeight w:val="254"/>
        </w:trPr>
        <w:tc>
          <w:tcPr>
            <w:tcW w:w="1250" w:type="pct"/>
            <w:vMerge/>
            <w:shd w:val="clear" w:color="auto" w:fill="E2EFD9" w:themeFill="accent6" w:themeFillTint="33"/>
          </w:tcPr>
          <w:p w14:paraId="0A3B0F6C" w14:textId="77777777" w:rsidR="00F3241C" w:rsidRPr="009A613C" w:rsidRDefault="00F3241C" w:rsidP="00F3241C">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16CB4920" w14:textId="4B919D74" w:rsidR="00F3241C" w:rsidRPr="009A613C" w:rsidRDefault="00F3241C" w:rsidP="00F3241C">
            <w:pPr>
              <w:shd w:val="clear" w:color="auto" w:fill="FFFFFF" w:themeFill="background1"/>
              <w:spacing w:after="240"/>
              <w:rPr>
                <w:rFonts w:cstheme="minorHAnsi"/>
              </w:rPr>
            </w:pPr>
            <w:r w:rsidRPr="009A613C">
              <w:rPr>
                <w:rFonts w:cstheme="minorHAnsi"/>
              </w:rPr>
              <w:t xml:space="preserve">% zaposlenih u Sekretarijatu </w:t>
            </w:r>
            <w:r w:rsidR="00441D92" w:rsidRPr="009A613C">
              <w:rPr>
                <w:rFonts w:cstheme="minorHAnsi"/>
              </w:rPr>
              <w:t>Sudskog savjeta</w:t>
            </w:r>
            <w:r w:rsidRPr="009A613C">
              <w:rPr>
                <w:rFonts w:cstheme="minorHAnsi"/>
              </w:rPr>
              <w:t xml:space="preserve"> i članova </w:t>
            </w:r>
            <w:r w:rsidR="00441D92" w:rsidRPr="009A613C">
              <w:rPr>
                <w:rFonts w:cstheme="minorHAnsi"/>
              </w:rPr>
              <w:t>Sudskog savjeta</w:t>
            </w:r>
            <w:r w:rsidRPr="009A613C">
              <w:rPr>
                <w:rFonts w:cstheme="minorHAnsi"/>
              </w:rPr>
              <w:t xml:space="preserve"> koji su završili obuke u oblasti strateškog planiranja i analitike</w:t>
            </w:r>
          </w:p>
        </w:tc>
        <w:tc>
          <w:tcPr>
            <w:tcW w:w="625" w:type="pct"/>
            <w:tcBorders>
              <w:top w:val="double" w:sz="4" w:space="0" w:color="auto"/>
              <w:bottom w:val="double" w:sz="4" w:space="0" w:color="auto"/>
            </w:tcBorders>
            <w:shd w:val="clear" w:color="auto" w:fill="FFFFFF" w:themeFill="background1"/>
          </w:tcPr>
          <w:p w14:paraId="0FC10E85" w14:textId="5D5686A9" w:rsidR="00F3241C" w:rsidRPr="009A613C" w:rsidRDefault="00287821" w:rsidP="00F3241C">
            <w:pPr>
              <w:shd w:val="clear" w:color="auto" w:fill="FFFFFF" w:themeFill="background1"/>
              <w:jc w:val="center"/>
              <w:rPr>
                <w:rFonts w:cstheme="minorHAnsi"/>
              </w:rPr>
            </w:pPr>
            <w:r>
              <w:rPr>
                <w:rFonts w:cstheme="minorHAnsi"/>
              </w:rPr>
              <w:t>2</w:t>
            </w:r>
            <w:r w:rsidR="00F3241C"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7C56B923" w14:textId="6D626BA4" w:rsidR="00F3241C" w:rsidRPr="009A613C" w:rsidRDefault="00287821" w:rsidP="00F3241C">
            <w:pPr>
              <w:shd w:val="clear" w:color="auto" w:fill="FFFFFF" w:themeFill="background1"/>
              <w:jc w:val="center"/>
              <w:rPr>
                <w:rFonts w:cstheme="minorHAnsi"/>
              </w:rPr>
            </w:pPr>
            <w:r>
              <w:rPr>
                <w:rFonts w:cstheme="minorHAnsi"/>
              </w:rPr>
              <w:t>4</w:t>
            </w:r>
            <w:r w:rsidR="00F35EAA">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26097618" w14:textId="36B8B77F" w:rsidR="00F3241C" w:rsidRPr="009A613C" w:rsidRDefault="00F35EAA" w:rsidP="00F3241C">
            <w:pPr>
              <w:shd w:val="clear" w:color="auto" w:fill="FFFFFF" w:themeFill="background1"/>
              <w:jc w:val="center"/>
              <w:rPr>
                <w:rFonts w:cstheme="minorHAnsi"/>
              </w:rPr>
            </w:pPr>
            <w:r>
              <w:rPr>
                <w:rFonts w:cstheme="minorHAnsi"/>
              </w:rPr>
              <w:t>70%</w:t>
            </w:r>
          </w:p>
        </w:tc>
      </w:tr>
      <w:tr w:rsidR="00F35EAA" w:rsidRPr="009A613C" w14:paraId="4763C2E7" w14:textId="77777777" w:rsidTr="00F3241C">
        <w:trPr>
          <w:trHeight w:val="254"/>
        </w:trPr>
        <w:tc>
          <w:tcPr>
            <w:tcW w:w="1250" w:type="pct"/>
            <w:vMerge/>
            <w:shd w:val="clear" w:color="auto" w:fill="E2EFD9" w:themeFill="accent6" w:themeFillTint="33"/>
          </w:tcPr>
          <w:p w14:paraId="1293B7DE" w14:textId="77777777" w:rsidR="00F35EAA" w:rsidRPr="009A613C" w:rsidRDefault="00F35EAA" w:rsidP="00F35EAA">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480179DE" w14:textId="3A26EEFA" w:rsidR="00F35EAA" w:rsidRPr="009A613C" w:rsidRDefault="00F35EAA" w:rsidP="00F35EAA">
            <w:pPr>
              <w:shd w:val="clear" w:color="auto" w:fill="FFFFFF" w:themeFill="background1"/>
              <w:spacing w:after="240"/>
              <w:rPr>
                <w:rFonts w:cstheme="minorHAnsi"/>
              </w:rPr>
            </w:pPr>
            <w:r w:rsidRPr="009A613C">
              <w:rPr>
                <w:rFonts w:cstheme="minorHAnsi"/>
              </w:rPr>
              <w:t>% zaposlenih u Sekretarijatu Tužilačkog savjeta i članova Tužilačkog savjeta koji su završili obuke u oblasti strateškog planiranja i analitike</w:t>
            </w:r>
          </w:p>
        </w:tc>
        <w:tc>
          <w:tcPr>
            <w:tcW w:w="625" w:type="pct"/>
            <w:tcBorders>
              <w:top w:val="double" w:sz="4" w:space="0" w:color="auto"/>
              <w:bottom w:val="double" w:sz="4" w:space="0" w:color="auto"/>
            </w:tcBorders>
            <w:shd w:val="clear" w:color="auto" w:fill="FFFFFF" w:themeFill="background1"/>
          </w:tcPr>
          <w:p w14:paraId="7BAD18A7" w14:textId="0607DB64" w:rsidR="00F35EAA" w:rsidRPr="009A613C" w:rsidRDefault="00287821" w:rsidP="00F35EAA">
            <w:pPr>
              <w:shd w:val="clear" w:color="auto" w:fill="FFFFFF" w:themeFill="background1"/>
              <w:jc w:val="center"/>
              <w:rPr>
                <w:rFonts w:cstheme="minorHAnsi"/>
              </w:rPr>
            </w:pPr>
            <w:r>
              <w:rPr>
                <w:rFonts w:cstheme="minorHAnsi"/>
              </w:rPr>
              <w:t>2</w:t>
            </w:r>
            <w:r w:rsidR="00F35EAA">
              <w:rPr>
                <w:rFonts w:cstheme="minorHAnsi"/>
              </w:rPr>
              <w:t>0</w:t>
            </w:r>
            <w:r w:rsidR="00F35EAA" w:rsidRPr="009A613C">
              <w:rPr>
                <w:rFonts w:cstheme="minorHAnsi"/>
              </w:rPr>
              <w:t>%</w:t>
            </w:r>
          </w:p>
        </w:tc>
        <w:tc>
          <w:tcPr>
            <w:tcW w:w="625" w:type="pct"/>
            <w:tcBorders>
              <w:top w:val="double" w:sz="4" w:space="0" w:color="auto"/>
              <w:bottom w:val="double" w:sz="4" w:space="0" w:color="auto"/>
            </w:tcBorders>
            <w:shd w:val="clear" w:color="auto" w:fill="FFFFFF" w:themeFill="background1"/>
          </w:tcPr>
          <w:p w14:paraId="3A97CB29" w14:textId="2F4349AD" w:rsidR="00F35EAA" w:rsidRPr="009A613C" w:rsidRDefault="00287821" w:rsidP="00F35EAA">
            <w:pPr>
              <w:shd w:val="clear" w:color="auto" w:fill="FFFFFF" w:themeFill="background1"/>
              <w:jc w:val="center"/>
              <w:rPr>
                <w:rFonts w:cstheme="minorHAnsi"/>
              </w:rPr>
            </w:pPr>
            <w:r>
              <w:rPr>
                <w:rFonts w:cstheme="minorHAnsi"/>
              </w:rPr>
              <w:t>4</w:t>
            </w:r>
            <w:r w:rsidR="00F35EAA">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6C59AD8C" w14:textId="7116ECBA" w:rsidR="00F35EAA" w:rsidRPr="009A613C" w:rsidRDefault="00F35EAA" w:rsidP="00F35EAA">
            <w:pPr>
              <w:shd w:val="clear" w:color="auto" w:fill="FFFFFF" w:themeFill="background1"/>
              <w:jc w:val="center"/>
              <w:rPr>
                <w:rFonts w:cstheme="minorHAnsi"/>
              </w:rPr>
            </w:pPr>
            <w:r>
              <w:rPr>
                <w:rFonts w:cstheme="minorHAnsi"/>
              </w:rPr>
              <w:t>70%</w:t>
            </w:r>
          </w:p>
        </w:tc>
      </w:tr>
    </w:tbl>
    <w:p w14:paraId="215A6250" w14:textId="77777777" w:rsidR="007C0A38" w:rsidRPr="009A613C" w:rsidRDefault="007C0A38" w:rsidP="00EE701D"/>
    <w:p w14:paraId="1943C035" w14:textId="71A8D454" w:rsidR="004F6A83" w:rsidRPr="009A613C" w:rsidRDefault="004F6A83" w:rsidP="00AB2810">
      <w:pPr>
        <w:pStyle w:val="Heading3"/>
        <w:numPr>
          <w:ilvl w:val="1"/>
          <w:numId w:val="19"/>
        </w:numPr>
        <w:spacing w:after="240"/>
        <w:jc w:val="center"/>
        <w:rPr>
          <w:rFonts w:cstheme="minorHAnsi"/>
          <w:sz w:val="23"/>
          <w:szCs w:val="23"/>
          <w14:ligatures w14:val="standardContextual"/>
        </w:rPr>
      </w:pPr>
      <w:bookmarkStart w:id="42" w:name="_Toc156937970"/>
      <w:r w:rsidRPr="009A613C">
        <w:rPr>
          <w:rFonts w:cstheme="minorHAnsi"/>
          <w:sz w:val="23"/>
          <w:szCs w:val="23"/>
          <w14:ligatures w14:val="standardContextual"/>
        </w:rPr>
        <w:t>Razvijanje informacionog sistema pravosuđa</w:t>
      </w:r>
      <w:bookmarkEnd w:id="42"/>
    </w:p>
    <w:p w14:paraId="6BF22890" w14:textId="15DE82F2" w:rsidR="00D461F7" w:rsidRPr="009A613C" w:rsidRDefault="007C0A38" w:rsidP="007C0A38">
      <w:pPr>
        <w:jc w:val="both"/>
      </w:pPr>
      <w:r w:rsidRPr="009A613C">
        <w:t xml:space="preserve">Polazeći od značaja koji </w:t>
      </w:r>
      <w:r w:rsidR="00780751">
        <w:t>informacioni</w:t>
      </w:r>
      <w:r w:rsidRPr="009A613C">
        <w:t xml:space="preserve"> s</w:t>
      </w:r>
      <w:r w:rsidR="00FE01A0" w:rsidRPr="009A613C">
        <w:t>i</w:t>
      </w:r>
      <w:r w:rsidRPr="009A613C">
        <w:t xml:space="preserve">stem(i) imaju u pogledu </w:t>
      </w:r>
      <w:r w:rsidR="00FE01A0" w:rsidRPr="009A613C">
        <w:t>unaprjeđenja</w:t>
      </w:r>
      <w:r w:rsidRPr="009A613C">
        <w:t xml:space="preserve"> </w:t>
      </w:r>
      <w:r w:rsidR="00815092" w:rsidRPr="009A613C">
        <w:t>efikasnosti rada pravosuđa, ali i transparentnosti, pristupa pravdi i upravljanja resursima i procesima rada, a uzimajući u obzir ranije opisane izazove povezane sa neuspješnim pokušajem razvoja novog I</w:t>
      </w:r>
      <w:r w:rsidR="00780751">
        <w:t>SP</w:t>
      </w:r>
      <w:r w:rsidR="00815092" w:rsidRPr="009A613C">
        <w:t xml:space="preserve">, </w:t>
      </w:r>
      <w:r w:rsidR="00FC574C" w:rsidRPr="009A613C">
        <w:t>Ministarstvo pravde će paralelno sa razvojem ove Strategije raditi na novoj Strategiji razvoja IKT sistema u pravosuđu za period 2024-2027. godine</w:t>
      </w:r>
      <w:r w:rsidR="00D461F7" w:rsidRPr="009A613C">
        <w:t xml:space="preserve"> (IKT Strategija 2024-2027)</w:t>
      </w:r>
      <w:r w:rsidR="00FC574C" w:rsidRPr="009A613C">
        <w:t xml:space="preserve">. </w:t>
      </w:r>
    </w:p>
    <w:p w14:paraId="3C6CB72E" w14:textId="3EAB5361" w:rsidR="007C0A38" w:rsidRPr="009A613C" w:rsidRDefault="00FC574C" w:rsidP="007C0A38">
      <w:pPr>
        <w:jc w:val="both"/>
      </w:pPr>
      <w:r w:rsidRPr="009A613C">
        <w:t>Imajući ovo u vidu, a da bi se izb</w:t>
      </w:r>
      <w:r w:rsidR="002A0646">
        <w:t>j</w:t>
      </w:r>
      <w:r w:rsidRPr="009A613C">
        <w:t>egla preklapanja, odnos</w:t>
      </w:r>
      <w:r w:rsidR="00D461F7" w:rsidRPr="009A613C">
        <w:t>no</w:t>
      </w:r>
      <w:r w:rsidRPr="009A613C">
        <w:t xml:space="preserve"> dupliranje </w:t>
      </w:r>
      <w:r w:rsidR="00EE45D6" w:rsidRPr="009A613C">
        <w:t>aktivnosti</w:t>
      </w:r>
      <w:r w:rsidRPr="009A613C">
        <w:t xml:space="preserve"> u dva </w:t>
      </w:r>
      <w:r w:rsidR="00D461F7" w:rsidRPr="009A613C">
        <w:t xml:space="preserve">dokumenta javnih politika, </w:t>
      </w:r>
      <w:r w:rsidR="00815092" w:rsidRPr="009A613C">
        <w:t xml:space="preserve">u </w:t>
      </w:r>
      <w:r w:rsidR="00D461F7" w:rsidRPr="009A613C">
        <w:t xml:space="preserve">ovoj Strategiji prepoznajemo da je u </w:t>
      </w:r>
      <w:r w:rsidR="00815092" w:rsidRPr="009A613C">
        <w:t>predstojećem periodu neophodno raditi na nekoliko paralelnih procesa</w:t>
      </w:r>
      <w:r w:rsidR="00D461F7" w:rsidRPr="009A613C">
        <w:t>, u okviru kojih će aktivnosti biti precizno defi</w:t>
      </w:r>
      <w:r w:rsidR="00B552FF" w:rsidRPr="009A613C">
        <w:t>nisane IKT Strategijom 2024-2027</w:t>
      </w:r>
      <w:r w:rsidR="00815092" w:rsidRPr="009A613C">
        <w:t>:</w:t>
      </w:r>
    </w:p>
    <w:p w14:paraId="72E06EA9" w14:textId="77A2E7AA" w:rsidR="00815092" w:rsidRPr="009A613C" w:rsidRDefault="00815092" w:rsidP="002A0646">
      <w:pPr>
        <w:pStyle w:val="ListParagraph"/>
        <w:numPr>
          <w:ilvl w:val="0"/>
          <w:numId w:val="2"/>
        </w:numPr>
        <w:jc w:val="both"/>
      </w:pPr>
      <w:r w:rsidRPr="009A613C">
        <w:t>Uspostavljanje I</w:t>
      </w:r>
      <w:r w:rsidR="00983532">
        <w:t>SP</w:t>
      </w:r>
      <w:r w:rsidRPr="009A613C">
        <w:t xml:space="preserve"> u prekršajnim sudovima u kojima je do sada izostao proces digitalizacije</w:t>
      </w:r>
    </w:p>
    <w:p w14:paraId="14D1242C" w14:textId="4BCC64BE" w:rsidR="00815092" w:rsidRPr="009A613C" w:rsidRDefault="00B552FF" w:rsidP="002A0646">
      <w:pPr>
        <w:pStyle w:val="ListParagraph"/>
        <w:numPr>
          <w:ilvl w:val="0"/>
          <w:numId w:val="2"/>
        </w:numPr>
        <w:jc w:val="both"/>
      </w:pPr>
      <w:r w:rsidRPr="009A613C">
        <w:t>Unaprjeđenje</w:t>
      </w:r>
      <w:r w:rsidR="00FC574C" w:rsidRPr="009A613C">
        <w:t xml:space="preserve"> postojećeg PRIS sistema </w:t>
      </w:r>
      <w:r w:rsidRPr="009A613C">
        <w:t>sa ciljem premošćavanja jaza do razvijanja novog, sveobuhvatnog I</w:t>
      </w:r>
      <w:r w:rsidR="00983532">
        <w:t>SP</w:t>
      </w:r>
      <w:r w:rsidRPr="009A613C">
        <w:t>,</w:t>
      </w:r>
    </w:p>
    <w:p w14:paraId="469419A4" w14:textId="2C5421C3" w:rsidR="00B552FF" w:rsidRPr="009A613C" w:rsidRDefault="00292CD9" w:rsidP="002A0646">
      <w:pPr>
        <w:pStyle w:val="ListParagraph"/>
        <w:numPr>
          <w:ilvl w:val="0"/>
          <w:numId w:val="2"/>
        </w:numPr>
        <w:jc w:val="both"/>
      </w:pPr>
      <w:r w:rsidRPr="009A613C">
        <w:t>Razvijanje novog, sveobuhvatnog I</w:t>
      </w:r>
      <w:r w:rsidR="00983532">
        <w:t>SP</w:t>
      </w:r>
      <w:r w:rsidR="000E7268">
        <w:t>-a</w:t>
      </w:r>
      <w:r w:rsidRPr="009A613C">
        <w:t>.</w:t>
      </w:r>
    </w:p>
    <w:p w14:paraId="36DD7DD1" w14:textId="77777777" w:rsidR="00805218" w:rsidRPr="009A613C" w:rsidRDefault="00805218" w:rsidP="00805218">
      <w:pPr>
        <w:pStyle w:val="ListParagraph"/>
        <w:jc w:val="both"/>
      </w:pPr>
    </w:p>
    <w:p w14:paraId="07BEAFB7" w14:textId="77777777" w:rsidR="002527C1" w:rsidRDefault="002527C1" w:rsidP="00D448ED">
      <w:pPr>
        <w:jc w:val="center"/>
        <w:rPr>
          <w:i/>
          <w:iCs/>
          <w:sz w:val="20"/>
          <w:szCs w:val="20"/>
        </w:rPr>
      </w:pPr>
    </w:p>
    <w:p w14:paraId="0A30C1BF" w14:textId="4ADC7D45" w:rsidR="00EE701D" w:rsidRPr="009A613C" w:rsidRDefault="00D448ED" w:rsidP="00D448ED">
      <w:pPr>
        <w:jc w:val="center"/>
      </w:pPr>
      <w:r w:rsidRPr="009A613C">
        <w:rPr>
          <w:i/>
          <w:iCs/>
          <w:sz w:val="20"/>
          <w:szCs w:val="20"/>
        </w:rPr>
        <w:t xml:space="preserve">Tabela </w:t>
      </w:r>
      <w:r w:rsidR="00CE7A2B">
        <w:rPr>
          <w:i/>
          <w:iCs/>
          <w:sz w:val="20"/>
          <w:szCs w:val="20"/>
        </w:rPr>
        <w:t>18</w:t>
      </w:r>
      <w:r w:rsidRPr="009A613C">
        <w:rPr>
          <w:i/>
          <w:iCs/>
          <w:sz w:val="20"/>
          <w:szCs w:val="20"/>
        </w:rPr>
        <w:t>:</w:t>
      </w:r>
      <w:r w:rsidR="00CE7A2B">
        <w:rPr>
          <w:i/>
          <w:iCs/>
          <w:sz w:val="20"/>
          <w:szCs w:val="20"/>
        </w:rPr>
        <w:t xml:space="preserve"> Indikatori realizacije Operativnog cilja 2.8.</w:t>
      </w:r>
    </w:p>
    <w:tbl>
      <w:tblPr>
        <w:tblStyle w:val="TableGrid"/>
        <w:tblW w:w="4857" w:type="pct"/>
        <w:tblInd w:w="-5" w:type="dxa"/>
        <w:tblLayout w:type="fixed"/>
        <w:tblLook w:val="04A0" w:firstRow="1" w:lastRow="0" w:firstColumn="1" w:lastColumn="0" w:noHBand="0" w:noVBand="1"/>
      </w:tblPr>
      <w:tblGrid>
        <w:gridCol w:w="2269"/>
        <w:gridCol w:w="3402"/>
        <w:gridCol w:w="1134"/>
        <w:gridCol w:w="1134"/>
        <w:gridCol w:w="1134"/>
      </w:tblGrid>
      <w:tr w:rsidR="00EE701D" w:rsidRPr="009A613C" w14:paraId="2BD18028" w14:textId="77777777" w:rsidTr="00BE13A3">
        <w:trPr>
          <w:trHeight w:val="575"/>
        </w:trPr>
        <w:tc>
          <w:tcPr>
            <w:tcW w:w="1250" w:type="pct"/>
            <w:tcBorders>
              <w:top w:val="double" w:sz="4" w:space="0" w:color="auto"/>
            </w:tcBorders>
            <w:shd w:val="clear" w:color="auto" w:fill="FBE4D5" w:themeFill="accent2" w:themeFillTint="33"/>
          </w:tcPr>
          <w:p w14:paraId="2FE4396D" w14:textId="77777777" w:rsidR="00EE701D" w:rsidRPr="009A613C" w:rsidRDefault="00EE701D" w:rsidP="00EE701D">
            <w:pPr>
              <w:rPr>
                <w:rFonts w:cstheme="minorHAnsi"/>
              </w:rPr>
            </w:pPr>
            <w:r w:rsidRPr="009A613C">
              <w:rPr>
                <w:rFonts w:cstheme="minorHAnsi"/>
              </w:rPr>
              <w:t xml:space="preserve">Operativni </w:t>
            </w:r>
          </w:p>
          <w:p w14:paraId="36C7E441" w14:textId="617BEA0E" w:rsidR="00EE701D" w:rsidRPr="009A613C" w:rsidRDefault="00EE701D" w:rsidP="00EE701D">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2D8C6DDA" w14:textId="69CF04A8" w:rsidR="00EE701D" w:rsidRPr="009A613C" w:rsidRDefault="00EE701D" w:rsidP="00EE701D">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5C2F8D0E" w14:textId="77777777" w:rsidR="00EE701D" w:rsidRDefault="00EE701D" w:rsidP="00EE701D">
            <w:pPr>
              <w:rPr>
                <w:rFonts w:cstheme="minorHAnsi"/>
              </w:rPr>
            </w:pPr>
            <w:r w:rsidRPr="009A613C">
              <w:rPr>
                <w:rFonts w:cstheme="minorHAnsi"/>
              </w:rPr>
              <w:t>Početna vrijednost</w:t>
            </w:r>
          </w:p>
          <w:p w14:paraId="7F5F0EAC" w14:textId="5650B9E2" w:rsidR="004802D4" w:rsidRPr="009A613C" w:rsidRDefault="004802D4" w:rsidP="00EE701D">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7CC2CB73" w14:textId="07BBB100" w:rsidR="00EE701D" w:rsidRPr="009A613C" w:rsidRDefault="00EE701D" w:rsidP="00EE701D">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5803FB6E" w14:textId="4681F6CF" w:rsidR="00EE701D" w:rsidRPr="009A613C" w:rsidRDefault="00EE701D" w:rsidP="00EE701D">
            <w:pPr>
              <w:rPr>
                <w:rFonts w:cstheme="minorHAnsi"/>
              </w:rPr>
            </w:pPr>
            <w:r w:rsidRPr="009A613C">
              <w:rPr>
                <w:rFonts w:cstheme="minorHAnsi"/>
              </w:rPr>
              <w:t>Ciljana vrijednost 2027.</w:t>
            </w:r>
          </w:p>
        </w:tc>
      </w:tr>
      <w:tr w:rsidR="00303EF4" w:rsidRPr="009A613C" w14:paraId="3AAA06B0" w14:textId="77777777" w:rsidTr="00BE13A3">
        <w:trPr>
          <w:trHeight w:val="254"/>
        </w:trPr>
        <w:tc>
          <w:tcPr>
            <w:tcW w:w="1250" w:type="pct"/>
            <w:vMerge w:val="restart"/>
            <w:tcBorders>
              <w:top w:val="double" w:sz="4" w:space="0" w:color="auto"/>
            </w:tcBorders>
            <w:shd w:val="clear" w:color="auto" w:fill="E2EFD9" w:themeFill="accent6" w:themeFillTint="33"/>
          </w:tcPr>
          <w:p w14:paraId="36D0DC15" w14:textId="77777777" w:rsidR="00303EF4" w:rsidRPr="009A613C" w:rsidRDefault="00303EF4" w:rsidP="00303EF4">
            <w:pPr>
              <w:rPr>
                <w:rFonts w:cstheme="minorHAnsi"/>
              </w:rPr>
            </w:pPr>
            <w:r w:rsidRPr="009A613C">
              <w:rPr>
                <w:rFonts w:cstheme="minorHAnsi"/>
              </w:rPr>
              <w:t xml:space="preserve">2.8. </w:t>
            </w:r>
          </w:p>
          <w:p w14:paraId="0597E554" w14:textId="77777777" w:rsidR="00303EF4" w:rsidRPr="009A613C" w:rsidRDefault="00303EF4" w:rsidP="000E7268">
            <w:pPr>
              <w:jc w:val="both"/>
              <w:rPr>
                <w:rFonts w:cstheme="minorHAnsi"/>
              </w:rPr>
            </w:pPr>
            <w:r w:rsidRPr="009A613C">
              <w:rPr>
                <w:rFonts w:cstheme="minorHAnsi"/>
              </w:rPr>
              <w:t>Razvijanje informacionog sistema pravosuđa</w:t>
            </w:r>
          </w:p>
          <w:p w14:paraId="1F2E462A" w14:textId="77777777" w:rsidR="00303EF4" w:rsidRPr="009A613C" w:rsidRDefault="00303EF4" w:rsidP="00303EF4">
            <w:pPr>
              <w:rPr>
                <w:rFonts w:cstheme="minorHAnsi"/>
              </w:rPr>
            </w:pPr>
          </w:p>
        </w:tc>
        <w:tc>
          <w:tcPr>
            <w:tcW w:w="1875" w:type="pct"/>
            <w:tcBorders>
              <w:top w:val="double" w:sz="4" w:space="0" w:color="auto"/>
              <w:bottom w:val="double" w:sz="4" w:space="0" w:color="auto"/>
            </w:tcBorders>
            <w:shd w:val="clear" w:color="auto" w:fill="FFFFFF" w:themeFill="background1"/>
          </w:tcPr>
          <w:p w14:paraId="4D46859C" w14:textId="0A910B08" w:rsidR="00303EF4" w:rsidRPr="009A613C" w:rsidRDefault="00303EF4" w:rsidP="00FE01A0">
            <w:pPr>
              <w:shd w:val="clear" w:color="auto" w:fill="FFFFFF" w:themeFill="background1"/>
              <w:spacing w:after="240"/>
              <w:jc w:val="both"/>
              <w:rPr>
                <w:rFonts w:cstheme="minorHAnsi"/>
              </w:rPr>
            </w:pPr>
            <w:r w:rsidRPr="009A613C">
              <w:rPr>
                <w:rFonts w:cstheme="minorHAnsi"/>
              </w:rPr>
              <w:t>I</w:t>
            </w:r>
            <w:r w:rsidR="00983532">
              <w:rPr>
                <w:rFonts w:cstheme="minorHAnsi"/>
              </w:rPr>
              <w:t>SP</w:t>
            </w:r>
            <w:r w:rsidRPr="009A613C">
              <w:rPr>
                <w:rFonts w:cstheme="minorHAnsi"/>
              </w:rPr>
              <w:t xml:space="preserve"> </w:t>
            </w:r>
            <w:r w:rsidR="00F62306">
              <w:rPr>
                <w:rFonts w:cstheme="minorHAnsi"/>
              </w:rPr>
              <w:t xml:space="preserve">je u funkciji </w:t>
            </w:r>
            <w:r w:rsidRPr="009A613C">
              <w:rPr>
                <w:rFonts w:cstheme="minorHAnsi"/>
              </w:rPr>
              <w:t>u prekršajnim sudovima</w:t>
            </w:r>
          </w:p>
        </w:tc>
        <w:tc>
          <w:tcPr>
            <w:tcW w:w="625" w:type="pct"/>
            <w:tcBorders>
              <w:top w:val="double" w:sz="4" w:space="0" w:color="auto"/>
              <w:bottom w:val="double" w:sz="4" w:space="0" w:color="auto"/>
            </w:tcBorders>
            <w:shd w:val="clear" w:color="auto" w:fill="FFFFFF" w:themeFill="background1"/>
          </w:tcPr>
          <w:p w14:paraId="25808F09" w14:textId="16EE1B10" w:rsidR="00303EF4" w:rsidRPr="009A613C" w:rsidRDefault="00303EF4" w:rsidP="00303EF4">
            <w:pPr>
              <w:shd w:val="clear" w:color="auto" w:fill="FFFFFF" w:themeFill="background1"/>
              <w:jc w:val="center"/>
              <w:rPr>
                <w:rFonts w:cstheme="minorHAnsi"/>
              </w:rPr>
            </w:pPr>
            <w:r w:rsidRPr="009A613C">
              <w:rPr>
                <w:rFonts w:cstheme="minorHAnsi"/>
              </w:rPr>
              <w:t>NE</w:t>
            </w:r>
          </w:p>
        </w:tc>
        <w:tc>
          <w:tcPr>
            <w:tcW w:w="625" w:type="pct"/>
            <w:tcBorders>
              <w:top w:val="double" w:sz="4" w:space="0" w:color="auto"/>
              <w:bottom w:val="double" w:sz="4" w:space="0" w:color="auto"/>
            </w:tcBorders>
            <w:shd w:val="clear" w:color="auto" w:fill="FFFFFF" w:themeFill="background1"/>
          </w:tcPr>
          <w:p w14:paraId="4FFC0C2F" w14:textId="4790E451" w:rsidR="00303EF4" w:rsidRPr="009A613C" w:rsidRDefault="00303EF4" w:rsidP="00303EF4">
            <w:pPr>
              <w:shd w:val="clear" w:color="auto" w:fill="FFFFFF" w:themeFill="background1"/>
              <w:jc w:val="center"/>
              <w:rPr>
                <w:rFonts w:cstheme="minorHAnsi"/>
              </w:rPr>
            </w:pPr>
            <w:r w:rsidRPr="009A613C">
              <w:rPr>
                <w:rFonts w:cstheme="minorHAnsi"/>
              </w:rPr>
              <w:t>DA</w:t>
            </w:r>
          </w:p>
        </w:tc>
        <w:tc>
          <w:tcPr>
            <w:tcW w:w="625" w:type="pct"/>
            <w:tcBorders>
              <w:top w:val="double" w:sz="4" w:space="0" w:color="auto"/>
              <w:bottom w:val="double" w:sz="4" w:space="0" w:color="auto"/>
              <w:right w:val="double" w:sz="4" w:space="0" w:color="auto"/>
            </w:tcBorders>
            <w:shd w:val="clear" w:color="auto" w:fill="FFFFFF" w:themeFill="background1"/>
          </w:tcPr>
          <w:p w14:paraId="136C3E98" w14:textId="1C93D769" w:rsidR="00303EF4" w:rsidRPr="009A613C" w:rsidRDefault="00303EF4" w:rsidP="00303EF4">
            <w:pPr>
              <w:shd w:val="clear" w:color="auto" w:fill="FFFFFF" w:themeFill="background1"/>
              <w:jc w:val="center"/>
              <w:rPr>
                <w:rFonts w:cstheme="minorHAnsi"/>
              </w:rPr>
            </w:pPr>
            <w:r w:rsidRPr="009A613C">
              <w:rPr>
                <w:rFonts w:cstheme="minorHAnsi"/>
              </w:rPr>
              <w:t>DA</w:t>
            </w:r>
          </w:p>
        </w:tc>
      </w:tr>
      <w:tr w:rsidR="00303EF4" w:rsidRPr="009A613C" w14:paraId="31F3C5FC" w14:textId="77777777" w:rsidTr="00BE13A3">
        <w:trPr>
          <w:trHeight w:val="254"/>
        </w:trPr>
        <w:tc>
          <w:tcPr>
            <w:tcW w:w="1250" w:type="pct"/>
            <w:vMerge/>
            <w:shd w:val="clear" w:color="auto" w:fill="E2EFD9" w:themeFill="accent6" w:themeFillTint="33"/>
          </w:tcPr>
          <w:p w14:paraId="27CF73FE" w14:textId="77777777" w:rsidR="00303EF4" w:rsidRPr="009A613C" w:rsidRDefault="00303EF4" w:rsidP="00303EF4">
            <w:pPr>
              <w:pStyle w:val="ListParagraph"/>
              <w:ind w:left="314"/>
              <w:rPr>
                <w:rFonts w:cstheme="minorHAnsi"/>
              </w:rPr>
            </w:pPr>
          </w:p>
        </w:tc>
        <w:tc>
          <w:tcPr>
            <w:tcW w:w="1875" w:type="pct"/>
            <w:tcBorders>
              <w:top w:val="double" w:sz="4" w:space="0" w:color="auto"/>
              <w:bottom w:val="double" w:sz="4" w:space="0" w:color="auto"/>
            </w:tcBorders>
            <w:shd w:val="clear" w:color="auto" w:fill="FFFFFF" w:themeFill="background1"/>
          </w:tcPr>
          <w:p w14:paraId="5CA199E2" w14:textId="6EBBA4C5" w:rsidR="00303EF4" w:rsidRPr="009A613C" w:rsidRDefault="00303EF4" w:rsidP="00FE01A0">
            <w:pPr>
              <w:shd w:val="clear" w:color="auto" w:fill="FFFFFF" w:themeFill="background1"/>
              <w:spacing w:after="240"/>
              <w:jc w:val="both"/>
              <w:rPr>
                <w:rFonts w:cstheme="minorHAnsi"/>
              </w:rPr>
            </w:pPr>
            <w:r w:rsidRPr="009A613C">
              <w:rPr>
                <w:rFonts w:cstheme="minorHAnsi"/>
              </w:rPr>
              <w:t>% sprovedenih aktivnosti na uspostavljanju novog jedinstvenog informacionog sistema u pravosuđu</w:t>
            </w:r>
          </w:p>
        </w:tc>
        <w:tc>
          <w:tcPr>
            <w:tcW w:w="625" w:type="pct"/>
            <w:tcBorders>
              <w:top w:val="double" w:sz="4" w:space="0" w:color="auto"/>
              <w:bottom w:val="double" w:sz="4" w:space="0" w:color="auto"/>
            </w:tcBorders>
            <w:shd w:val="clear" w:color="auto" w:fill="FFFFFF" w:themeFill="background1"/>
          </w:tcPr>
          <w:p w14:paraId="3E995F4C" w14:textId="2FACFA4D" w:rsidR="00303EF4" w:rsidRPr="009A613C" w:rsidRDefault="00303EF4" w:rsidP="00303EF4">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tcBorders>
            <w:shd w:val="clear" w:color="auto" w:fill="FFFFFF" w:themeFill="background1"/>
          </w:tcPr>
          <w:p w14:paraId="1CE9CB8A" w14:textId="65997950" w:rsidR="00303EF4" w:rsidRPr="009A613C" w:rsidRDefault="00303EF4" w:rsidP="00303EF4">
            <w:pPr>
              <w:shd w:val="clear" w:color="auto" w:fill="FFFFFF" w:themeFill="background1"/>
              <w:jc w:val="center"/>
              <w:rPr>
                <w:rFonts w:cstheme="minorHAnsi"/>
              </w:rPr>
            </w:pPr>
            <w:r w:rsidRPr="009A613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50323A4F" w14:textId="5A95760F" w:rsidR="00303EF4" w:rsidRPr="009A613C" w:rsidRDefault="00F5656C" w:rsidP="00303EF4">
            <w:pPr>
              <w:shd w:val="clear" w:color="auto" w:fill="FFFFFF" w:themeFill="background1"/>
              <w:jc w:val="center"/>
              <w:rPr>
                <w:rFonts w:cstheme="minorHAnsi"/>
              </w:rPr>
            </w:pPr>
            <w:r>
              <w:rPr>
                <w:rFonts w:cstheme="minorHAnsi"/>
              </w:rPr>
              <w:t>2</w:t>
            </w:r>
            <w:r w:rsidR="00303EF4" w:rsidRPr="009A613C">
              <w:rPr>
                <w:rFonts w:cstheme="minorHAnsi"/>
              </w:rPr>
              <w:t>0%</w:t>
            </w:r>
          </w:p>
        </w:tc>
      </w:tr>
    </w:tbl>
    <w:p w14:paraId="65422D11" w14:textId="77777777" w:rsidR="00EE701D" w:rsidRPr="009A613C" w:rsidRDefault="00EE701D" w:rsidP="00EE701D"/>
    <w:p w14:paraId="1C039658" w14:textId="7085667C" w:rsidR="004F6A83" w:rsidRPr="009A613C" w:rsidRDefault="0025255B" w:rsidP="00AB2810">
      <w:pPr>
        <w:pStyle w:val="Heading3"/>
        <w:numPr>
          <w:ilvl w:val="1"/>
          <w:numId w:val="19"/>
        </w:numPr>
        <w:spacing w:after="240"/>
        <w:jc w:val="center"/>
        <w:rPr>
          <w:rFonts w:cstheme="minorHAnsi"/>
          <w:sz w:val="23"/>
          <w:szCs w:val="23"/>
        </w:rPr>
      </w:pPr>
      <w:bookmarkStart w:id="43" w:name="_Toc156937971"/>
      <w:r w:rsidRPr="009A613C">
        <w:rPr>
          <w:rFonts w:cstheme="minorHAnsi"/>
          <w:sz w:val="23"/>
          <w:szCs w:val="23"/>
        </w:rPr>
        <w:lastRenderedPageBreak/>
        <w:t>Unaprjeđ</w:t>
      </w:r>
      <w:r w:rsidR="001E53E8" w:rsidRPr="009A613C">
        <w:rPr>
          <w:rFonts w:cstheme="minorHAnsi"/>
          <w:sz w:val="23"/>
          <w:szCs w:val="23"/>
        </w:rPr>
        <w:t>enje</w:t>
      </w:r>
      <w:r w:rsidR="004F6A83" w:rsidRPr="009A613C">
        <w:rPr>
          <w:rFonts w:cstheme="minorHAnsi"/>
          <w:sz w:val="23"/>
          <w:szCs w:val="23"/>
        </w:rPr>
        <w:t xml:space="preserve"> međunarodne saradnje</w:t>
      </w:r>
      <w:bookmarkEnd w:id="43"/>
    </w:p>
    <w:p w14:paraId="1863C3AA" w14:textId="09A2913D" w:rsidR="0008371A" w:rsidRPr="00F25100" w:rsidRDefault="0008371A" w:rsidP="00F25100">
      <w:pPr>
        <w:spacing w:line="276" w:lineRule="auto"/>
        <w:jc w:val="both"/>
      </w:pPr>
      <w:r w:rsidRPr="00F25100">
        <w:t>Tokom period</w:t>
      </w:r>
      <w:r w:rsidR="002A0646">
        <w:t>a</w:t>
      </w:r>
      <w:r w:rsidRPr="00F25100">
        <w:t xml:space="preserve"> primjene ove strategije, prioritet u pogledu daljeg unaprjeđenja međunarodne saradnje biće nastavak potpisivanja bilateralnih ugovora i pristupanje odre</w:t>
      </w:r>
      <w:r w:rsidR="002A0646">
        <w:t>đ</w:t>
      </w:r>
      <w:r w:rsidRPr="00F25100">
        <w:t xml:space="preserve">enim multilateralnim ugovorima, što će obogatiti zakonodavni okvir na polju međunarodne pravne pomoći i u građanskim i u krivičnim stvarima. </w:t>
      </w:r>
    </w:p>
    <w:p w14:paraId="7B73F8EC" w14:textId="72DEA6C4" w:rsidR="004904AE" w:rsidRPr="009A613C" w:rsidRDefault="0008371A" w:rsidP="00F25100">
      <w:pPr>
        <w:spacing w:line="276" w:lineRule="auto"/>
        <w:jc w:val="both"/>
      </w:pPr>
      <w:r w:rsidRPr="00F25100">
        <w:t xml:space="preserve">Pored navedenog, potrebno je izvršiti detaljnu analizu ranije potpisanih ugovora </w:t>
      </w:r>
      <w:r w:rsidR="00983532" w:rsidRPr="00F25100">
        <w:t xml:space="preserve">sa ciljem definisanja potreba za njihovim izmjenama. </w:t>
      </w:r>
    </w:p>
    <w:p w14:paraId="38EB2202" w14:textId="7229D894" w:rsidR="00EE701D" w:rsidRPr="009A613C" w:rsidRDefault="00D448ED" w:rsidP="00D448ED">
      <w:pPr>
        <w:jc w:val="center"/>
      </w:pPr>
      <w:r w:rsidRPr="009A613C">
        <w:rPr>
          <w:i/>
          <w:iCs/>
          <w:sz w:val="20"/>
          <w:szCs w:val="20"/>
        </w:rPr>
        <w:t xml:space="preserve">Tabela </w:t>
      </w:r>
      <w:r w:rsidR="00072761">
        <w:rPr>
          <w:i/>
          <w:iCs/>
          <w:sz w:val="20"/>
          <w:szCs w:val="20"/>
        </w:rPr>
        <w:t>19</w:t>
      </w:r>
      <w:r w:rsidRPr="009A613C">
        <w:rPr>
          <w:i/>
          <w:iCs/>
          <w:sz w:val="20"/>
          <w:szCs w:val="20"/>
        </w:rPr>
        <w:t>:</w:t>
      </w:r>
      <w:r w:rsidR="00072761">
        <w:rPr>
          <w:i/>
          <w:iCs/>
          <w:sz w:val="20"/>
          <w:szCs w:val="20"/>
        </w:rPr>
        <w:t xml:space="preserve"> Indikatori realizacije Operativnog cilja 2.9.</w:t>
      </w:r>
    </w:p>
    <w:tbl>
      <w:tblPr>
        <w:tblStyle w:val="TableGrid"/>
        <w:tblW w:w="4857" w:type="pct"/>
        <w:jc w:val="center"/>
        <w:tblLayout w:type="fixed"/>
        <w:tblLook w:val="04A0" w:firstRow="1" w:lastRow="0" w:firstColumn="1" w:lastColumn="0" w:noHBand="0" w:noVBand="1"/>
      </w:tblPr>
      <w:tblGrid>
        <w:gridCol w:w="2269"/>
        <w:gridCol w:w="3402"/>
        <w:gridCol w:w="1134"/>
        <w:gridCol w:w="1134"/>
        <w:gridCol w:w="1134"/>
      </w:tblGrid>
      <w:tr w:rsidR="00986DBE" w:rsidRPr="009A613C" w14:paraId="6EF30A99" w14:textId="77777777" w:rsidTr="0037592F">
        <w:trPr>
          <w:trHeight w:val="254"/>
          <w:jc w:val="center"/>
        </w:trPr>
        <w:tc>
          <w:tcPr>
            <w:tcW w:w="1250" w:type="pct"/>
            <w:tcBorders>
              <w:top w:val="double" w:sz="4" w:space="0" w:color="auto"/>
            </w:tcBorders>
            <w:shd w:val="clear" w:color="auto" w:fill="FBE4D5" w:themeFill="accent2" w:themeFillTint="33"/>
          </w:tcPr>
          <w:p w14:paraId="54151F08" w14:textId="77777777" w:rsidR="00986DBE" w:rsidRPr="009A613C" w:rsidRDefault="00986DBE" w:rsidP="00986DBE">
            <w:r w:rsidRPr="009A613C">
              <w:t xml:space="preserve">Operativni </w:t>
            </w:r>
          </w:p>
          <w:p w14:paraId="089A2873" w14:textId="4954464E" w:rsidR="00986DBE" w:rsidRPr="009A613C" w:rsidRDefault="00986DBE" w:rsidP="00986DBE">
            <w:r w:rsidRPr="009A613C">
              <w:t>cilj</w:t>
            </w:r>
          </w:p>
        </w:tc>
        <w:tc>
          <w:tcPr>
            <w:tcW w:w="1875" w:type="pct"/>
            <w:tcBorders>
              <w:top w:val="double" w:sz="4" w:space="0" w:color="auto"/>
              <w:bottom w:val="double" w:sz="4" w:space="0" w:color="auto"/>
            </w:tcBorders>
            <w:shd w:val="clear" w:color="auto" w:fill="FBE4D5" w:themeFill="accent2" w:themeFillTint="33"/>
          </w:tcPr>
          <w:p w14:paraId="1D0E7635" w14:textId="4119F45B" w:rsidR="00986DBE" w:rsidRPr="009A613C" w:rsidRDefault="00986DBE" w:rsidP="00986DBE">
            <w:r w:rsidRPr="009A613C">
              <w:t>Indikator učinka</w:t>
            </w:r>
          </w:p>
        </w:tc>
        <w:tc>
          <w:tcPr>
            <w:tcW w:w="625" w:type="pct"/>
            <w:tcBorders>
              <w:top w:val="double" w:sz="4" w:space="0" w:color="auto"/>
              <w:bottom w:val="double" w:sz="4" w:space="0" w:color="auto"/>
            </w:tcBorders>
            <w:shd w:val="clear" w:color="auto" w:fill="FBE4D5" w:themeFill="accent2" w:themeFillTint="33"/>
          </w:tcPr>
          <w:p w14:paraId="767C3F09" w14:textId="77777777" w:rsidR="00986DBE" w:rsidRDefault="00986DBE" w:rsidP="00986DBE">
            <w:r w:rsidRPr="009A613C">
              <w:t>Početna vrijednost</w:t>
            </w:r>
          </w:p>
          <w:p w14:paraId="4ED98C18" w14:textId="26379D78" w:rsidR="004802D4" w:rsidRPr="009A613C" w:rsidRDefault="004802D4" w:rsidP="00986DBE">
            <w:r>
              <w:t>2023.</w:t>
            </w:r>
          </w:p>
        </w:tc>
        <w:tc>
          <w:tcPr>
            <w:tcW w:w="625" w:type="pct"/>
            <w:tcBorders>
              <w:top w:val="double" w:sz="4" w:space="0" w:color="auto"/>
              <w:bottom w:val="double" w:sz="4" w:space="0" w:color="auto"/>
            </w:tcBorders>
            <w:shd w:val="clear" w:color="auto" w:fill="FBE4D5" w:themeFill="accent2" w:themeFillTint="33"/>
          </w:tcPr>
          <w:p w14:paraId="0AE06171" w14:textId="31FD88C9" w:rsidR="00986DBE" w:rsidRPr="009A613C" w:rsidRDefault="00986DBE" w:rsidP="00986DBE">
            <w:r w:rsidRPr="009A613C">
              <w:t>Ciljana vrijednost 2025.</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5D06F508" w14:textId="66754223" w:rsidR="00986DBE" w:rsidRPr="009A613C" w:rsidRDefault="00986DBE" w:rsidP="00986DBE">
            <w:r w:rsidRPr="009A613C">
              <w:t>Ciljana vrijednost 2027.</w:t>
            </w:r>
          </w:p>
        </w:tc>
      </w:tr>
      <w:tr w:rsidR="00986DBE" w:rsidRPr="009A613C" w14:paraId="0E73366F" w14:textId="77777777" w:rsidTr="0037592F">
        <w:trPr>
          <w:trHeight w:val="254"/>
          <w:jc w:val="center"/>
        </w:trPr>
        <w:tc>
          <w:tcPr>
            <w:tcW w:w="1250" w:type="pct"/>
            <w:vMerge w:val="restart"/>
            <w:tcBorders>
              <w:top w:val="double" w:sz="4" w:space="0" w:color="auto"/>
            </w:tcBorders>
            <w:shd w:val="clear" w:color="auto" w:fill="E2EFD9" w:themeFill="accent6" w:themeFillTint="33"/>
          </w:tcPr>
          <w:p w14:paraId="5A98C50D" w14:textId="77777777" w:rsidR="00986DBE" w:rsidRPr="009A613C" w:rsidRDefault="00986DBE" w:rsidP="00BE13A3">
            <w:pPr>
              <w:rPr>
                <w:rFonts w:cstheme="minorHAnsi"/>
              </w:rPr>
            </w:pPr>
            <w:r w:rsidRPr="009A613C">
              <w:rPr>
                <w:rFonts w:cstheme="minorHAnsi"/>
              </w:rPr>
              <w:t>2.9.</w:t>
            </w:r>
          </w:p>
          <w:p w14:paraId="31CC62F5" w14:textId="1029AB6F" w:rsidR="00986DBE" w:rsidRPr="009A613C" w:rsidRDefault="0025255B" w:rsidP="000E7268">
            <w:pPr>
              <w:jc w:val="both"/>
              <w:rPr>
                <w:rFonts w:cstheme="minorHAnsi"/>
              </w:rPr>
            </w:pPr>
            <w:r w:rsidRPr="009A613C">
              <w:rPr>
                <w:rFonts w:cstheme="minorHAnsi"/>
              </w:rPr>
              <w:t>Unaprjeđ</w:t>
            </w:r>
            <w:r w:rsidR="00986DBE" w:rsidRPr="009A613C">
              <w:rPr>
                <w:rFonts w:cstheme="minorHAnsi"/>
              </w:rPr>
              <w:t>enje međunarodne saradnje</w:t>
            </w:r>
          </w:p>
          <w:p w14:paraId="08FD25AD" w14:textId="77777777" w:rsidR="00986DBE" w:rsidRPr="009A613C" w:rsidRDefault="00986DBE" w:rsidP="000E7268">
            <w:pPr>
              <w:jc w:val="both"/>
              <w:rPr>
                <w:rFonts w:cstheme="minorHAnsi"/>
              </w:rPr>
            </w:pPr>
          </w:p>
        </w:tc>
        <w:tc>
          <w:tcPr>
            <w:tcW w:w="1875" w:type="pct"/>
            <w:tcBorders>
              <w:top w:val="double" w:sz="4" w:space="0" w:color="auto"/>
              <w:bottom w:val="double" w:sz="4" w:space="0" w:color="auto"/>
            </w:tcBorders>
            <w:shd w:val="clear" w:color="auto" w:fill="FFFFFF" w:themeFill="background1"/>
          </w:tcPr>
          <w:p w14:paraId="729B1B10" w14:textId="77777777" w:rsidR="00986DBE" w:rsidRPr="009A613C" w:rsidRDefault="00986DBE" w:rsidP="000E7268">
            <w:pPr>
              <w:shd w:val="clear" w:color="auto" w:fill="FFFFFF" w:themeFill="background1"/>
              <w:spacing w:after="240"/>
              <w:jc w:val="both"/>
              <w:rPr>
                <w:rFonts w:cstheme="minorHAnsi"/>
              </w:rPr>
            </w:pPr>
            <w:r w:rsidRPr="009A613C">
              <w:rPr>
                <w:rFonts w:cstheme="minorHAnsi"/>
              </w:rPr>
              <w:t>Broj novopotpisanih bilateralnih ugovora</w:t>
            </w:r>
          </w:p>
        </w:tc>
        <w:tc>
          <w:tcPr>
            <w:tcW w:w="625" w:type="pct"/>
            <w:tcBorders>
              <w:top w:val="double" w:sz="4" w:space="0" w:color="auto"/>
              <w:bottom w:val="double" w:sz="4" w:space="0" w:color="auto"/>
            </w:tcBorders>
            <w:shd w:val="clear" w:color="auto" w:fill="FFFFFF" w:themeFill="background1"/>
          </w:tcPr>
          <w:p w14:paraId="436A1E03" w14:textId="1BCFAD0E" w:rsidR="00986DBE" w:rsidRPr="009A613C" w:rsidRDefault="001726ED" w:rsidP="00BE13A3">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590E33D4" w14:textId="7AC33C50" w:rsidR="00986DBE" w:rsidRPr="009A613C" w:rsidRDefault="001726ED" w:rsidP="00BE13A3">
            <w:pPr>
              <w:shd w:val="clear" w:color="auto" w:fill="FFFFFF" w:themeFill="background1"/>
              <w:jc w:val="center"/>
              <w:rPr>
                <w:rFonts w:cstheme="minorHAnsi"/>
              </w:rPr>
            </w:pPr>
            <w:r>
              <w:rPr>
                <w:rFonts w:cstheme="minorHAnsi"/>
              </w:rPr>
              <w:t>1</w:t>
            </w:r>
          </w:p>
        </w:tc>
        <w:tc>
          <w:tcPr>
            <w:tcW w:w="625" w:type="pct"/>
            <w:tcBorders>
              <w:top w:val="double" w:sz="4" w:space="0" w:color="auto"/>
              <w:bottom w:val="double" w:sz="4" w:space="0" w:color="auto"/>
              <w:right w:val="double" w:sz="4" w:space="0" w:color="auto"/>
            </w:tcBorders>
            <w:shd w:val="clear" w:color="auto" w:fill="FFFFFF" w:themeFill="background1"/>
          </w:tcPr>
          <w:p w14:paraId="10E72496" w14:textId="6654933C" w:rsidR="00986DBE" w:rsidRPr="009A613C" w:rsidRDefault="001726ED" w:rsidP="00BE13A3">
            <w:pPr>
              <w:shd w:val="clear" w:color="auto" w:fill="FFFFFF" w:themeFill="background1"/>
              <w:jc w:val="center"/>
              <w:rPr>
                <w:rFonts w:cstheme="minorHAnsi"/>
              </w:rPr>
            </w:pPr>
            <w:r>
              <w:rPr>
                <w:rFonts w:cstheme="minorHAnsi"/>
              </w:rPr>
              <w:t>4</w:t>
            </w:r>
          </w:p>
        </w:tc>
      </w:tr>
      <w:tr w:rsidR="00986DBE" w:rsidRPr="009A613C" w14:paraId="079D1BC6" w14:textId="77777777" w:rsidTr="0037592F">
        <w:trPr>
          <w:trHeight w:val="254"/>
          <w:jc w:val="center"/>
        </w:trPr>
        <w:tc>
          <w:tcPr>
            <w:tcW w:w="1250" w:type="pct"/>
            <w:vMerge/>
            <w:shd w:val="clear" w:color="auto" w:fill="E2EFD9" w:themeFill="accent6" w:themeFillTint="33"/>
          </w:tcPr>
          <w:p w14:paraId="74FBECAE" w14:textId="77777777" w:rsidR="00986DBE" w:rsidRPr="009A613C" w:rsidRDefault="00986DBE"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7FB3BD6D" w14:textId="412875FE" w:rsidR="00986DBE" w:rsidRPr="009A613C" w:rsidRDefault="0008371A" w:rsidP="000E7268">
            <w:pPr>
              <w:shd w:val="clear" w:color="auto" w:fill="FFFFFF" w:themeFill="background1"/>
              <w:spacing w:after="240"/>
              <w:jc w:val="both"/>
              <w:rPr>
                <w:rFonts w:cstheme="minorHAnsi"/>
              </w:rPr>
            </w:pPr>
            <w:r>
              <w:rPr>
                <w:rFonts w:cstheme="minorHAnsi"/>
              </w:rPr>
              <w:t>Broj novoratifikovanih multilateralnih ugovora</w:t>
            </w:r>
          </w:p>
        </w:tc>
        <w:tc>
          <w:tcPr>
            <w:tcW w:w="625" w:type="pct"/>
            <w:tcBorders>
              <w:top w:val="double" w:sz="4" w:space="0" w:color="auto"/>
              <w:bottom w:val="double" w:sz="4" w:space="0" w:color="auto"/>
            </w:tcBorders>
            <w:shd w:val="clear" w:color="auto" w:fill="FFFFFF" w:themeFill="background1"/>
          </w:tcPr>
          <w:p w14:paraId="2D77064B" w14:textId="6D04BAF3" w:rsidR="00986DBE" w:rsidRPr="009A613C" w:rsidRDefault="001726ED" w:rsidP="00BE13A3">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4A394349" w14:textId="0A054E51" w:rsidR="00986DBE" w:rsidRPr="009A613C" w:rsidRDefault="001726ED" w:rsidP="00BE13A3">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11D731C5" w14:textId="307AB2D7" w:rsidR="00986DBE" w:rsidRPr="009A613C" w:rsidRDefault="001726ED" w:rsidP="00BE13A3">
            <w:pPr>
              <w:shd w:val="clear" w:color="auto" w:fill="FFFFFF" w:themeFill="background1"/>
              <w:jc w:val="center"/>
              <w:rPr>
                <w:rFonts w:cstheme="minorHAnsi"/>
              </w:rPr>
            </w:pPr>
            <w:r>
              <w:rPr>
                <w:rFonts w:cstheme="minorHAnsi"/>
              </w:rPr>
              <w:t>6</w:t>
            </w:r>
          </w:p>
        </w:tc>
      </w:tr>
    </w:tbl>
    <w:p w14:paraId="50AB5DC6" w14:textId="77777777" w:rsidR="004F6A83" w:rsidRDefault="004F6A83" w:rsidP="004F6A83">
      <w:pPr>
        <w:autoSpaceDE w:val="0"/>
        <w:autoSpaceDN w:val="0"/>
        <w:adjustRightInd w:val="0"/>
        <w:spacing w:after="0" w:line="240" w:lineRule="auto"/>
        <w:rPr>
          <w:rFonts w:ascii="Calibri" w:hAnsi="Calibri" w:cs="Calibri"/>
          <w:color w:val="000000"/>
          <w:sz w:val="23"/>
          <w:szCs w:val="23"/>
        </w:rPr>
      </w:pPr>
    </w:p>
    <w:p w14:paraId="6795ED87" w14:textId="77777777" w:rsidR="00072761" w:rsidRPr="009A613C" w:rsidRDefault="00072761" w:rsidP="004F6A83">
      <w:pPr>
        <w:autoSpaceDE w:val="0"/>
        <w:autoSpaceDN w:val="0"/>
        <w:adjustRightInd w:val="0"/>
        <w:spacing w:after="0" w:line="240" w:lineRule="auto"/>
        <w:rPr>
          <w:rFonts w:ascii="Calibri" w:hAnsi="Calibri" w:cs="Calibri"/>
          <w:color w:val="000000"/>
          <w:sz w:val="23"/>
          <w:szCs w:val="23"/>
          <w14:ligatures w14:val="standardContextual"/>
        </w:rPr>
      </w:pPr>
    </w:p>
    <w:p w14:paraId="59394A6C" w14:textId="5A8135F6" w:rsidR="004F6A83" w:rsidRPr="009A613C" w:rsidRDefault="0025255B" w:rsidP="00AB2810">
      <w:pPr>
        <w:pStyle w:val="Heading2"/>
        <w:numPr>
          <w:ilvl w:val="0"/>
          <w:numId w:val="19"/>
        </w:numPr>
        <w:spacing w:after="240"/>
      </w:pPr>
      <w:bookmarkStart w:id="44" w:name="_Toc156937972"/>
      <w:r w:rsidRPr="009A613C">
        <w:t>Unaprjeđ</w:t>
      </w:r>
      <w:r w:rsidR="004F6A83" w:rsidRPr="009A613C">
        <w:t>enje dostupnosti pravde, transparentnosti i povjerenja u pravosuđe</w:t>
      </w:r>
      <w:bookmarkEnd w:id="44"/>
    </w:p>
    <w:p w14:paraId="5B845AD4" w14:textId="3CAA8AEE" w:rsidR="004904AE" w:rsidRPr="009A613C" w:rsidRDefault="004904AE" w:rsidP="004904AE">
      <w:pPr>
        <w:jc w:val="both"/>
      </w:pPr>
      <w:r w:rsidRPr="009A613C">
        <w:t>Analizom trenutnog stanja i uočavanjem ključnih problema u reformi pravosuđa tokom primjene prethodne SRP 2019-2022. definisan je strateški cilj 3</w:t>
      </w:r>
      <w:r w:rsidR="002A0646">
        <w:t>,</w:t>
      </w:r>
      <w:r w:rsidRPr="009A613C">
        <w:t xml:space="preserve"> kao i set operativnih ciljeva za dostizanje tog strateškog cilja.</w:t>
      </w:r>
    </w:p>
    <w:p w14:paraId="2567DE13" w14:textId="07EE45FB" w:rsidR="00A46520" w:rsidRPr="00F50C8A" w:rsidRDefault="004904AE" w:rsidP="00F50C8A">
      <w:pPr>
        <w:jc w:val="both"/>
      </w:pPr>
      <w:r w:rsidRPr="009A613C">
        <w:t>Napredak ostvaren u pogledu dostizanja Strateškog cilja 3 biće mjeren putem seta pokazatelja (indikatora) uticaja.</w:t>
      </w:r>
    </w:p>
    <w:p w14:paraId="3F163821" w14:textId="14CA067E" w:rsidR="00D448ED" w:rsidRPr="009A613C" w:rsidRDefault="00D448ED" w:rsidP="00D448ED">
      <w:pPr>
        <w:jc w:val="center"/>
      </w:pPr>
      <w:r w:rsidRPr="009A613C">
        <w:rPr>
          <w:i/>
          <w:iCs/>
          <w:sz w:val="20"/>
          <w:szCs w:val="20"/>
        </w:rPr>
        <w:t xml:space="preserve">Tabela </w:t>
      </w:r>
      <w:r w:rsidR="00072761">
        <w:rPr>
          <w:i/>
          <w:iCs/>
          <w:sz w:val="20"/>
          <w:szCs w:val="20"/>
        </w:rPr>
        <w:t>20</w:t>
      </w:r>
      <w:r w:rsidRPr="009A613C">
        <w:rPr>
          <w:i/>
          <w:iCs/>
          <w:sz w:val="20"/>
          <w:szCs w:val="20"/>
        </w:rPr>
        <w:t>:</w:t>
      </w:r>
      <w:r w:rsidR="00072761">
        <w:rPr>
          <w:i/>
          <w:iCs/>
          <w:sz w:val="20"/>
          <w:szCs w:val="20"/>
        </w:rPr>
        <w:t xml:space="preserve"> Indikatori realizacije Strateškog cilja 3</w:t>
      </w:r>
    </w:p>
    <w:tbl>
      <w:tblPr>
        <w:tblStyle w:val="TableGrid"/>
        <w:tblW w:w="4857" w:type="pct"/>
        <w:tblInd w:w="-5" w:type="dxa"/>
        <w:tblLayout w:type="fixed"/>
        <w:tblLook w:val="04A0" w:firstRow="1" w:lastRow="0" w:firstColumn="1" w:lastColumn="0" w:noHBand="0" w:noVBand="1"/>
      </w:tblPr>
      <w:tblGrid>
        <w:gridCol w:w="4253"/>
        <w:gridCol w:w="1559"/>
        <w:gridCol w:w="1559"/>
        <w:gridCol w:w="1702"/>
      </w:tblGrid>
      <w:tr w:rsidR="00374873" w:rsidRPr="009A613C" w14:paraId="469ADF44" w14:textId="77777777" w:rsidTr="00BE13A3">
        <w:trPr>
          <w:trHeight w:val="575"/>
        </w:trPr>
        <w:tc>
          <w:tcPr>
            <w:tcW w:w="5000" w:type="pct"/>
            <w:gridSpan w:val="4"/>
            <w:tcBorders>
              <w:top w:val="double" w:sz="4" w:space="0" w:color="auto"/>
              <w:right w:val="double" w:sz="4" w:space="0" w:color="auto"/>
            </w:tcBorders>
            <w:shd w:val="clear" w:color="auto" w:fill="D9E2F3" w:themeFill="accent1" w:themeFillTint="33"/>
          </w:tcPr>
          <w:p w14:paraId="13C9EE38" w14:textId="4795215B" w:rsidR="00374873" w:rsidRPr="009A613C" w:rsidRDefault="00374873" w:rsidP="00BE13A3">
            <w:pPr>
              <w:rPr>
                <w:rFonts w:cstheme="minorHAnsi"/>
                <w:b/>
                <w:bCs/>
              </w:rPr>
            </w:pPr>
            <w:r w:rsidRPr="009A613C">
              <w:rPr>
                <w:rFonts w:cstheme="minorHAnsi"/>
                <w:b/>
                <w:bCs/>
              </w:rPr>
              <w:t xml:space="preserve">Strateški cilj </w:t>
            </w:r>
            <w:r w:rsidR="00C11807">
              <w:rPr>
                <w:rFonts w:cstheme="minorHAnsi"/>
                <w:b/>
                <w:bCs/>
              </w:rPr>
              <w:t>3</w:t>
            </w:r>
            <w:r w:rsidRPr="009A613C">
              <w:rPr>
                <w:rFonts w:cstheme="minorHAnsi"/>
                <w:b/>
                <w:bCs/>
              </w:rPr>
              <w:t xml:space="preserve">: Unaprjeđenje </w:t>
            </w:r>
            <w:r w:rsidR="00F069AE" w:rsidRPr="009A613C">
              <w:rPr>
                <w:rFonts w:cstheme="minorHAnsi"/>
                <w:b/>
                <w:bCs/>
              </w:rPr>
              <w:t>dostupnosti pravde, transparentnosti i povjerenja u pravosuđ</w:t>
            </w:r>
            <w:r w:rsidR="00E00CD7">
              <w:rPr>
                <w:rFonts w:cstheme="minorHAnsi"/>
                <w:b/>
                <w:bCs/>
              </w:rPr>
              <w:t>e</w:t>
            </w:r>
          </w:p>
          <w:p w14:paraId="44C4A280" w14:textId="77777777" w:rsidR="00374873" w:rsidRPr="009A613C" w:rsidRDefault="00374873" w:rsidP="00BE13A3">
            <w:pPr>
              <w:rPr>
                <w:rFonts w:cstheme="minorHAnsi"/>
              </w:rPr>
            </w:pPr>
          </w:p>
        </w:tc>
      </w:tr>
      <w:tr w:rsidR="00374873" w:rsidRPr="009A613C" w14:paraId="4EB8AC62" w14:textId="77777777" w:rsidTr="00BE13A3">
        <w:trPr>
          <w:trHeight w:val="575"/>
        </w:trPr>
        <w:tc>
          <w:tcPr>
            <w:tcW w:w="2344" w:type="pct"/>
            <w:tcBorders>
              <w:top w:val="double" w:sz="4" w:space="0" w:color="auto"/>
            </w:tcBorders>
            <w:shd w:val="clear" w:color="auto" w:fill="FBE4D5" w:themeFill="accent2" w:themeFillTint="33"/>
          </w:tcPr>
          <w:p w14:paraId="3E741A95" w14:textId="77777777" w:rsidR="00374873" w:rsidRPr="009A613C" w:rsidRDefault="00374873" w:rsidP="00BE13A3">
            <w:pPr>
              <w:rPr>
                <w:rFonts w:cstheme="minorHAnsi"/>
              </w:rPr>
            </w:pPr>
            <w:r w:rsidRPr="009A613C">
              <w:rPr>
                <w:rFonts w:cstheme="minorHAnsi"/>
              </w:rPr>
              <w:t>Indikator uticaja</w:t>
            </w:r>
          </w:p>
        </w:tc>
        <w:tc>
          <w:tcPr>
            <w:tcW w:w="859" w:type="pct"/>
            <w:tcBorders>
              <w:top w:val="double" w:sz="4" w:space="0" w:color="auto"/>
            </w:tcBorders>
            <w:shd w:val="clear" w:color="auto" w:fill="FBE4D5" w:themeFill="accent2" w:themeFillTint="33"/>
          </w:tcPr>
          <w:p w14:paraId="6976D4AF" w14:textId="7A2B5595" w:rsidR="00374873" w:rsidRDefault="00374873" w:rsidP="00BE13A3">
            <w:pPr>
              <w:rPr>
                <w:rFonts w:cstheme="minorHAnsi"/>
              </w:rPr>
            </w:pPr>
            <w:r w:rsidRPr="009A613C">
              <w:rPr>
                <w:rFonts w:cstheme="minorHAnsi"/>
              </w:rPr>
              <w:t>Početna vrijed</w:t>
            </w:r>
            <w:r w:rsidR="004802D4">
              <w:rPr>
                <w:rFonts w:cstheme="minorHAnsi"/>
              </w:rPr>
              <w:t>n</w:t>
            </w:r>
            <w:r w:rsidRPr="009A613C">
              <w:rPr>
                <w:rFonts w:cstheme="minorHAnsi"/>
              </w:rPr>
              <w:t>ost</w:t>
            </w:r>
          </w:p>
          <w:p w14:paraId="072C88AB" w14:textId="7ABBA727" w:rsidR="004802D4" w:rsidRPr="009A613C" w:rsidRDefault="004802D4" w:rsidP="00BE13A3">
            <w:pPr>
              <w:rPr>
                <w:rFonts w:cstheme="minorHAnsi"/>
              </w:rPr>
            </w:pPr>
            <w:r>
              <w:rPr>
                <w:rFonts w:cstheme="minorHAnsi"/>
              </w:rPr>
              <w:t>2023.</w:t>
            </w:r>
          </w:p>
        </w:tc>
        <w:tc>
          <w:tcPr>
            <w:tcW w:w="859" w:type="pct"/>
            <w:tcBorders>
              <w:top w:val="double" w:sz="4" w:space="0" w:color="auto"/>
            </w:tcBorders>
            <w:shd w:val="clear" w:color="auto" w:fill="FBE4D5" w:themeFill="accent2" w:themeFillTint="33"/>
          </w:tcPr>
          <w:p w14:paraId="5283C6FC" w14:textId="77777777" w:rsidR="00374873" w:rsidRPr="009A613C" w:rsidRDefault="00374873" w:rsidP="00BE13A3">
            <w:pPr>
              <w:rPr>
                <w:rFonts w:cstheme="minorHAnsi"/>
              </w:rPr>
            </w:pPr>
            <w:r w:rsidRPr="009A613C">
              <w:rPr>
                <w:rFonts w:cstheme="minorHAnsi"/>
              </w:rPr>
              <w:t>Ciljana vrijednost 2025.</w:t>
            </w:r>
          </w:p>
        </w:tc>
        <w:tc>
          <w:tcPr>
            <w:tcW w:w="938" w:type="pct"/>
            <w:tcBorders>
              <w:top w:val="double" w:sz="4" w:space="0" w:color="auto"/>
              <w:right w:val="double" w:sz="4" w:space="0" w:color="auto"/>
            </w:tcBorders>
            <w:shd w:val="clear" w:color="auto" w:fill="FBE4D5" w:themeFill="accent2" w:themeFillTint="33"/>
          </w:tcPr>
          <w:p w14:paraId="24759A99" w14:textId="77777777" w:rsidR="00374873" w:rsidRPr="009A613C" w:rsidRDefault="00374873" w:rsidP="00BE13A3">
            <w:pPr>
              <w:rPr>
                <w:rFonts w:cstheme="minorHAnsi"/>
              </w:rPr>
            </w:pPr>
            <w:r w:rsidRPr="009A613C">
              <w:rPr>
                <w:rFonts w:cstheme="minorHAnsi"/>
              </w:rPr>
              <w:t>Ciljana vrijednost 2027.</w:t>
            </w:r>
          </w:p>
        </w:tc>
      </w:tr>
      <w:tr w:rsidR="00374873" w:rsidRPr="009A613C" w14:paraId="24717445" w14:textId="77777777" w:rsidTr="00BE13A3">
        <w:trPr>
          <w:trHeight w:val="254"/>
        </w:trPr>
        <w:tc>
          <w:tcPr>
            <w:tcW w:w="2344" w:type="pct"/>
            <w:tcBorders>
              <w:top w:val="double" w:sz="4" w:space="0" w:color="auto"/>
              <w:bottom w:val="double" w:sz="4" w:space="0" w:color="auto"/>
            </w:tcBorders>
            <w:shd w:val="clear" w:color="auto" w:fill="FFFFFF" w:themeFill="background1"/>
          </w:tcPr>
          <w:p w14:paraId="1DBA0C69" w14:textId="40A5C37F" w:rsidR="00374873" w:rsidRPr="009A613C" w:rsidRDefault="00F62306" w:rsidP="002A0646">
            <w:pPr>
              <w:shd w:val="clear" w:color="auto" w:fill="FFFFFF" w:themeFill="background1"/>
              <w:spacing w:after="240"/>
              <w:jc w:val="both"/>
              <w:rPr>
                <w:rFonts w:cstheme="minorHAnsi"/>
              </w:rPr>
            </w:pPr>
            <w:r>
              <w:rPr>
                <w:rFonts w:cstheme="minorHAnsi"/>
              </w:rPr>
              <w:t>B</w:t>
            </w:r>
            <w:r w:rsidR="009A613C" w:rsidRPr="009A613C">
              <w:rPr>
                <w:rFonts w:cstheme="minorHAnsi"/>
              </w:rPr>
              <w:t xml:space="preserve">roj naročito osjetljivih </w:t>
            </w:r>
            <w:r w:rsidR="009A613C">
              <w:rPr>
                <w:rFonts w:cstheme="minorHAnsi"/>
              </w:rPr>
              <w:t>kategorija građana kojima su dostupne usluge besplatne pravne pomoći</w:t>
            </w:r>
          </w:p>
        </w:tc>
        <w:tc>
          <w:tcPr>
            <w:tcW w:w="859" w:type="pct"/>
            <w:tcBorders>
              <w:top w:val="double" w:sz="4" w:space="0" w:color="auto"/>
              <w:bottom w:val="double" w:sz="4" w:space="0" w:color="auto"/>
            </w:tcBorders>
            <w:shd w:val="clear" w:color="auto" w:fill="FFFFFF" w:themeFill="background1"/>
          </w:tcPr>
          <w:p w14:paraId="057AE5B3" w14:textId="7AF51006" w:rsidR="00374873" w:rsidRPr="009A613C" w:rsidRDefault="00DE593D" w:rsidP="00BE13A3">
            <w:pPr>
              <w:shd w:val="clear" w:color="auto" w:fill="FFFFFF" w:themeFill="background1"/>
              <w:jc w:val="center"/>
              <w:rPr>
                <w:rFonts w:cstheme="minorHAnsi"/>
              </w:rPr>
            </w:pPr>
            <w:r>
              <w:rPr>
                <w:rFonts w:cstheme="minorHAnsi"/>
              </w:rPr>
              <w:t>5</w:t>
            </w:r>
          </w:p>
        </w:tc>
        <w:tc>
          <w:tcPr>
            <w:tcW w:w="859" w:type="pct"/>
            <w:tcBorders>
              <w:top w:val="double" w:sz="4" w:space="0" w:color="auto"/>
              <w:bottom w:val="double" w:sz="4" w:space="0" w:color="auto"/>
            </w:tcBorders>
            <w:shd w:val="clear" w:color="auto" w:fill="FFFFFF" w:themeFill="background1"/>
          </w:tcPr>
          <w:p w14:paraId="56CAB76D" w14:textId="7DEE6B90" w:rsidR="00374873" w:rsidRPr="00F5656C" w:rsidRDefault="009A613C" w:rsidP="00BE13A3">
            <w:pPr>
              <w:shd w:val="clear" w:color="auto" w:fill="FFFFFF" w:themeFill="background1"/>
              <w:jc w:val="center"/>
              <w:rPr>
                <w:rFonts w:cstheme="minorHAnsi"/>
              </w:rPr>
            </w:pPr>
            <w:r w:rsidRPr="00F5656C">
              <w:rPr>
                <w:rFonts w:cstheme="minorHAnsi"/>
              </w:rPr>
              <w:t>+</w:t>
            </w:r>
            <w:r w:rsidR="00DE593D">
              <w:rPr>
                <w:rFonts w:cstheme="minorHAnsi"/>
              </w:rPr>
              <w:t>3</w:t>
            </w:r>
          </w:p>
        </w:tc>
        <w:tc>
          <w:tcPr>
            <w:tcW w:w="938" w:type="pct"/>
            <w:tcBorders>
              <w:top w:val="double" w:sz="4" w:space="0" w:color="auto"/>
              <w:bottom w:val="double" w:sz="4" w:space="0" w:color="auto"/>
              <w:right w:val="double" w:sz="4" w:space="0" w:color="auto"/>
            </w:tcBorders>
            <w:shd w:val="clear" w:color="auto" w:fill="FFFFFF" w:themeFill="background1"/>
          </w:tcPr>
          <w:p w14:paraId="39EBC1AA" w14:textId="77D486EF" w:rsidR="00374873" w:rsidRPr="00F5656C" w:rsidRDefault="009A613C" w:rsidP="00BE13A3">
            <w:pPr>
              <w:shd w:val="clear" w:color="auto" w:fill="FFFFFF" w:themeFill="background1"/>
              <w:jc w:val="center"/>
              <w:rPr>
                <w:rFonts w:cstheme="minorHAnsi"/>
              </w:rPr>
            </w:pPr>
            <w:r w:rsidRPr="00F5656C">
              <w:rPr>
                <w:rFonts w:cstheme="minorHAnsi"/>
              </w:rPr>
              <w:t>+</w:t>
            </w:r>
            <w:r w:rsidR="00DE593D">
              <w:rPr>
                <w:rFonts w:cstheme="minorHAnsi"/>
              </w:rPr>
              <w:t>3</w:t>
            </w:r>
          </w:p>
        </w:tc>
      </w:tr>
      <w:tr w:rsidR="00F069AE" w:rsidRPr="009A613C" w14:paraId="23AE58C1"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E2EFD9" w:themeFill="accent6" w:themeFillTint="33"/>
          </w:tcPr>
          <w:p w14:paraId="4F1A01AC" w14:textId="5BF2D0E2" w:rsidR="00F069AE" w:rsidRDefault="00F069AE" w:rsidP="00F069AE">
            <w:pPr>
              <w:rPr>
                <w:b/>
                <w:bCs/>
                <w:u w:val="single"/>
              </w:rPr>
            </w:pPr>
            <w:r w:rsidRPr="009A613C">
              <w:rPr>
                <w:b/>
                <w:bCs/>
                <w:u w:val="single"/>
              </w:rPr>
              <w:t xml:space="preserve">U okviru Strateškog cilja </w:t>
            </w:r>
            <w:r w:rsidR="009C115A" w:rsidRPr="009A613C">
              <w:rPr>
                <w:b/>
                <w:bCs/>
                <w:u w:val="single"/>
              </w:rPr>
              <w:t>3</w:t>
            </w:r>
            <w:r w:rsidRPr="009A613C">
              <w:rPr>
                <w:b/>
                <w:bCs/>
                <w:u w:val="single"/>
              </w:rPr>
              <w:t xml:space="preserve"> definisani su sl</w:t>
            </w:r>
            <w:r w:rsidR="000E7268">
              <w:rPr>
                <w:b/>
                <w:bCs/>
                <w:u w:val="single"/>
              </w:rPr>
              <w:t>j</w:t>
            </w:r>
            <w:r w:rsidRPr="009A613C">
              <w:rPr>
                <w:b/>
                <w:bCs/>
                <w:u w:val="single"/>
              </w:rPr>
              <w:t>edeći operativni ciljevi:</w:t>
            </w:r>
          </w:p>
          <w:p w14:paraId="16FC15C2" w14:textId="77777777" w:rsidR="00F25100" w:rsidRPr="009A613C" w:rsidRDefault="00F25100" w:rsidP="00F069AE">
            <w:pPr>
              <w:rPr>
                <w:b/>
                <w:bCs/>
                <w:u w:val="single"/>
              </w:rPr>
            </w:pPr>
          </w:p>
          <w:p w14:paraId="33BEF1C9" w14:textId="41E61C6D" w:rsidR="00F069AE" w:rsidRPr="009A613C" w:rsidRDefault="00F069AE" w:rsidP="000E7268">
            <w:pPr>
              <w:jc w:val="both"/>
            </w:pPr>
            <w:r w:rsidRPr="009A613C">
              <w:t xml:space="preserve">OC </w:t>
            </w:r>
            <w:r w:rsidR="009C115A" w:rsidRPr="009A613C">
              <w:t>3</w:t>
            </w:r>
            <w:r w:rsidRPr="009A613C">
              <w:t xml:space="preserve">.1. </w:t>
            </w:r>
            <w:r w:rsidR="00213EFF" w:rsidRPr="009A613C">
              <w:t>Dalji razvoj ujednačavanja i objavljivanja sudske prakse</w:t>
            </w:r>
          </w:p>
          <w:p w14:paraId="3F4E7EBE" w14:textId="2E0CB892" w:rsidR="00F069AE" w:rsidRPr="009A613C" w:rsidRDefault="00F069AE" w:rsidP="000E7268">
            <w:pPr>
              <w:jc w:val="both"/>
            </w:pPr>
            <w:r w:rsidRPr="009A613C">
              <w:t xml:space="preserve">OC </w:t>
            </w:r>
            <w:r w:rsidR="009C115A" w:rsidRPr="009A613C">
              <w:t>3</w:t>
            </w:r>
            <w:r w:rsidRPr="009A613C">
              <w:t xml:space="preserve">.2. </w:t>
            </w:r>
            <w:r w:rsidR="0025255B" w:rsidRPr="009A613C">
              <w:t>Unaprjeđ</w:t>
            </w:r>
            <w:r w:rsidR="00213EFF" w:rsidRPr="009A613C">
              <w:t>enje sistema besplatne pravne pomo</w:t>
            </w:r>
            <w:r w:rsidR="00FC6C99" w:rsidRPr="009A613C">
              <w:t>ć</w:t>
            </w:r>
            <w:r w:rsidR="00213EFF" w:rsidRPr="009A613C">
              <w:t>i</w:t>
            </w:r>
          </w:p>
          <w:p w14:paraId="416106E1" w14:textId="0991824C" w:rsidR="00F069AE" w:rsidRPr="009A613C" w:rsidRDefault="00F069AE" w:rsidP="000E7268">
            <w:pPr>
              <w:jc w:val="both"/>
            </w:pPr>
            <w:r w:rsidRPr="009A613C">
              <w:t xml:space="preserve">OC </w:t>
            </w:r>
            <w:r w:rsidR="009C115A" w:rsidRPr="009A613C">
              <w:t>3</w:t>
            </w:r>
            <w:r w:rsidRPr="009A613C">
              <w:t xml:space="preserve">.3. </w:t>
            </w:r>
            <w:r w:rsidR="0025255B" w:rsidRPr="009A613C">
              <w:t>Unaprjeđ</w:t>
            </w:r>
            <w:r w:rsidR="00213EFF" w:rsidRPr="009A613C">
              <w:t>enje transparentnosti rada pravosudnih institucija</w:t>
            </w:r>
          </w:p>
          <w:p w14:paraId="4251C6FF" w14:textId="764255D7" w:rsidR="00F069AE" w:rsidRPr="009A613C" w:rsidRDefault="00F069AE" w:rsidP="000E7268">
            <w:pPr>
              <w:jc w:val="both"/>
            </w:pPr>
            <w:r w:rsidRPr="009A613C">
              <w:lastRenderedPageBreak/>
              <w:t xml:space="preserve">OC </w:t>
            </w:r>
            <w:r w:rsidR="009C115A" w:rsidRPr="009A613C">
              <w:t>3</w:t>
            </w:r>
            <w:r w:rsidRPr="009A613C">
              <w:t>.4.</w:t>
            </w:r>
            <w:r w:rsidR="00213EFF" w:rsidRPr="009A613C">
              <w:t xml:space="preserve"> </w:t>
            </w:r>
            <w:r w:rsidR="0025255B" w:rsidRPr="009A613C">
              <w:t>Unaprjeđ</w:t>
            </w:r>
            <w:r w:rsidR="00213EFF" w:rsidRPr="009A613C">
              <w:t xml:space="preserve">enje sistema infrastrukture i sigurnosti pravosudnih objekata i fizičkog pristupa pravosudnim institucijama </w:t>
            </w:r>
          </w:p>
          <w:p w14:paraId="564BF5A2" w14:textId="75A0A805" w:rsidR="00F069AE" w:rsidRPr="009A613C" w:rsidRDefault="00F069AE" w:rsidP="000E7268">
            <w:pPr>
              <w:jc w:val="both"/>
            </w:pPr>
            <w:r w:rsidRPr="009A613C">
              <w:t xml:space="preserve">OC </w:t>
            </w:r>
            <w:r w:rsidR="009C115A" w:rsidRPr="009A613C">
              <w:t>3</w:t>
            </w:r>
            <w:r w:rsidRPr="009A613C">
              <w:t xml:space="preserve">.5. </w:t>
            </w:r>
            <w:r w:rsidR="00213EFF" w:rsidRPr="009A613C">
              <w:t xml:space="preserve">Pristup pravdi po mjeri </w:t>
            </w:r>
            <w:r w:rsidR="00FC6C99" w:rsidRPr="009A613C">
              <w:t>djeteta</w:t>
            </w:r>
            <w:r w:rsidR="00213EFF" w:rsidRPr="009A613C">
              <w:t xml:space="preserve"> </w:t>
            </w:r>
          </w:p>
          <w:p w14:paraId="2591A7B4" w14:textId="6CE871D3" w:rsidR="00213EFF" w:rsidRPr="009A613C" w:rsidRDefault="00F069AE" w:rsidP="000E7268">
            <w:pPr>
              <w:jc w:val="both"/>
            </w:pPr>
            <w:r w:rsidRPr="009A613C">
              <w:t xml:space="preserve">OC </w:t>
            </w:r>
            <w:r w:rsidR="009C115A" w:rsidRPr="009A613C">
              <w:t>3</w:t>
            </w:r>
            <w:r w:rsidRPr="009A613C">
              <w:t xml:space="preserve">.6. </w:t>
            </w:r>
            <w:r w:rsidR="0025255B" w:rsidRPr="009A613C">
              <w:t>Unaprjeđ</w:t>
            </w:r>
            <w:r w:rsidR="00213EFF" w:rsidRPr="009A613C">
              <w:t>enje pristupa pravdi za žrtve krivičnih djela</w:t>
            </w:r>
          </w:p>
          <w:p w14:paraId="0A7E206B" w14:textId="5FDB5A43" w:rsidR="00F069AE" w:rsidRPr="009A613C" w:rsidRDefault="00F069AE" w:rsidP="009C115A"/>
        </w:tc>
      </w:tr>
      <w:tr w:rsidR="00610D06" w:rsidRPr="009A613C" w14:paraId="67D0553B" w14:textId="77777777" w:rsidTr="00610D06">
        <w:trPr>
          <w:trHeight w:val="254"/>
        </w:trPr>
        <w:tc>
          <w:tcPr>
            <w:tcW w:w="5000" w:type="pct"/>
            <w:gridSpan w:val="4"/>
            <w:tcBorders>
              <w:top w:val="double" w:sz="4" w:space="0" w:color="auto"/>
              <w:bottom w:val="double" w:sz="4" w:space="0" w:color="auto"/>
              <w:right w:val="double" w:sz="4" w:space="0" w:color="auto"/>
            </w:tcBorders>
            <w:shd w:val="clear" w:color="auto" w:fill="F2F2F2" w:themeFill="background1" w:themeFillShade="F2"/>
          </w:tcPr>
          <w:p w14:paraId="4575D9EB" w14:textId="77777777" w:rsidR="00342BA6" w:rsidRDefault="00342BA6" w:rsidP="00342BA6">
            <w:pPr>
              <w:rPr>
                <w:b/>
                <w:bCs/>
                <w:u w:val="single"/>
              </w:rPr>
            </w:pPr>
            <w:r>
              <w:rPr>
                <w:b/>
                <w:bCs/>
                <w:u w:val="single"/>
              </w:rPr>
              <w:lastRenderedPageBreak/>
              <w:t xml:space="preserve">Relevantna privremena mjerila, Poglavlje 23: </w:t>
            </w:r>
          </w:p>
          <w:p w14:paraId="5CF143D0" w14:textId="77777777" w:rsidR="00F25100" w:rsidRDefault="00F25100" w:rsidP="00342BA6">
            <w:pPr>
              <w:rPr>
                <w:b/>
                <w:bCs/>
                <w:u w:val="single"/>
              </w:rPr>
            </w:pPr>
          </w:p>
          <w:p w14:paraId="35114D6B" w14:textId="796C0E1E" w:rsidR="00004F17" w:rsidRPr="00A05630" w:rsidRDefault="00B44610" w:rsidP="00F25100">
            <w:pPr>
              <w:spacing w:after="120"/>
              <w:jc w:val="both"/>
              <w:rPr>
                <w:rFonts w:cstheme="minorHAnsi"/>
                <w:lang w:val="bs-Latn-BA"/>
              </w:rPr>
            </w:pPr>
            <w:r w:rsidRPr="00F5656C">
              <w:rPr>
                <w:rFonts w:cstheme="minorHAnsi"/>
                <w:b/>
                <w:bCs/>
                <w:lang w:val="bs-Latn-BA"/>
              </w:rPr>
              <w:t>PM 19:</w:t>
            </w:r>
            <w:r w:rsidRPr="00A05630">
              <w:rPr>
                <w:rFonts w:cstheme="minorHAnsi"/>
                <w:lang w:val="bs-Latn-BA"/>
              </w:rPr>
              <w:t xml:space="preserve"> </w:t>
            </w:r>
            <w:r w:rsidR="00004F17" w:rsidRPr="00A05630">
              <w:rPr>
                <w:rFonts w:cstheme="minorHAnsi"/>
                <w:lang w:val="bs-Latn-BA"/>
              </w:rPr>
              <w:t>Crna Gora efektivno demonstrira kapacitet tijela za sprovođenje zakona i sudova da nezavisno rješavaju slučajeve ratnih zločina u skladu s međunarodnim humanitarnim pravom i sudskom praksom Međunarodnog krivičnog tribunala za Bivšu Jugoslaviju i preuzima efektivne mjere za bavljenje pitanjem nekažnjivosti, naročito kroz ubrzanje napretka u istragama i gonjenju ovih slučaja i kroz obezbjeđenje pristupa pravdi i odštete civilnim žrtvama.</w:t>
            </w:r>
          </w:p>
          <w:p w14:paraId="414B7174" w14:textId="13A24286" w:rsidR="007A7122" w:rsidRPr="00A05630" w:rsidRDefault="00A05630" w:rsidP="00F25100">
            <w:pPr>
              <w:spacing w:after="120"/>
              <w:jc w:val="both"/>
              <w:rPr>
                <w:rFonts w:cstheme="minorHAnsi"/>
                <w:lang w:val="bs-Latn-BA"/>
              </w:rPr>
            </w:pPr>
            <w:r w:rsidRPr="00F5656C">
              <w:rPr>
                <w:rFonts w:cstheme="minorHAnsi"/>
                <w:b/>
                <w:bCs/>
                <w:lang w:val="bs-Latn-BA"/>
              </w:rPr>
              <w:t>PM 34:</w:t>
            </w:r>
            <w:r w:rsidRPr="00A05630">
              <w:rPr>
                <w:rFonts w:cstheme="minorHAnsi"/>
                <w:lang w:val="bs-Latn-BA"/>
              </w:rPr>
              <w:t xml:space="preserve"> </w:t>
            </w:r>
            <w:r w:rsidR="007A7122" w:rsidRPr="00A05630">
              <w:rPr>
                <w:rFonts w:cstheme="minorHAnsi"/>
                <w:lang w:val="bs-Latn-BA"/>
              </w:rPr>
              <w:t>Crna Gora dalje usklađuje svoj pravni okvir (naročito Zakon o zaštitniku ljudskih prava) s pravnom tekovinom EU i međunarodnim standardima. Crna Gora jača nezavisnost, profesionalnost i institucionalni kapacitet Ombudsmana (i kroz uspostavljanje Nacionalnog mehanizma za prevenciju mučenja). Crna Gora garantuje efektivnu primjenu ljudskih prava – uključujući prava djeteta i prava lica s invaliditetom – kroz sudski sistem i druge organe i obezbjeđuje dovoljnu obuku u ovom smislu.</w:t>
            </w:r>
          </w:p>
          <w:p w14:paraId="48847BE4" w14:textId="77777777" w:rsidR="002A0646" w:rsidRDefault="00A05630" w:rsidP="00F25100">
            <w:pPr>
              <w:spacing w:after="120"/>
              <w:jc w:val="both"/>
              <w:rPr>
                <w:rFonts w:cstheme="minorHAnsi"/>
                <w:lang w:val="bs-Latn-BA"/>
              </w:rPr>
            </w:pPr>
            <w:r w:rsidRPr="00F5656C">
              <w:rPr>
                <w:rFonts w:cstheme="minorHAnsi"/>
                <w:b/>
                <w:bCs/>
                <w:lang w:val="bs-Latn-BA"/>
              </w:rPr>
              <w:t>PM 37:</w:t>
            </w:r>
            <w:r w:rsidRPr="00A05630">
              <w:rPr>
                <w:rFonts w:cstheme="minorHAnsi"/>
                <w:lang w:val="bs-Latn-BA"/>
              </w:rPr>
              <w:t xml:space="preserve"> </w:t>
            </w:r>
            <w:r w:rsidR="00AD5B1F" w:rsidRPr="00A05630">
              <w:rPr>
                <w:rFonts w:cstheme="minorHAnsi"/>
                <w:lang w:val="bs-Latn-BA"/>
              </w:rPr>
              <w:t>Crna Gora nastavlja sa sprovođenjem Strategije zaštite od porodičnog nasilja, uključujući podizanje svijesti o prevenciji porodičnog nasilja i obezbjeđivanje neophodne zaštite žrtvama.</w:t>
            </w:r>
          </w:p>
          <w:p w14:paraId="44EE08F0" w14:textId="2F5AC6AC" w:rsidR="007A7122" w:rsidRPr="00A05630" w:rsidRDefault="00A05630" w:rsidP="00F25100">
            <w:pPr>
              <w:spacing w:after="120"/>
              <w:jc w:val="both"/>
              <w:rPr>
                <w:rFonts w:cstheme="minorHAnsi"/>
                <w:b/>
                <w:lang w:val="bs-Latn-BA"/>
              </w:rPr>
            </w:pPr>
            <w:r w:rsidRPr="00F5656C">
              <w:rPr>
                <w:rFonts w:cstheme="minorHAnsi"/>
                <w:b/>
                <w:bCs/>
                <w:lang w:val="bs-Latn-BA"/>
              </w:rPr>
              <w:t>PM 39:</w:t>
            </w:r>
            <w:r w:rsidRPr="00A05630">
              <w:rPr>
                <w:rFonts w:cstheme="minorHAnsi"/>
                <w:lang w:val="bs-Latn-BA"/>
              </w:rPr>
              <w:t xml:space="preserve"> </w:t>
            </w:r>
            <w:r w:rsidR="007A7122" w:rsidRPr="00A05630">
              <w:rPr>
                <w:rFonts w:cstheme="minorHAnsi"/>
                <w:lang w:val="bs-Latn-BA"/>
              </w:rPr>
              <w:t>Crnogorski sudovi uspostavljaju inicijalni bilans ostvarenih rezultata efektivnog pravnog lijeka u skladu s članom 13 Evropske konvencije o ljudskim pravima.</w:t>
            </w:r>
          </w:p>
          <w:p w14:paraId="3794F038" w14:textId="1E846BB1" w:rsidR="00610D06" w:rsidRPr="00F5656C" w:rsidRDefault="00A05630" w:rsidP="00F25100">
            <w:pPr>
              <w:spacing w:after="120"/>
              <w:jc w:val="both"/>
              <w:rPr>
                <w:rFonts w:cstheme="minorHAnsi"/>
                <w:b/>
                <w:lang w:val="bs-Latn-BA"/>
              </w:rPr>
            </w:pPr>
            <w:r w:rsidRPr="00F5656C">
              <w:rPr>
                <w:rFonts w:cstheme="minorHAnsi"/>
                <w:b/>
                <w:bCs/>
                <w:lang w:val="bs-Latn-BA"/>
              </w:rPr>
              <w:t>PM 40:</w:t>
            </w:r>
            <w:r w:rsidRPr="00A05630">
              <w:rPr>
                <w:rFonts w:cstheme="minorHAnsi"/>
                <w:lang w:val="bs-Latn-BA"/>
              </w:rPr>
              <w:t xml:space="preserve"> </w:t>
            </w:r>
            <w:r w:rsidR="007A7122" w:rsidRPr="00A05630">
              <w:rPr>
                <w:rFonts w:cstheme="minorHAnsi"/>
                <w:lang w:val="bs-Latn-BA"/>
              </w:rPr>
              <w:t>Crna Gora informiše građane o zakonskim pravima i obezbjeđuje da je besplatna pravna pomoć u principu dostupna svim građanima koji imaju potrebu za tim, naročito najranjivijim kategorijama.</w:t>
            </w:r>
          </w:p>
        </w:tc>
      </w:tr>
    </w:tbl>
    <w:p w14:paraId="7F531C47" w14:textId="52862577" w:rsidR="00A46520" w:rsidRPr="009A613C" w:rsidRDefault="00A46520" w:rsidP="00374873"/>
    <w:p w14:paraId="05E8F4BE" w14:textId="6CE51727" w:rsidR="004F6A83" w:rsidRDefault="004F6A83" w:rsidP="002D702C">
      <w:pPr>
        <w:pStyle w:val="Heading3"/>
        <w:numPr>
          <w:ilvl w:val="1"/>
          <w:numId w:val="12"/>
        </w:numPr>
        <w:jc w:val="center"/>
      </w:pPr>
      <w:bookmarkStart w:id="45" w:name="_Toc156937973"/>
      <w:r w:rsidRPr="009A613C">
        <w:t>Dalji razvoj ujednačavanja i objavljivanja sudske prakse</w:t>
      </w:r>
      <w:bookmarkEnd w:id="45"/>
    </w:p>
    <w:p w14:paraId="7852CDB4" w14:textId="77777777" w:rsidR="00B55F76" w:rsidRDefault="00B55F76" w:rsidP="00B55F76"/>
    <w:p w14:paraId="723DA285" w14:textId="1D91B7A4" w:rsidR="00B55F76" w:rsidRDefault="00B55F76" w:rsidP="00B55F76">
      <w:pPr>
        <w:jc w:val="both"/>
      </w:pPr>
      <w:r>
        <w:t>Ujednačena praksa sudova predstavlja jedan od preduslova obezb</w:t>
      </w:r>
      <w:r w:rsidR="002A0646">
        <w:t>j</w:t>
      </w:r>
      <w:r>
        <w:t xml:space="preserve">eđivanja jednakosti pred zakonom i vladavine prava. Dostupnost sudske prakse u javnim, elektronskim bazama, omogućava građanima i privrednim subjektima precizniji uvid u dosadašnju praksu sudova u različitim oblastima i olakšava im donošenje odluke da se upuste u pokretanje ili vođenje sudskog postupka, kao i da predvide njegovo trajanje, troškove ili mogući ishod. </w:t>
      </w:r>
    </w:p>
    <w:p w14:paraId="03A9B3D1" w14:textId="77777777" w:rsidR="005A19D5" w:rsidRDefault="00B55F76" w:rsidP="00B55F76">
      <w:pPr>
        <w:jc w:val="both"/>
      </w:pPr>
      <w:r>
        <w:t>Istovremeno, dostupnost sudske prakse omogućava i samim nosiocima pravosudnih funkcija uvid u prethodno postupanje njihovih kolega u sličnim slučajevima, čime se utiče na koherentnost postupanja i ujednačavanje sudske prakse.</w:t>
      </w:r>
      <w:r w:rsidR="005A19D5">
        <w:t xml:space="preserve"> </w:t>
      </w:r>
    </w:p>
    <w:p w14:paraId="1AA9A167" w14:textId="5E48A045" w:rsidR="00B55F76" w:rsidRDefault="005A19D5" w:rsidP="00B55F76">
      <w:pPr>
        <w:jc w:val="both"/>
      </w:pPr>
      <w:r>
        <w:t>Od posebnog značaja i za građane i za nosioce pravosudnih funkcija je i kontinuirano prevođenje i objavljivanje odluka Evropskog suda za ljudska prava (ESLJP).</w:t>
      </w:r>
    </w:p>
    <w:p w14:paraId="38CD0FDD" w14:textId="3F16CF13" w:rsidR="00D448ED" w:rsidRDefault="00B55F76" w:rsidP="00937D75">
      <w:pPr>
        <w:jc w:val="both"/>
      </w:pPr>
      <w:r>
        <w:t xml:space="preserve">Da bi pomenuti principi što više zaživjeli u praksi, u periodu sprovođenja Strategije, neophodno je nastaviti sa jačanjem kapaciteta odjeljenja sudske prakse u sudovima, a posebno u Vrhovnom sudu, kako kroz </w:t>
      </w:r>
      <w:r w:rsidR="005A19D5">
        <w:t xml:space="preserve">popunjavanje upražnjenih radnih mjesta, </w:t>
      </w:r>
      <w:r w:rsidR="005A19D5" w:rsidRPr="00F5656C">
        <w:t xml:space="preserve">tako i kroz organizaciju obuka za sudije i njihove saradnike, sa </w:t>
      </w:r>
      <w:r w:rsidR="005A19D5" w:rsidRPr="00F5656C">
        <w:lastRenderedPageBreak/>
        <w:t>fokusom na praksi ESLJP, ali i drugih relevantnih međunarodnih sudova, poput Međunarodnog suda pravde i Međunarodnog krivičnog suda.</w:t>
      </w:r>
    </w:p>
    <w:p w14:paraId="13D98926" w14:textId="684E65CD" w:rsidR="00937D75" w:rsidRPr="009A613C" w:rsidRDefault="00937D75" w:rsidP="00937D75">
      <w:pPr>
        <w:jc w:val="both"/>
      </w:pPr>
      <w:r>
        <w:t>Od posebne važnosti je i kontinuirana digitalizacija prakse sudova u Crnoj Gori,</w:t>
      </w:r>
      <w:r w:rsidR="00712D08">
        <w:t xml:space="preserve"> odnosno povećanje broja odluka koje su dostupne za pretragu i preuzimanje u bazi sudske prakse.</w:t>
      </w:r>
      <w:r>
        <w:t xml:space="preserve"> </w:t>
      </w:r>
    </w:p>
    <w:p w14:paraId="4B59A361" w14:textId="0504300C" w:rsidR="00374873" w:rsidRPr="009A613C" w:rsidRDefault="00D448ED" w:rsidP="00D448ED">
      <w:pPr>
        <w:jc w:val="center"/>
      </w:pPr>
      <w:r w:rsidRPr="009A613C">
        <w:rPr>
          <w:i/>
          <w:iCs/>
          <w:sz w:val="20"/>
          <w:szCs w:val="20"/>
        </w:rPr>
        <w:t xml:space="preserve">Tabela </w:t>
      </w:r>
      <w:r w:rsidR="00072761">
        <w:rPr>
          <w:i/>
          <w:iCs/>
          <w:sz w:val="20"/>
          <w:szCs w:val="20"/>
        </w:rPr>
        <w:t>21</w:t>
      </w:r>
      <w:r w:rsidRPr="009A613C">
        <w:rPr>
          <w:i/>
          <w:iCs/>
          <w:sz w:val="20"/>
          <w:szCs w:val="20"/>
        </w:rPr>
        <w:t>:</w:t>
      </w:r>
      <w:r w:rsidR="00072761">
        <w:rPr>
          <w:i/>
          <w:iCs/>
          <w:sz w:val="20"/>
          <w:szCs w:val="20"/>
        </w:rPr>
        <w:t xml:space="preserve"> Indikatori realizacije Operativnog cilja 3.1.</w:t>
      </w:r>
    </w:p>
    <w:tbl>
      <w:tblPr>
        <w:tblStyle w:val="TableGrid"/>
        <w:tblW w:w="4857" w:type="pct"/>
        <w:tblInd w:w="279" w:type="dxa"/>
        <w:tblLayout w:type="fixed"/>
        <w:tblLook w:val="04A0" w:firstRow="1" w:lastRow="0" w:firstColumn="1" w:lastColumn="0" w:noHBand="0" w:noVBand="1"/>
      </w:tblPr>
      <w:tblGrid>
        <w:gridCol w:w="2269"/>
        <w:gridCol w:w="3402"/>
        <w:gridCol w:w="1134"/>
        <w:gridCol w:w="1134"/>
        <w:gridCol w:w="1134"/>
      </w:tblGrid>
      <w:tr w:rsidR="00374873" w:rsidRPr="009A613C" w14:paraId="687A1ABC" w14:textId="77777777" w:rsidTr="000D7ACF">
        <w:trPr>
          <w:trHeight w:val="575"/>
        </w:trPr>
        <w:tc>
          <w:tcPr>
            <w:tcW w:w="1250" w:type="pct"/>
            <w:tcBorders>
              <w:top w:val="double" w:sz="4" w:space="0" w:color="auto"/>
            </w:tcBorders>
            <w:shd w:val="clear" w:color="auto" w:fill="FBE4D5" w:themeFill="accent2" w:themeFillTint="33"/>
          </w:tcPr>
          <w:p w14:paraId="52F11220" w14:textId="77777777" w:rsidR="00374873" w:rsidRPr="009A613C" w:rsidRDefault="00374873" w:rsidP="00BE13A3">
            <w:pPr>
              <w:rPr>
                <w:rFonts w:cstheme="minorHAnsi"/>
              </w:rPr>
            </w:pPr>
            <w:r w:rsidRPr="009A613C">
              <w:rPr>
                <w:rFonts w:cstheme="minorHAnsi"/>
              </w:rPr>
              <w:t xml:space="preserve">Operativni </w:t>
            </w:r>
          </w:p>
          <w:p w14:paraId="055148A5" w14:textId="77777777" w:rsidR="00374873" w:rsidRPr="009A613C" w:rsidRDefault="00374873" w:rsidP="00BE13A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1A5C8E74" w14:textId="77777777" w:rsidR="00374873" w:rsidRPr="009A613C" w:rsidRDefault="00374873" w:rsidP="00BE13A3">
            <w:pPr>
              <w:rPr>
                <w:rFonts w:cstheme="minorHAnsi"/>
              </w:rPr>
            </w:pPr>
            <w:r w:rsidRPr="009A613C">
              <w:rPr>
                <w:rFonts w:cstheme="minorHAnsi"/>
              </w:rPr>
              <w:t>Indikator učinka</w:t>
            </w:r>
          </w:p>
        </w:tc>
        <w:tc>
          <w:tcPr>
            <w:tcW w:w="625" w:type="pct"/>
            <w:tcBorders>
              <w:top w:val="double" w:sz="4" w:space="0" w:color="auto"/>
            </w:tcBorders>
            <w:shd w:val="clear" w:color="auto" w:fill="FBE4D5" w:themeFill="accent2" w:themeFillTint="33"/>
          </w:tcPr>
          <w:p w14:paraId="4CCDB3C2" w14:textId="77777777" w:rsidR="00374873" w:rsidRDefault="00374873" w:rsidP="00BE13A3">
            <w:pPr>
              <w:rPr>
                <w:rFonts w:cstheme="minorHAnsi"/>
              </w:rPr>
            </w:pPr>
            <w:r w:rsidRPr="009A613C">
              <w:rPr>
                <w:rFonts w:cstheme="minorHAnsi"/>
              </w:rPr>
              <w:t>Početna vrijed</w:t>
            </w:r>
            <w:r w:rsidR="000D7ACF" w:rsidRPr="009A613C">
              <w:rPr>
                <w:rFonts w:cstheme="minorHAnsi"/>
              </w:rPr>
              <w:t>n</w:t>
            </w:r>
            <w:r w:rsidRPr="009A613C">
              <w:rPr>
                <w:rFonts w:cstheme="minorHAnsi"/>
              </w:rPr>
              <w:t>ost</w:t>
            </w:r>
          </w:p>
          <w:p w14:paraId="6BD1A791" w14:textId="0FB25DA8" w:rsidR="004802D4" w:rsidRPr="009A613C" w:rsidRDefault="004802D4" w:rsidP="00BE13A3">
            <w:pPr>
              <w:rPr>
                <w:rFonts w:cstheme="minorHAnsi"/>
              </w:rPr>
            </w:pPr>
            <w:r>
              <w:rPr>
                <w:rFonts w:cstheme="minorHAnsi"/>
              </w:rPr>
              <w:t>2023.</w:t>
            </w:r>
          </w:p>
        </w:tc>
        <w:tc>
          <w:tcPr>
            <w:tcW w:w="625" w:type="pct"/>
            <w:tcBorders>
              <w:top w:val="double" w:sz="4" w:space="0" w:color="auto"/>
            </w:tcBorders>
            <w:shd w:val="clear" w:color="auto" w:fill="FBE4D5" w:themeFill="accent2" w:themeFillTint="33"/>
          </w:tcPr>
          <w:p w14:paraId="6516650D" w14:textId="77777777" w:rsidR="00374873" w:rsidRPr="009A613C" w:rsidRDefault="00374873" w:rsidP="00BE13A3">
            <w:pPr>
              <w:rPr>
                <w:rFonts w:cstheme="minorHAnsi"/>
              </w:rPr>
            </w:pPr>
            <w:r w:rsidRPr="009A613C">
              <w:rPr>
                <w:rFonts w:cstheme="minorHAnsi"/>
              </w:rPr>
              <w:t>Ciljana vrijednost 2025.</w:t>
            </w:r>
          </w:p>
        </w:tc>
        <w:tc>
          <w:tcPr>
            <w:tcW w:w="625" w:type="pct"/>
            <w:tcBorders>
              <w:top w:val="double" w:sz="4" w:space="0" w:color="auto"/>
              <w:right w:val="double" w:sz="4" w:space="0" w:color="auto"/>
            </w:tcBorders>
            <w:shd w:val="clear" w:color="auto" w:fill="FBE4D5" w:themeFill="accent2" w:themeFillTint="33"/>
          </w:tcPr>
          <w:p w14:paraId="272F9BD6" w14:textId="77777777" w:rsidR="00374873" w:rsidRPr="009A613C" w:rsidRDefault="00374873" w:rsidP="00BE13A3">
            <w:pPr>
              <w:rPr>
                <w:rFonts w:cstheme="minorHAnsi"/>
              </w:rPr>
            </w:pPr>
            <w:r w:rsidRPr="009A613C">
              <w:rPr>
                <w:rFonts w:cstheme="minorHAnsi"/>
              </w:rPr>
              <w:t>Ciljana vrijednost 2027.</w:t>
            </w:r>
          </w:p>
        </w:tc>
      </w:tr>
      <w:tr w:rsidR="00267C22" w:rsidRPr="009A613C" w14:paraId="3AEAD40E" w14:textId="77777777" w:rsidTr="00D16499">
        <w:trPr>
          <w:trHeight w:val="866"/>
        </w:trPr>
        <w:tc>
          <w:tcPr>
            <w:tcW w:w="1250" w:type="pct"/>
            <w:vMerge w:val="restart"/>
            <w:tcBorders>
              <w:top w:val="double" w:sz="4" w:space="0" w:color="auto"/>
            </w:tcBorders>
            <w:shd w:val="clear" w:color="auto" w:fill="E2EFD9" w:themeFill="accent6" w:themeFillTint="33"/>
          </w:tcPr>
          <w:p w14:paraId="2F608EC4" w14:textId="77777777" w:rsidR="00267C22" w:rsidRPr="009A613C" w:rsidRDefault="00267C22" w:rsidP="00BE13A3">
            <w:pPr>
              <w:rPr>
                <w:rFonts w:cstheme="minorHAnsi"/>
              </w:rPr>
            </w:pPr>
            <w:r w:rsidRPr="009A613C">
              <w:rPr>
                <w:rFonts w:cstheme="minorHAnsi"/>
              </w:rPr>
              <w:t>3.1.</w:t>
            </w:r>
          </w:p>
          <w:p w14:paraId="2651C155" w14:textId="77777777" w:rsidR="00267C22" w:rsidRPr="009A613C" w:rsidRDefault="00267C22" w:rsidP="00FB7AB1">
            <w:pPr>
              <w:jc w:val="both"/>
              <w:rPr>
                <w:rFonts w:cstheme="minorHAnsi"/>
              </w:rPr>
            </w:pPr>
            <w:r w:rsidRPr="009A613C">
              <w:rPr>
                <w:rFonts w:cstheme="minorHAnsi"/>
              </w:rPr>
              <w:t xml:space="preserve"> Dalji razvoj ujednačavanja i objavljivanja sudske prakse</w:t>
            </w:r>
          </w:p>
          <w:p w14:paraId="2972A256" w14:textId="77777777" w:rsidR="00267C22" w:rsidRPr="009A613C" w:rsidRDefault="00267C22" w:rsidP="00BE13A3">
            <w:pPr>
              <w:rPr>
                <w:rFonts w:cstheme="minorHAnsi"/>
              </w:rPr>
            </w:pPr>
          </w:p>
        </w:tc>
        <w:tc>
          <w:tcPr>
            <w:tcW w:w="1875" w:type="pct"/>
            <w:tcBorders>
              <w:top w:val="double" w:sz="4" w:space="0" w:color="auto"/>
            </w:tcBorders>
            <w:shd w:val="clear" w:color="auto" w:fill="FFFFFF" w:themeFill="background1"/>
          </w:tcPr>
          <w:p w14:paraId="2DCA8985" w14:textId="2496F4C5" w:rsidR="00267C22" w:rsidRPr="009A613C" w:rsidRDefault="00267C22" w:rsidP="00FB7AB1">
            <w:pPr>
              <w:shd w:val="clear" w:color="auto" w:fill="FFFFFF" w:themeFill="background1"/>
              <w:spacing w:after="240"/>
              <w:jc w:val="both"/>
              <w:rPr>
                <w:rFonts w:cstheme="minorHAnsi"/>
              </w:rPr>
            </w:pPr>
            <w:r>
              <w:rPr>
                <w:rFonts w:cstheme="minorHAnsi"/>
              </w:rPr>
              <w:t>%</w:t>
            </w:r>
            <w:r w:rsidRPr="009A613C">
              <w:rPr>
                <w:rFonts w:cstheme="minorHAnsi"/>
              </w:rPr>
              <w:t xml:space="preserve"> objavljenih odluka u bazi sudske prakse</w:t>
            </w:r>
          </w:p>
        </w:tc>
        <w:tc>
          <w:tcPr>
            <w:tcW w:w="625" w:type="pct"/>
            <w:tcBorders>
              <w:top w:val="double" w:sz="4" w:space="0" w:color="auto"/>
            </w:tcBorders>
            <w:shd w:val="clear" w:color="auto" w:fill="FFFFFF" w:themeFill="background1"/>
          </w:tcPr>
          <w:p w14:paraId="4E0A89B5" w14:textId="7F97FD63" w:rsidR="00267C22" w:rsidRPr="009A613C" w:rsidRDefault="00267C22" w:rsidP="00BE13A3">
            <w:pPr>
              <w:shd w:val="clear" w:color="auto" w:fill="FFFFFF" w:themeFill="background1"/>
              <w:jc w:val="center"/>
              <w:rPr>
                <w:rFonts w:cstheme="minorHAnsi"/>
              </w:rPr>
            </w:pPr>
            <w:r>
              <w:rPr>
                <w:rFonts w:cstheme="minorHAnsi"/>
              </w:rPr>
              <w:t>95%</w:t>
            </w:r>
          </w:p>
        </w:tc>
        <w:tc>
          <w:tcPr>
            <w:tcW w:w="625" w:type="pct"/>
            <w:tcBorders>
              <w:top w:val="double" w:sz="4" w:space="0" w:color="auto"/>
            </w:tcBorders>
            <w:shd w:val="clear" w:color="auto" w:fill="FFFFFF" w:themeFill="background1"/>
          </w:tcPr>
          <w:p w14:paraId="0551CF28" w14:textId="2171DA22" w:rsidR="00267C22" w:rsidRPr="009A613C" w:rsidRDefault="00267C22" w:rsidP="00BE13A3">
            <w:pPr>
              <w:shd w:val="clear" w:color="auto" w:fill="FFFFFF" w:themeFill="background1"/>
              <w:jc w:val="center"/>
              <w:rPr>
                <w:rFonts w:cstheme="minorHAnsi"/>
              </w:rPr>
            </w:pPr>
            <w:r>
              <w:rPr>
                <w:rFonts w:cstheme="minorHAnsi"/>
              </w:rPr>
              <w:t>98%</w:t>
            </w:r>
          </w:p>
        </w:tc>
        <w:tc>
          <w:tcPr>
            <w:tcW w:w="625" w:type="pct"/>
            <w:tcBorders>
              <w:top w:val="double" w:sz="4" w:space="0" w:color="auto"/>
              <w:right w:val="double" w:sz="4" w:space="0" w:color="auto"/>
            </w:tcBorders>
            <w:shd w:val="clear" w:color="auto" w:fill="FFFFFF" w:themeFill="background1"/>
          </w:tcPr>
          <w:p w14:paraId="2E84E250" w14:textId="38AA5C74" w:rsidR="00267C22" w:rsidRPr="009A613C" w:rsidRDefault="00267C22" w:rsidP="00BE13A3">
            <w:pPr>
              <w:shd w:val="clear" w:color="auto" w:fill="FFFFFF" w:themeFill="background1"/>
              <w:jc w:val="center"/>
              <w:rPr>
                <w:rFonts w:cstheme="minorHAnsi"/>
              </w:rPr>
            </w:pPr>
            <w:r>
              <w:rPr>
                <w:rFonts w:cstheme="minorHAnsi"/>
              </w:rPr>
              <w:t>100%</w:t>
            </w:r>
          </w:p>
        </w:tc>
      </w:tr>
      <w:tr w:rsidR="00374873" w:rsidRPr="009A613C" w14:paraId="5CB47840" w14:textId="77777777" w:rsidTr="000D7ACF">
        <w:trPr>
          <w:trHeight w:val="254"/>
        </w:trPr>
        <w:tc>
          <w:tcPr>
            <w:tcW w:w="1250" w:type="pct"/>
            <w:vMerge/>
            <w:tcBorders>
              <w:bottom w:val="double" w:sz="4" w:space="0" w:color="auto"/>
            </w:tcBorders>
            <w:shd w:val="clear" w:color="auto" w:fill="E2EFD9" w:themeFill="accent6" w:themeFillTint="33"/>
          </w:tcPr>
          <w:p w14:paraId="645B6554" w14:textId="77777777" w:rsidR="00374873" w:rsidRPr="009A613C" w:rsidRDefault="00374873"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214B2135" w14:textId="31DB76E7" w:rsidR="00374873" w:rsidRPr="00444761" w:rsidRDefault="00374873" w:rsidP="00FB7AB1">
            <w:pPr>
              <w:shd w:val="clear" w:color="auto" w:fill="FFFFFF" w:themeFill="background1"/>
              <w:spacing w:after="240"/>
              <w:jc w:val="both"/>
              <w:rPr>
                <w:rFonts w:cstheme="minorHAnsi"/>
              </w:rPr>
            </w:pPr>
            <w:r w:rsidRPr="00F5656C">
              <w:rPr>
                <w:rFonts w:cstheme="minorHAnsi"/>
              </w:rPr>
              <w:t xml:space="preserve">Broj </w:t>
            </w:r>
            <w:r w:rsidR="00FB7AB1">
              <w:rPr>
                <w:rFonts w:cstheme="minorHAnsi"/>
              </w:rPr>
              <w:t>o</w:t>
            </w:r>
            <w:r w:rsidRPr="00F5656C">
              <w:rPr>
                <w:rFonts w:cstheme="minorHAnsi"/>
              </w:rPr>
              <w:t>buk</w:t>
            </w:r>
            <w:r w:rsidR="00B9005A">
              <w:rPr>
                <w:rFonts w:cstheme="minorHAnsi"/>
              </w:rPr>
              <w:t>a</w:t>
            </w:r>
            <w:r w:rsidRPr="00F5656C">
              <w:rPr>
                <w:rFonts w:cstheme="minorHAnsi"/>
              </w:rPr>
              <w:t xml:space="preserve"> o praksi ESLJP na godišnjem nivou</w:t>
            </w:r>
          </w:p>
        </w:tc>
        <w:tc>
          <w:tcPr>
            <w:tcW w:w="625" w:type="pct"/>
            <w:tcBorders>
              <w:top w:val="double" w:sz="4" w:space="0" w:color="auto"/>
              <w:bottom w:val="double" w:sz="4" w:space="0" w:color="auto"/>
            </w:tcBorders>
            <w:shd w:val="clear" w:color="auto" w:fill="FFFFFF" w:themeFill="background1"/>
          </w:tcPr>
          <w:p w14:paraId="5A45B1FD" w14:textId="35F1E0AE" w:rsidR="00374873" w:rsidRPr="009A613C" w:rsidRDefault="00B9005A" w:rsidP="00BE13A3">
            <w:pPr>
              <w:shd w:val="clear" w:color="auto" w:fill="FFFFFF" w:themeFill="background1"/>
              <w:jc w:val="center"/>
              <w:rPr>
                <w:rFonts w:cstheme="minorHAnsi"/>
              </w:rPr>
            </w:pPr>
            <w:r>
              <w:rPr>
                <w:rFonts w:cstheme="minorHAnsi"/>
              </w:rPr>
              <w:t>15</w:t>
            </w:r>
          </w:p>
        </w:tc>
        <w:tc>
          <w:tcPr>
            <w:tcW w:w="625" w:type="pct"/>
            <w:tcBorders>
              <w:top w:val="double" w:sz="4" w:space="0" w:color="auto"/>
              <w:bottom w:val="double" w:sz="4" w:space="0" w:color="auto"/>
            </w:tcBorders>
            <w:shd w:val="clear" w:color="auto" w:fill="FFFFFF" w:themeFill="background1"/>
          </w:tcPr>
          <w:p w14:paraId="3ECA188B" w14:textId="498983C6" w:rsidR="00374873" w:rsidRPr="00ED323C" w:rsidRDefault="00B9005A" w:rsidP="00BE13A3">
            <w:pPr>
              <w:shd w:val="clear" w:color="auto" w:fill="FFFFFF" w:themeFill="background1"/>
              <w:jc w:val="center"/>
              <w:rPr>
                <w:rFonts w:cstheme="minorHAnsi"/>
              </w:rPr>
            </w:pPr>
            <w:r w:rsidRPr="00ED323C">
              <w:rPr>
                <w:rFonts w:cstheme="minorHAnsi"/>
              </w:rPr>
              <w:t>15</w:t>
            </w:r>
          </w:p>
        </w:tc>
        <w:tc>
          <w:tcPr>
            <w:tcW w:w="625" w:type="pct"/>
            <w:tcBorders>
              <w:top w:val="double" w:sz="4" w:space="0" w:color="auto"/>
              <w:bottom w:val="double" w:sz="4" w:space="0" w:color="auto"/>
              <w:right w:val="double" w:sz="4" w:space="0" w:color="auto"/>
            </w:tcBorders>
            <w:shd w:val="clear" w:color="auto" w:fill="FFFFFF" w:themeFill="background1"/>
          </w:tcPr>
          <w:p w14:paraId="6A1C59F8" w14:textId="56D2355E" w:rsidR="00374873" w:rsidRPr="00ED323C" w:rsidRDefault="00B9005A" w:rsidP="00BE13A3">
            <w:pPr>
              <w:shd w:val="clear" w:color="auto" w:fill="FFFFFF" w:themeFill="background1"/>
              <w:jc w:val="center"/>
              <w:rPr>
                <w:rFonts w:cstheme="minorHAnsi"/>
              </w:rPr>
            </w:pPr>
            <w:r w:rsidRPr="00ED323C">
              <w:rPr>
                <w:rFonts w:cstheme="minorHAnsi"/>
              </w:rPr>
              <w:t>15</w:t>
            </w:r>
          </w:p>
        </w:tc>
      </w:tr>
    </w:tbl>
    <w:p w14:paraId="7A528D14" w14:textId="77777777" w:rsidR="00374873" w:rsidRPr="009A613C" w:rsidRDefault="00374873" w:rsidP="00374873"/>
    <w:p w14:paraId="5501D8E4" w14:textId="4B329D1A" w:rsidR="004F6A83" w:rsidRDefault="0025255B" w:rsidP="002D702C">
      <w:pPr>
        <w:pStyle w:val="Heading3"/>
        <w:numPr>
          <w:ilvl w:val="1"/>
          <w:numId w:val="12"/>
        </w:numPr>
        <w:spacing w:after="240"/>
        <w:jc w:val="center"/>
        <w:rPr>
          <w14:ligatures w14:val="standardContextual"/>
        </w:rPr>
      </w:pPr>
      <w:bookmarkStart w:id="46" w:name="_Toc156937974"/>
      <w:r w:rsidRPr="009A613C">
        <w:t>Unaprjeđ</w:t>
      </w:r>
      <w:r w:rsidR="004F6A83" w:rsidRPr="009A613C">
        <w:rPr>
          <w14:ligatures w14:val="standardContextual"/>
        </w:rPr>
        <w:t>enje sistema besplatne pravne pomo</w:t>
      </w:r>
      <w:r w:rsidR="00B11E9C">
        <w:rPr>
          <w14:ligatures w14:val="standardContextual"/>
        </w:rPr>
        <w:t>ć</w:t>
      </w:r>
      <w:r w:rsidR="004F6A83" w:rsidRPr="009A613C">
        <w:rPr>
          <w14:ligatures w14:val="standardContextual"/>
        </w:rPr>
        <w:t>i</w:t>
      </w:r>
      <w:bookmarkEnd w:id="46"/>
    </w:p>
    <w:p w14:paraId="2322973B" w14:textId="685B28F3" w:rsidR="005C39E4" w:rsidRDefault="005C39E4" w:rsidP="005C39E4">
      <w:pPr>
        <w:autoSpaceDE w:val="0"/>
        <w:autoSpaceDN w:val="0"/>
        <w:adjustRightInd w:val="0"/>
        <w:spacing w:after="120"/>
        <w:jc w:val="both"/>
        <w:rPr>
          <w:rFonts w:cstheme="minorHAnsi"/>
        </w:rPr>
      </w:pPr>
      <w:r w:rsidRPr="005C39E4">
        <w:rPr>
          <w:rFonts w:cstheme="minorHAnsi"/>
        </w:rPr>
        <w:t xml:space="preserve">Iako sistem besplatne pravne pomoći funkcioniše bez većih poteškoća </w:t>
      </w:r>
      <w:r>
        <w:rPr>
          <w:rFonts w:cstheme="minorHAnsi"/>
        </w:rPr>
        <w:t>i dalje</w:t>
      </w:r>
      <w:r w:rsidRPr="005C39E4">
        <w:rPr>
          <w:rFonts w:cstheme="minorHAnsi"/>
        </w:rPr>
        <w:t xml:space="preserve"> se kasni sa njegovim daljim unaprjeđenjem kroz izmjene i dopune Zakona o besplatnoj pravnoj pomoći i proširenje kruga korisnika, prvenstveno na žrtve torture. </w:t>
      </w:r>
    </w:p>
    <w:p w14:paraId="60B6463B" w14:textId="70FC3CC1" w:rsidR="005C39E4" w:rsidRPr="005C39E4" w:rsidRDefault="005C39E4" w:rsidP="005C39E4">
      <w:pPr>
        <w:autoSpaceDE w:val="0"/>
        <w:autoSpaceDN w:val="0"/>
        <w:adjustRightInd w:val="0"/>
        <w:spacing w:after="120"/>
        <w:jc w:val="both"/>
        <w:rPr>
          <w:rFonts w:cstheme="minorHAnsi"/>
        </w:rPr>
      </w:pPr>
      <w:r w:rsidRPr="005C39E4">
        <w:rPr>
          <w:rFonts w:cstheme="minorHAnsi"/>
        </w:rPr>
        <w:t>Imajući ovo u vidu, u narednom periodu je neophodno:</w:t>
      </w:r>
    </w:p>
    <w:p w14:paraId="1C4F9AC6" w14:textId="77777777" w:rsidR="005C39E4" w:rsidRPr="005C39E4" w:rsidRDefault="00B11E9C">
      <w:pPr>
        <w:pStyle w:val="ListParagraph"/>
        <w:numPr>
          <w:ilvl w:val="0"/>
          <w:numId w:val="2"/>
        </w:numPr>
      </w:pPr>
      <w:r w:rsidRPr="005C39E4">
        <w:rPr>
          <w:rFonts w:cstheme="minorHAnsi"/>
        </w:rPr>
        <w:t xml:space="preserve">Nastaviti proces izmjena i dopuna Zakona o besplatnoj pravnoj pomoći; </w:t>
      </w:r>
    </w:p>
    <w:p w14:paraId="4A959512" w14:textId="4B6D4592" w:rsidR="005C39E4" w:rsidRPr="005C39E4" w:rsidRDefault="005C39E4">
      <w:pPr>
        <w:pStyle w:val="ListParagraph"/>
        <w:numPr>
          <w:ilvl w:val="0"/>
          <w:numId w:val="2"/>
        </w:numPr>
      </w:pPr>
      <w:r w:rsidRPr="005C39E4">
        <w:rPr>
          <w:rFonts w:cstheme="minorHAnsi"/>
        </w:rPr>
        <w:t>K</w:t>
      </w:r>
      <w:r w:rsidR="00B11E9C" w:rsidRPr="005C39E4">
        <w:rPr>
          <w:rFonts w:cstheme="minorHAnsi"/>
        </w:rPr>
        <w:t>ontinuirano organizovati obuke o pravima posebno osjetljivih grupa građana</w:t>
      </w:r>
      <w:r w:rsidR="00FB7AB1">
        <w:rPr>
          <w:rFonts w:cstheme="minorHAnsi"/>
        </w:rPr>
        <w:t>;</w:t>
      </w:r>
    </w:p>
    <w:p w14:paraId="77F3ECC6" w14:textId="32E183E2" w:rsidR="00B11E9C" w:rsidRPr="005C39E4" w:rsidRDefault="005C39E4">
      <w:pPr>
        <w:pStyle w:val="ListParagraph"/>
        <w:numPr>
          <w:ilvl w:val="0"/>
          <w:numId w:val="2"/>
        </w:numPr>
        <w:jc w:val="both"/>
      </w:pPr>
      <w:r w:rsidRPr="005C39E4">
        <w:rPr>
          <w:rFonts w:cstheme="minorHAnsi"/>
        </w:rPr>
        <w:t>U</w:t>
      </w:r>
      <w:r w:rsidR="00B11E9C" w:rsidRPr="005C39E4">
        <w:rPr>
          <w:rFonts w:cstheme="minorHAnsi"/>
        </w:rPr>
        <w:t>naprijediti saradnju sa pravnim klinikama i NVO sektorom, sa ciljem stalnog podizanja kvaliteta i dostupnosti besplatne pravne pomoći.</w:t>
      </w:r>
    </w:p>
    <w:p w14:paraId="79F38FF3" w14:textId="3B093ED9" w:rsidR="00D448ED" w:rsidRPr="009A613C" w:rsidRDefault="00D448ED" w:rsidP="00D448ED">
      <w:pPr>
        <w:jc w:val="center"/>
      </w:pPr>
      <w:r w:rsidRPr="009A613C">
        <w:rPr>
          <w:i/>
          <w:iCs/>
          <w:sz w:val="20"/>
          <w:szCs w:val="20"/>
        </w:rPr>
        <w:t xml:space="preserve">Tabela </w:t>
      </w:r>
      <w:r w:rsidR="00072761">
        <w:rPr>
          <w:i/>
          <w:iCs/>
          <w:sz w:val="20"/>
          <w:szCs w:val="20"/>
        </w:rPr>
        <w:t>22</w:t>
      </w:r>
      <w:r w:rsidRPr="009A613C">
        <w:rPr>
          <w:i/>
          <w:iCs/>
          <w:sz w:val="20"/>
          <w:szCs w:val="20"/>
        </w:rPr>
        <w:t>:</w:t>
      </w:r>
      <w:r w:rsidR="00072761">
        <w:rPr>
          <w:i/>
          <w:iCs/>
          <w:sz w:val="20"/>
          <w:szCs w:val="20"/>
        </w:rPr>
        <w:t xml:space="preserve"> Indikatori realizacije Operativnog cilja 3.2.</w:t>
      </w:r>
    </w:p>
    <w:tbl>
      <w:tblPr>
        <w:tblStyle w:val="TableGrid"/>
        <w:tblW w:w="4857" w:type="pct"/>
        <w:tblInd w:w="279" w:type="dxa"/>
        <w:tblLayout w:type="fixed"/>
        <w:tblLook w:val="04A0" w:firstRow="1" w:lastRow="0" w:firstColumn="1" w:lastColumn="0" w:noHBand="0" w:noVBand="1"/>
      </w:tblPr>
      <w:tblGrid>
        <w:gridCol w:w="2269"/>
        <w:gridCol w:w="3402"/>
        <w:gridCol w:w="1134"/>
        <w:gridCol w:w="1134"/>
        <w:gridCol w:w="1134"/>
      </w:tblGrid>
      <w:tr w:rsidR="00374873" w:rsidRPr="009A613C" w14:paraId="3C064F60" w14:textId="77777777" w:rsidTr="007E7546">
        <w:trPr>
          <w:trHeight w:val="254"/>
        </w:trPr>
        <w:tc>
          <w:tcPr>
            <w:tcW w:w="1250" w:type="pct"/>
            <w:tcBorders>
              <w:top w:val="double" w:sz="4" w:space="0" w:color="auto"/>
            </w:tcBorders>
            <w:shd w:val="clear" w:color="auto" w:fill="FBE4D5" w:themeFill="accent2" w:themeFillTint="33"/>
          </w:tcPr>
          <w:p w14:paraId="2BE40455" w14:textId="77777777" w:rsidR="00374873" w:rsidRPr="009A613C" w:rsidRDefault="00374873" w:rsidP="00374873">
            <w:pPr>
              <w:rPr>
                <w:rFonts w:cstheme="minorHAnsi"/>
              </w:rPr>
            </w:pPr>
            <w:r w:rsidRPr="009A613C">
              <w:rPr>
                <w:rFonts w:cstheme="minorHAnsi"/>
              </w:rPr>
              <w:t xml:space="preserve">Operativni </w:t>
            </w:r>
          </w:p>
          <w:p w14:paraId="1E49F47B" w14:textId="6587065F" w:rsidR="00374873" w:rsidRPr="009A613C" w:rsidRDefault="00374873" w:rsidP="00374873">
            <w:pPr>
              <w:rPr>
                <w:rFonts w:cstheme="minorHAnsi"/>
              </w:rPr>
            </w:pPr>
            <w:r w:rsidRPr="009A613C">
              <w:rPr>
                <w:rFonts w:cstheme="minorHAnsi"/>
              </w:rPr>
              <w:t>cilj</w:t>
            </w:r>
          </w:p>
        </w:tc>
        <w:tc>
          <w:tcPr>
            <w:tcW w:w="1875" w:type="pct"/>
            <w:tcBorders>
              <w:top w:val="double" w:sz="4" w:space="0" w:color="auto"/>
              <w:bottom w:val="double" w:sz="4" w:space="0" w:color="auto"/>
            </w:tcBorders>
            <w:shd w:val="clear" w:color="auto" w:fill="FBE4D5" w:themeFill="accent2" w:themeFillTint="33"/>
          </w:tcPr>
          <w:p w14:paraId="1634C650" w14:textId="080C4E05" w:rsidR="00374873" w:rsidRPr="009A613C" w:rsidRDefault="00374873" w:rsidP="00374873">
            <w:r w:rsidRPr="009A613C">
              <w:t>Indikator učinka</w:t>
            </w:r>
          </w:p>
        </w:tc>
        <w:tc>
          <w:tcPr>
            <w:tcW w:w="625" w:type="pct"/>
            <w:tcBorders>
              <w:top w:val="double" w:sz="4" w:space="0" w:color="auto"/>
              <w:bottom w:val="double" w:sz="4" w:space="0" w:color="auto"/>
            </w:tcBorders>
            <w:shd w:val="clear" w:color="auto" w:fill="FBE4D5" w:themeFill="accent2" w:themeFillTint="33"/>
          </w:tcPr>
          <w:p w14:paraId="3ECF8A2A" w14:textId="77777777" w:rsidR="00374873" w:rsidRDefault="00374873" w:rsidP="00374873">
            <w:r w:rsidRPr="009A613C">
              <w:t>Početna vrijed</w:t>
            </w:r>
            <w:r w:rsidR="007E7546" w:rsidRPr="009A613C">
              <w:t>n</w:t>
            </w:r>
            <w:r w:rsidRPr="009A613C">
              <w:t>ost</w:t>
            </w:r>
          </w:p>
          <w:p w14:paraId="01A8A450" w14:textId="70FC7555" w:rsidR="00BC2B8D" w:rsidRPr="009A613C" w:rsidRDefault="00BC2B8D" w:rsidP="00374873">
            <w:r>
              <w:t>2023.</w:t>
            </w:r>
          </w:p>
        </w:tc>
        <w:tc>
          <w:tcPr>
            <w:tcW w:w="625" w:type="pct"/>
            <w:tcBorders>
              <w:top w:val="double" w:sz="4" w:space="0" w:color="auto"/>
              <w:bottom w:val="double" w:sz="4" w:space="0" w:color="auto"/>
            </w:tcBorders>
            <w:shd w:val="clear" w:color="auto" w:fill="FBE4D5" w:themeFill="accent2" w:themeFillTint="33"/>
          </w:tcPr>
          <w:p w14:paraId="3DB43BD9" w14:textId="088E0570" w:rsidR="00374873" w:rsidRPr="009A613C" w:rsidRDefault="00374873" w:rsidP="00374873">
            <w:r w:rsidRPr="009A613C">
              <w:t>Ciljana vrijednost 2025.</w:t>
            </w:r>
          </w:p>
        </w:tc>
        <w:tc>
          <w:tcPr>
            <w:tcW w:w="625" w:type="pct"/>
            <w:tcBorders>
              <w:top w:val="double" w:sz="4" w:space="0" w:color="auto"/>
              <w:bottom w:val="double" w:sz="4" w:space="0" w:color="auto"/>
              <w:right w:val="double" w:sz="4" w:space="0" w:color="auto"/>
            </w:tcBorders>
            <w:shd w:val="clear" w:color="auto" w:fill="FBE4D5" w:themeFill="accent2" w:themeFillTint="33"/>
          </w:tcPr>
          <w:p w14:paraId="4668C2CF" w14:textId="4B734B84" w:rsidR="00374873" w:rsidRPr="009A613C" w:rsidRDefault="00374873" w:rsidP="00374873">
            <w:r w:rsidRPr="009A613C">
              <w:t>Ciljana vrijednost 2027.</w:t>
            </w:r>
          </w:p>
        </w:tc>
      </w:tr>
      <w:tr w:rsidR="00374873" w:rsidRPr="009A613C" w14:paraId="23CFCB13" w14:textId="77777777" w:rsidTr="007E7546">
        <w:trPr>
          <w:trHeight w:val="254"/>
        </w:trPr>
        <w:tc>
          <w:tcPr>
            <w:tcW w:w="1250" w:type="pct"/>
            <w:vMerge w:val="restart"/>
            <w:tcBorders>
              <w:top w:val="double" w:sz="4" w:space="0" w:color="auto"/>
            </w:tcBorders>
            <w:shd w:val="clear" w:color="auto" w:fill="E2EFD9" w:themeFill="accent6" w:themeFillTint="33"/>
          </w:tcPr>
          <w:p w14:paraId="1ACEC08A" w14:textId="77777777" w:rsidR="00374873" w:rsidRPr="009A613C" w:rsidRDefault="00374873" w:rsidP="00BE13A3">
            <w:pPr>
              <w:rPr>
                <w:rFonts w:cstheme="minorHAnsi"/>
              </w:rPr>
            </w:pPr>
            <w:r w:rsidRPr="009A613C">
              <w:rPr>
                <w:rFonts w:cstheme="minorHAnsi"/>
              </w:rPr>
              <w:t xml:space="preserve">3.2. </w:t>
            </w:r>
          </w:p>
          <w:p w14:paraId="08BD1EFD" w14:textId="2DE6E15A" w:rsidR="00374873" w:rsidRPr="009A613C" w:rsidRDefault="0025255B" w:rsidP="00FB7AB1">
            <w:pPr>
              <w:jc w:val="both"/>
              <w:rPr>
                <w:rFonts w:cstheme="minorHAnsi"/>
              </w:rPr>
            </w:pPr>
            <w:r w:rsidRPr="009A613C">
              <w:rPr>
                <w:rFonts w:cstheme="minorHAnsi"/>
              </w:rPr>
              <w:t>Unaprjeđ</w:t>
            </w:r>
            <w:r w:rsidR="00374873" w:rsidRPr="009A613C">
              <w:rPr>
                <w:rFonts w:cstheme="minorHAnsi"/>
              </w:rPr>
              <w:t>enje sistema besplatne pravne pomoći</w:t>
            </w:r>
          </w:p>
          <w:p w14:paraId="5A5A93DE" w14:textId="77777777" w:rsidR="00374873" w:rsidRPr="009A613C" w:rsidRDefault="00374873"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5FE7A22F" w14:textId="77777777" w:rsidR="00374873" w:rsidRPr="009A613C" w:rsidRDefault="00374873" w:rsidP="00FB7AB1">
            <w:pPr>
              <w:shd w:val="clear" w:color="auto" w:fill="FFFFFF" w:themeFill="background1"/>
              <w:spacing w:after="240"/>
              <w:jc w:val="both"/>
              <w:rPr>
                <w:rFonts w:cstheme="minorHAnsi"/>
              </w:rPr>
            </w:pPr>
            <w:r w:rsidRPr="009A613C">
              <w:rPr>
                <w:rFonts w:cstheme="minorHAnsi"/>
              </w:rPr>
              <w:t>Žrtvama torture omogućeno pravo na besplatnu pravnu pomoć</w:t>
            </w:r>
          </w:p>
        </w:tc>
        <w:tc>
          <w:tcPr>
            <w:tcW w:w="625" w:type="pct"/>
            <w:tcBorders>
              <w:top w:val="double" w:sz="4" w:space="0" w:color="auto"/>
              <w:bottom w:val="double" w:sz="4" w:space="0" w:color="auto"/>
            </w:tcBorders>
            <w:shd w:val="clear" w:color="auto" w:fill="FFFFFF" w:themeFill="background1"/>
          </w:tcPr>
          <w:p w14:paraId="5445CC8D" w14:textId="77777777" w:rsidR="00374873" w:rsidRPr="009A613C" w:rsidRDefault="00374873" w:rsidP="00BE13A3">
            <w:pPr>
              <w:shd w:val="clear" w:color="auto" w:fill="FFFFFF" w:themeFill="background1"/>
              <w:jc w:val="center"/>
              <w:rPr>
                <w:rFonts w:cstheme="minorHAnsi"/>
              </w:rPr>
            </w:pPr>
            <w:r w:rsidRPr="009A613C">
              <w:rPr>
                <w:rFonts w:cstheme="minorHAnsi"/>
              </w:rPr>
              <w:t>NE</w:t>
            </w:r>
          </w:p>
        </w:tc>
        <w:tc>
          <w:tcPr>
            <w:tcW w:w="625" w:type="pct"/>
            <w:tcBorders>
              <w:top w:val="double" w:sz="4" w:space="0" w:color="auto"/>
              <w:bottom w:val="double" w:sz="4" w:space="0" w:color="auto"/>
            </w:tcBorders>
            <w:shd w:val="clear" w:color="auto" w:fill="FFFFFF" w:themeFill="background1"/>
          </w:tcPr>
          <w:p w14:paraId="14C51125" w14:textId="77777777" w:rsidR="00374873" w:rsidRPr="009A613C" w:rsidRDefault="00374873" w:rsidP="00BE13A3">
            <w:pPr>
              <w:shd w:val="clear" w:color="auto" w:fill="FFFFFF" w:themeFill="background1"/>
              <w:jc w:val="center"/>
              <w:rPr>
                <w:rFonts w:cstheme="minorHAnsi"/>
              </w:rPr>
            </w:pPr>
            <w:r w:rsidRPr="009A613C">
              <w:rPr>
                <w:rFonts w:cstheme="minorHAnsi"/>
              </w:rPr>
              <w:t>DA</w:t>
            </w:r>
          </w:p>
        </w:tc>
        <w:tc>
          <w:tcPr>
            <w:tcW w:w="625" w:type="pct"/>
            <w:tcBorders>
              <w:top w:val="double" w:sz="4" w:space="0" w:color="auto"/>
              <w:bottom w:val="double" w:sz="4" w:space="0" w:color="auto"/>
              <w:right w:val="double" w:sz="4" w:space="0" w:color="auto"/>
            </w:tcBorders>
            <w:shd w:val="clear" w:color="auto" w:fill="FFFFFF" w:themeFill="background1"/>
          </w:tcPr>
          <w:p w14:paraId="672F7CB3" w14:textId="77777777" w:rsidR="00374873" w:rsidRPr="009A613C" w:rsidRDefault="00374873" w:rsidP="00BE13A3">
            <w:pPr>
              <w:shd w:val="clear" w:color="auto" w:fill="FFFFFF" w:themeFill="background1"/>
              <w:jc w:val="center"/>
              <w:rPr>
                <w:rFonts w:cstheme="minorHAnsi"/>
              </w:rPr>
            </w:pPr>
            <w:r w:rsidRPr="009A613C">
              <w:rPr>
                <w:rFonts w:cstheme="minorHAnsi"/>
              </w:rPr>
              <w:t>DA</w:t>
            </w:r>
          </w:p>
        </w:tc>
      </w:tr>
      <w:tr w:rsidR="00374873" w:rsidRPr="009A613C" w14:paraId="3958DB76" w14:textId="77777777" w:rsidTr="007E7546">
        <w:trPr>
          <w:trHeight w:val="254"/>
        </w:trPr>
        <w:tc>
          <w:tcPr>
            <w:tcW w:w="1250" w:type="pct"/>
            <w:vMerge/>
            <w:shd w:val="clear" w:color="auto" w:fill="E2EFD9" w:themeFill="accent6" w:themeFillTint="33"/>
          </w:tcPr>
          <w:p w14:paraId="75AE6EE4" w14:textId="77777777" w:rsidR="00374873" w:rsidRPr="009A613C" w:rsidRDefault="00374873" w:rsidP="00BE13A3">
            <w:pPr>
              <w:rPr>
                <w:rFonts w:cstheme="minorHAnsi"/>
              </w:rPr>
            </w:pPr>
          </w:p>
        </w:tc>
        <w:tc>
          <w:tcPr>
            <w:tcW w:w="1875" w:type="pct"/>
            <w:tcBorders>
              <w:top w:val="double" w:sz="4" w:space="0" w:color="auto"/>
              <w:bottom w:val="double" w:sz="4" w:space="0" w:color="auto"/>
            </w:tcBorders>
            <w:shd w:val="clear" w:color="auto" w:fill="FFFFFF" w:themeFill="background1"/>
          </w:tcPr>
          <w:p w14:paraId="3FE11C9C" w14:textId="77777777" w:rsidR="00374873" w:rsidRPr="009A613C" w:rsidRDefault="00374873" w:rsidP="00FB7AB1">
            <w:pPr>
              <w:shd w:val="clear" w:color="auto" w:fill="FFFFFF" w:themeFill="background1"/>
              <w:spacing w:after="240"/>
              <w:jc w:val="both"/>
              <w:rPr>
                <w:rFonts w:cstheme="minorHAnsi"/>
              </w:rPr>
            </w:pPr>
            <w:r w:rsidRPr="009A613C">
              <w:rPr>
                <w:rFonts w:cstheme="minorHAnsi"/>
              </w:rPr>
              <w:t xml:space="preserve">% povećanja broja odobrenih zahtjeva za besplatnu pravnu pomoć na godišnjem nivou </w:t>
            </w:r>
          </w:p>
        </w:tc>
        <w:tc>
          <w:tcPr>
            <w:tcW w:w="625" w:type="pct"/>
            <w:tcBorders>
              <w:top w:val="double" w:sz="4" w:space="0" w:color="auto"/>
              <w:bottom w:val="double" w:sz="4" w:space="0" w:color="auto"/>
            </w:tcBorders>
            <w:shd w:val="clear" w:color="auto" w:fill="FFFFFF" w:themeFill="background1"/>
          </w:tcPr>
          <w:p w14:paraId="3A136936" w14:textId="7417D380" w:rsidR="00374873" w:rsidRPr="009A613C" w:rsidRDefault="00C82CDA" w:rsidP="00BE13A3">
            <w:pPr>
              <w:shd w:val="clear" w:color="auto" w:fill="FFFFFF" w:themeFill="background1"/>
              <w:jc w:val="center"/>
              <w:rPr>
                <w:rFonts w:cstheme="minorHAnsi"/>
              </w:rPr>
            </w:pPr>
            <w:r>
              <w:rPr>
                <w:rFonts w:cstheme="minorHAnsi"/>
              </w:rPr>
              <w:t>85%</w:t>
            </w:r>
          </w:p>
        </w:tc>
        <w:tc>
          <w:tcPr>
            <w:tcW w:w="625" w:type="pct"/>
            <w:tcBorders>
              <w:top w:val="double" w:sz="4" w:space="0" w:color="auto"/>
              <w:bottom w:val="double" w:sz="4" w:space="0" w:color="auto"/>
            </w:tcBorders>
            <w:shd w:val="clear" w:color="auto" w:fill="FFFFFF" w:themeFill="background1"/>
          </w:tcPr>
          <w:p w14:paraId="15B7FC9C" w14:textId="3A12E115" w:rsidR="00374873" w:rsidRPr="009A613C" w:rsidRDefault="00FB7AB1" w:rsidP="00BE13A3">
            <w:pPr>
              <w:shd w:val="clear" w:color="auto" w:fill="FFFFFF" w:themeFill="background1"/>
              <w:jc w:val="center"/>
              <w:rPr>
                <w:rFonts w:cstheme="minorHAnsi"/>
              </w:rPr>
            </w:pPr>
            <w:r>
              <w:rPr>
                <w:rFonts w:cstheme="minorHAnsi"/>
              </w:rPr>
              <w:t>+</w:t>
            </w:r>
            <w:r w:rsidR="00374873" w:rsidRPr="009A613C">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4E62A4CB" w14:textId="0151C3D1" w:rsidR="00374873" w:rsidRPr="009A613C" w:rsidRDefault="00FB7AB1" w:rsidP="00BE13A3">
            <w:pPr>
              <w:shd w:val="clear" w:color="auto" w:fill="FFFFFF" w:themeFill="background1"/>
              <w:jc w:val="center"/>
              <w:rPr>
                <w:rFonts w:cstheme="minorHAnsi"/>
              </w:rPr>
            </w:pPr>
            <w:r>
              <w:rPr>
                <w:rFonts w:cstheme="minorHAnsi"/>
              </w:rPr>
              <w:t>+</w:t>
            </w:r>
            <w:r w:rsidR="00374873" w:rsidRPr="009A613C">
              <w:rPr>
                <w:rFonts w:cstheme="minorHAnsi"/>
              </w:rPr>
              <w:t>5%</w:t>
            </w:r>
          </w:p>
        </w:tc>
      </w:tr>
    </w:tbl>
    <w:p w14:paraId="4B4B176E" w14:textId="6E3C7803" w:rsidR="00374873" w:rsidRDefault="00374873" w:rsidP="00374873"/>
    <w:p w14:paraId="20D50945" w14:textId="15D24FEA" w:rsidR="00EF5A7E" w:rsidRDefault="00EF5A7E" w:rsidP="00374873"/>
    <w:p w14:paraId="40507024" w14:textId="77777777" w:rsidR="00EF5A7E" w:rsidRPr="009A613C" w:rsidRDefault="00EF5A7E" w:rsidP="00374873"/>
    <w:p w14:paraId="42EA81B0" w14:textId="3A35E054" w:rsidR="004F6A83" w:rsidRPr="009A613C" w:rsidRDefault="0025255B" w:rsidP="002D702C">
      <w:pPr>
        <w:pStyle w:val="Heading3"/>
        <w:numPr>
          <w:ilvl w:val="1"/>
          <w:numId w:val="12"/>
        </w:numPr>
        <w:jc w:val="center"/>
        <w:rPr>
          <w14:ligatures w14:val="standardContextual"/>
        </w:rPr>
      </w:pPr>
      <w:bookmarkStart w:id="47" w:name="_Toc156937975"/>
      <w:r w:rsidRPr="009A613C">
        <w:lastRenderedPageBreak/>
        <w:t>Unaprjeđ</w:t>
      </w:r>
      <w:r w:rsidR="004F6A83" w:rsidRPr="009A613C">
        <w:rPr>
          <w14:ligatures w14:val="standardContextual"/>
        </w:rPr>
        <w:t>enje transparentnosti rada pravosudnih institucija</w:t>
      </w:r>
      <w:bookmarkEnd w:id="47"/>
    </w:p>
    <w:p w14:paraId="73A751BD" w14:textId="77777777" w:rsidR="00D448ED" w:rsidRDefault="00D448ED" w:rsidP="00D448ED"/>
    <w:p w14:paraId="780CBCD1" w14:textId="2B90E1B5" w:rsidR="00247B64" w:rsidRDefault="00247B64" w:rsidP="00247B64">
      <w:pPr>
        <w:jc w:val="both"/>
      </w:pPr>
      <w:r>
        <w:t>Pitanje unaprjeđenja transparentnosti rada pravosuđa potrebno je u budućnosti tretirati na nekoliko paralelnih kolos</w:t>
      </w:r>
      <w:r w:rsidR="00FC7383">
        <w:t>j</w:t>
      </w:r>
      <w:r>
        <w:t>eka i to:</w:t>
      </w:r>
    </w:p>
    <w:p w14:paraId="34A4F8E5" w14:textId="3887509C" w:rsidR="00247B64" w:rsidRDefault="00247B64">
      <w:pPr>
        <w:pStyle w:val="ListParagraph"/>
        <w:numPr>
          <w:ilvl w:val="0"/>
          <w:numId w:val="2"/>
        </w:numPr>
      </w:pPr>
      <w:r>
        <w:t>Kroz konstant</w:t>
      </w:r>
      <w:r w:rsidR="00E86EE4">
        <w:t>n</w:t>
      </w:r>
      <w:r>
        <w:t>o unaprjeđenje IT rješenja koja omogućavaju direktan uvid u tok predmeta;</w:t>
      </w:r>
    </w:p>
    <w:p w14:paraId="5B6FC24A" w14:textId="0E60F781" w:rsidR="00247B64" w:rsidRDefault="00247B64">
      <w:pPr>
        <w:pStyle w:val="ListParagraph"/>
        <w:numPr>
          <w:ilvl w:val="0"/>
          <w:numId w:val="2"/>
        </w:numPr>
      </w:pPr>
      <w:r>
        <w:t>Uvođenje dodatnih elektronskih servisa za građane i advokate;</w:t>
      </w:r>
    </w:p>
    <w:p w14:paraId="34AA8FF2" w14:textId="07790A3D" w:rsidR="00247B64" w:rsidRDefault="00247B64">
      <w:pPr>
        <w:pStyle w:val="ListParagraph"/>
        <w:numPr>
          <w:ilvl w:val="0"/>
          <w:numId w:val="2"/>
        </w:numPr>
      </w:pPr>
      <w:r>
        <w:t xml:space="preserve">Unaprjeđenje </w:t>
      </w:r>
      <w:r w:rsidR="00FC7383">
        <w:t xml:space="preserve">statističkih </w:t>
      </w:r>
      <w:r>
        <w:t xml:space="preserve">izvještaja o radu </w:t>
      </w:r>
      <w:r w:rsidR="00FC7383">
        <w:t>pravosuđa;</w:t>
      </w:r>
    </w:p>
    <w:p w14:paraId="61C5043D" w14:textId="713F7C4F" w:rsidR="00FC7383" w:rsidRPr="009A613C" w:rsidRDefault="00FC7383">
      <w:pPr>
        <w:pStyle w:val="ListParagraph"/>
        <w:numPr>
          <w:ilvl w:val="0"/>
          <w:numId w:val="2"/>
        </w:numPr>
      </w:pPr>
      <w:r>
        <w:t>Redovno sačinjavanje i objavljivanje objektivnih i sveobuhvatnih izvještaja o toku pravosudne reforme u Crnoj Gori.</w:t>
      </w:r>
    </w:p>
    <w:p w14:paraId="652EBA69" w14:textId="01D9527D" w:rsidR="007E7546" w:rsidRPr="009A613C" w:rsidRDefault="00D448ED" w:rsidP="00D448ED">
      <w:pPr>
        <w:jc w:val="center"/>
      </w:pPr>
      <w:r w:rsidRPr="009A613C">
        <w:rPr>
          <w:i/>
          <w:iCs/>
          <w:sz w:val="20"/>
          <w:szCs w:val="20"/>
        </w:rPr>
        <w:t xml:space="preserve">Tabela </w:t>
      </w:r>
      <w:r w:rsidR="00072761">
        <w:rPr>
          <w:i/>
          <w:iCs/>
          <w:sz w:val="20"/>
          <w:szCs w:val="20"/>
        </w:rPr>
        <w:t>23</w:t>
      </w:r>
      <w:r w:rsidRPr="009A613C">
        <w:rPr>
          <w:i/>
          <w:iCs/>
          <w:sz w:val="20"/>
          <w:szCs w:val="20"/>
        </w:rPr>
        <w:t>:</w:t>
      </w:r>
      <w:r w:rsidR="00072761" w:rsidRPr="00072761">
        <w:rPr>
          <w:i/>
          <w:iCs/>
          <w:sz w:val="20"/>
          <w:szCs w:val="20"/>
        </w:rPr>
        <w:t xml:space="preserve"> </w:t>
      </w:r>
      <w:r w:rsidR="00072761">
        <w:rPr>
          <w:i/>
          <w:iCs/>
          <w:sz w:val="20"/>
          <w:szCs w:val="20"/>
        </w:rPr>
        <w:t>Indikatori realizacije Operativnog cilja 3.3.</w:t>
      </w:r>
    </w:p>
    <w:tbl>
      <w:tblPr>
        <w:tblStyle w:val="TableGrid"/>
        <w:tblW w:w="4857" w:type="pct"/>
        <w:tblInd w:w="279" w:type="dxa"/>
        <w:tblLayout w:type="fixed"/>
        <w:tblLook w:val="04A0" w:firstRow="1" w:lastRow="0" w:firstColumn="1" w:lastColumn="0" w:noHBand="0" w:noVBand="1"/>
      </w:tblPr>
      <w:tblGrid>
        <w:gridCol w:w="2269"/>
        <w:gridCol w:w="3402"/>
        <w:gridCol w:w="1134"/>
        <w:gridCol w:w="1134"/>
        <w:gridCol w:w="1134"/>
      </w:tblGrid>
      <w:tr w:rsidR="00374873" w:rsidRPr="009A613C" w14:paraId="42288937" w14:textId="77777777" w:rsidTr="007E7546">
        <w:trPr>
          <w:trHeight w:val="575"/>
        </w:trPr>
        <w:tc>
          <w:tcPr>
            <w:tcW w:w="1250" w:type="pct"/>
            <w:tcBorders>
              <w:top w:val="double" w:sz="4" w:space="0" w:color="auto"/>
            </w:tcBorders>
            <w:shd w:val="clear" w:color="auto" w:fill="FBE4D5" w:themeFill="accent2" w:themeFillTint="33"/>
          </w:tcPr>
          <w:p w14:paraId="5AF3664E" w14:textId="77777777" w:rsidR="00374873" w:rsidRPr="009A613C" w:rsidRDefault="00374873" w:rsidP="00374873">
            <w:pPr>
              <w:rPr>
                <w:rFonts w:cstheme="minorHAnsi"/>
              </w:rPr>
            </w:pPr>
            <w:r w:rsidRPr="009A613C">
              <w:rPr>
                <w:rFonts w:cstheme="minorHAnsi"/>
              </w:rPr>
              <w:t xml:space="preserve">Operativni </w:t>
            </w:r>
          </w:p>
          <w:p w14:paraId="200963EA" w14:textId="46A8B0E7" w:rsidR="00374873" w:rsidRPr="009A613C" w:rsidRDefault="00374873" w:rsidP="0037487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234AD27D" w14:textId="50975D57" w:rsidR="00374873" w:rsidRPr="009A613C" w:rsidRDefault="00374873" w:rsidP="00374873">
            <w:pPr>
              <w:rPr>
                <w:rFonts w:cstheme="minorHAnsi"/>
              </w:rPr>
            </w:pPr>
            <w:r w:rsidRPr="009A613C">
              <w:t>Indikator učinka</w:t>
            </w:r>
          </w:p>
        </w:tc>
        <w:tc>
          <w:tcPr>
            <w:tcW w:w="625" w:type="pct"/>
            <w:tcBorders>
              <w:top w:val="double" w:sz="4" w:space="0" w:color="auto"/>
            </w:tcBorders>
            <w:shd w:val="clear" w:color="auto" w:fill="FBE4D5" w:themeFill="accent2" w:themeFillTint="33"/>
          </w:tcPr>
          <w:p w14:paraId="0906A295" w14:textId="77777777" w:rsidR="00374873" w:rsidRDefault="00374873" w:rsidP="00374873">
            <w:r w:rsidRPr="009A613C">
              <w:t>Početna vrijed</w:t>
            </w:r>
            <w:r w:rsidR="007E7546" w:rsidRPr="009A613C">
              <w:t>n</w:t>
            </w:r>
            <w:r w:rsidRPr="009A613C">
              <w:t>ost</w:t>
            </w:r>
          </w:p>
          <w:p w14:paraId="0879CE05" w14:textId="54A19ADE" w:rsidR="00BC2B8D" w:rsidRPr="009A613C" w:rsidRDefault="00BC2B8D" w:rsidP="00374873">
            <w:pPr>
              <w:rPr>
                <w:rFonts w:cstheme="minorHAnsi"/>
              </w:rPr>
            </w:pPr>
            <w:r>
              <w:t>2023.</w:t>
            </w:r>
          </w:p>
        </w:tc>
        <w:tc>
          <w:tcPr>
            <w:tcW w:w="625" w:type="pct"/>
            <w:tcBorders>
              <w:top w:val="double" w:sz="4" w:space="0" w:color="auto"/>
            </w:tcBorders>
            <w:shd w:val="clear" w:color="auto" w:fill="FBE4D5" w:themeFill="accent2" w:themeFillTint="33"/>
          </w:tcPr>
          <w:p w14:paraId="43E149AB" w14:textId="37D1BF65" w:rsidR="00374873" w:rsidRPr="009A613C" w:rsidRDefault="00374873" w:rsidP="00374873">
            <w:pPr>
              <w:rPr>
                <w:rFonts w:cstheme="minorHAnsi"/>
              </w:rPr>
            </w:pPr>
            <w:r w:rsidRPr="009A613C">
              <w:t>Ciljana vrijednost 2025.</w:t>
            </w:r>
          </w:p>
        </w:tc>
        <w:tc>
          <w:tcPr>
            <w:tcW w:w="625" w:type="pct"/>
            <w:tcBorders>
              <w:top w:val="double" w:sz="4" w:space="0" w:color="auto"/>
              <w:right w:val="double" w:sz="4" w:space="0" w:color="auto"/>
            </w:tcBorders>
            <w:shd w:val="clear" w:color="auto" w:fill="FBE4D5" w:themeFill="accent2" w:themeFillTint="33"/>
          </w:tcPr>
          <w:p w14:paraId="34D3F346" w14:textId="04A84635" w:rsidR="00374873" w:rsidRPr="009A613C" w:rsidRDefault="00374873" w:rsidP="00374873">
            <w:pPr>
              <w:rPr>
                <w:rFonts w:cstheme="minorHAnsi"/>
              </w:rPr>
            </w:pPr>
            <w:r w:rsidRPr="009A613C">
              <w:t>Ciljana vrijednost 2027.</w:t>
            </w:r>
          </w:p>
        </w:tc>
      </w:tr>
      <w:tr w:rsidR="00374873" w:rsidRPr="009A613C" w14:paraId="3E7A6153" w14:textId="77777777" w:rsidTr="007E7546">
        <w:trPr>
          <w:trHeight w:val="254"/>
        </w:trPr>
        <w:tc>
          <w:tcPr>
            <w:tcW w:w="1250" w:type="pct"/>
            <w:vMerge w:val="restart"/>
            <w:tcBorders>
              <w:top w:val="double" w:sz="4" w:space="0" w:color="auto"/>
            </w:tcBorders>
            <w:shd w:val="clear" w:color="auto" w:fill="E2EFD9" w:themeFill="accent6" w:themeFillTint="33"/>
          </w:tcPr>
          <w:p w14:paraId="09504371" w14:textId="77777777" w:rsidR="00374873" w:rsidRPr="009A613C" w:rsidRDefault="00374873" w:rsidP="00374873">
            <w:pPr>
              <w:rPr>
                <w:rFonts w:cstheme="minorHAnsi"/>
              </w:rPr>
            </w:pPr>
            <w:r w:rsidRPr="009A613C">
              <w:rPr>
                <w:rFonts w:cstheme="minorHAnsi"/>
              </w:rPr>
              <w:t xml:space="preserve">3.3. </w:t>
            </w:r>
          </w:p>
          <w:p w14:paraId="6737F22E" w14:textId="5524EEF0" w:rsidR="00374873" w:rsidRPr="009A613C" w:rsidRDefault="0025255B" w:rsidP="00374873">
            <w:pPr>
              <w:rPr>
                <w:rFonts w:cstheme="minorHAnsi"/>
              </w:rPr>
            </w:pPr>
            <w:r w:rsidRPr="009A613C">
              <w:rPr>
                <w:rFonts w:cstheme="minorHAnsi"/>
              </w:rPr>
              <w:t>Unaprjeđ</w:t>
            </w:r>
            <w:r w:rsidR="00374873" w:rsidRPr="009A613C">
              <w:rPr>
                <w:rFonts w:cstheme="minorHAnsi"/>
              </w:rPr>
              <w:t>enje transparentnosti rada pravosudnih institucija</w:t>
            </w:r>
          </w:p>
          <w:p w14:paraId="2824D315" w14:textId="77777777" w:rsidR="00374873" w:rsidRPr="009A613C" w:rsidRDefault="00374873"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27C286C6" w14:textId="6852CE63" w:rsidR="00374873" w:rsidRPr="009A613C" w:rsidRDefault="00374873" w:rsidP="007D06F6">
            <w:pPr>
              <w:shd w:val="clear" w:color="auto" w:fill="FFFFFF" w:themeFill="background1"/>
              <w:spacing w:after="240"/>
              <w:jc w:val="both"/>
              <w:rPr>
                <w:rFonts w:cstheme="minorHAnsi"/>
              </w:rPr>
            </w:pPr>
            <w:r w:rsidRPr="009A613C">
              <w:rPr>
                <w:rFonts w:cstheme="minorHAnsi"/>
              </w:rPr>
              <w:t>Broj objavljenih izvještaja o sprovođenju Strategije na godišnjem nivou</w:t>
            </w:r>
          </w:p>
        </w:tc>
        <w:tc>
          <w:tcPr>
            <w:tcW w:w="625" w:type="pct"/>
            <w:tcBorders>
              <w:top w:val="double" w:sz="4" w:space="0" w:color="auto"/>
              <w:bottom w:val="double" w:sz="4" w:space="0" w:color="auto"/>
            </w:tcBorders>
            <w:shd w:val="clear" w:color="auto" w:fill="FFFFFF" w:themeFill="background1"/>
          </w:tcPr>
          <w:p w14:paraId="6CB931F8" w14:textId="4BC49996" w:rsidR="00374873" w:rsidRPr="009A613C" w:rsidRDefault="00374873" w:rsidP="00374873">
            <w:pPr>
              <w:shd w:val="clear" w:color="auto" w:fill="FFFFFF" w:themeFill="background1"/>
              <w:jc w:val="center"/>
              <w:rPr>
                <w:rFonts w:cstheme="minorHAnsi"/>
              </w:rPr>
            </w:pPr>
            <w:r w:rsidRPr="009A613C">
              <w:rPr>
                <w:rFonts w:cstheme="minorHAnsi"/>
              </w:rPr>
              <w:t>1</w:t>
            </w:r>
          </w:p>
        </w:tc>
        <w:tc>
          <w:tcPr>
            <w:tcW w:w="625" w:type="pct"/>
            <w:tcBorders>
              <w:top w:val="double" w:sz="4" w:space="0" w:color="auto"/>
              <w:bottom w:val="double" w:sz="4" w:space="0" w:color="auto"/>
            </w:tcBorders>
            <w:shd w:val="clear" w:color="auto" w:fill="FFFFFF" w:themeFill="background1"/>
          </w:tcPr>
          <w:p w14:paraId="17BEE158" w14:textId="5044DF5D" w:rsidR="00374873" w:rsidRPr="009A613C" w:rsidRDefault="00374873" w:rsidP="00374873">
            <w:pPr>
              <w:shd w:val="clear" w:color="auto" w:fill="FFFFFF" w:themeFill="background1"/>
              <w:jc w:val="center"/>
              <w:rPr>
                <w:rFonts w:cstheme="minorHAnsi"/>
              </w:rPr>
            </w:pPr>
            <w:r w:rsidRPr="009A613C">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10D7B654" w14:textId="7D39E4BF" w:rsidR="00374873" w:rsidRPr="009A613C" w:rsidRDefault="00374873" w:rsidP="00374873">
            <w:pPr>
              <w:shd w:val="clear" w:color="auto" w:fill="FFFFFF" w:themeFill="background1"/>
              <w:jc w:val="center"/>
              <w:rPr>
                <w:rFonts w:cstheme="minorHAnsi"/>
              </w:rPr>
            </w:pPr>
            <w:r w:rsidRPr="009A613C">
              <w:rPr>
                <w:rFonts w:cstheme="minorHAnsi"/>
              </w:rPr>
              <w:t>2</w:t>
            </w:r>
          </w:p>
        </w:tc>
      </w:tr>
      <w:tr w:rsidR="00374873" w:rsidRPr="009A613C" w14:paraId="4D4B2C32" w14:textId="77777777" w:rsidTr="007E7546">
        <w:trPr>
          <w:trHeight w:val="254"/>
        </w:trPr>
        <w:tc>
          <w:tcPr>
            <w:tcW w:w="1250" w:type="pct"/>
            <w:vMerge/>
            <w:shd w:val="clear" w:color="auto" w:fill="E2EFD9" w:themeFill="accent6" w:themeFillTint="33"/>
          </w:tcPr>
          <w:p w14:paraId="77F47874" w14:textId="77777777" w:rsidR="00374873" w:rsidRPr="009A613C" w:rsidRDefault="00374873"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78BDE908" w14:textId="328FF44F" w:rsidR="00374873" w:rsidRPr="009A613C" w:rsidRDefault="00374873" w:rsidP="007D06F6">
            <w:pPr>
              <w:shd w:val="clear" w:color="auto" w:fill="FFFFFF" w:themeFill="background1"/>
              <w:spacing w:after="240"/>
              <w:jc w:val="both"/>
              <w:rPr>
                <w:rFonts w:cstheme="minorHAnsi"/>
              </w:rPr>
            </w:pPr>
            <w:r w:rsidRPr="009A613C">
              <w:rPr>
                <w:rFonts w:cstheme="minorHAnsi"/>
              </w:rPr>
              <w:t xml:space="preserve">Broj dodatnih statističkih parametara o radu sudova po osnovu kojih se javno objavljuju podaci o radu </w:t>
            </w:r>
            <w:r w:rsidR="00FD55CD">
              <w:rPr>
                <w:rFonts w:cstheme="minorHAnsi"/>
              </w:rPr>
              <w:t>sudova</w:t>
            </w:r>
            <w:r w:rsidRPr="009A613C">
              <w:rPr>
                <w:rFonts w:cstheme="minorHAnsi"/>
              </w:rPr>
              <w:t xml:space="preserve"> (na godišnjem nivou)</w:t>
            </w:r>
          </w:p>
        </w:tc>
        <w:tc>
          <w:tcPr>
            <w:tcW w:w="625" w:type="pct"/>
            <w:tcBorders>
              <w:top w:val="double" w:sz="4" w:space="0" w:color="auto"/>
              <w:bottom w:val="double" w:sz="4" w:space="0" w:color="auto"/>
            </w:tcBorders>
            <w:shd w:val="clear" w:color="auto" w:fill="FFFFFF" w:themeFill="background1"/>
          </w:tcPr>
          <w:p w14:paraId="28A1D184" w14:textId="41BAFCD7" w:rsidR="00374873" w:rsidRPr="009A613C" w:rsidRDefault="002E3558" w:rsidP="00374873">
            <w:pPr>
              <w:shd w:val="clear" w:color="auto" w:fill="FFFFFF" w:themeFill="background1"/>
              <w:jc w:val="center"/>
              <w:rPr>
                <w:rFonts w:cstheme="minorHAnsi"/>
              </w:rPr>
            </w:pPr>
            <w:r>
              <w:rPr>
                <w:rFonts w:cstheme="minorHAnsi"/>
              </w:rPr>
              <w:t>60</w:t>
            </w:r>
          </w:p>
        </w:tc>
        <w:tc>
          <w:tcPr>
            <w:tcW w:w="625" w:type="pct"/>
            <w:tcBorders>
              <w:top w:val="double" w:sz="4" w:space="0" w:color="auto"/>
              <w:bottom w:val="double" w:sz="4" w:space="0" w:color="auto"/>
            </w:tcBorders>
            <w:shd w:val="clear" w:color="auto" w:fill="FFFFFF" w:themeFill="background1"/>
          </w:tcPr>
          <w:p w14:paraId="62EF874C" w14:textId="5ED1D09F" w:rsidR="00374873" w:rsidRPr="009A613C" w:rsidRDefault="002B0A3E" w:rsidP="00374873">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1A26605A" w14:textId="0A20B789" w:rsidR="00374873" w:rsidRPr="009A613C" w:rsidRDefault="002B0A3E" w:rsidP="00374873">
            <w:pPr>
              <w:shd w:val="clear" w:color="auto" w:fill="FFFFFF" w:themeFill="background1"/>
              <w:jc w:val="center"/>
              <w:rPr>
                <w:rFonts w:cstheme="minorHAnsi"/>
              </w:rPr>
            </w:pPr>
            <w:r>
              <w:rPr>
                <w:rFonts w:cstheme="minorHAnsi"/>
              </w:rPr>
              <w:t>+4</w:t>
            </w:r>
          </w:p>
        </w:tc>
      </w:tr>
      <w:tr w:rsidR="00374873" w:rsidRPr="009A613C" w14:paraId="5904EA17" w14:textId="77777777" w:rsidTr="007E7546">
        <w:trPr>
          <w:trHeight w:val="254"/>
        </w:trPr>
        <w:tc>
          <w:tcPr>
            <w:tcW w:w="1250" w:type="pct"/>
            <w:vMerge/>
            <w:shd w:val="clear" w:color="auto" w:fill="E2EFD9" w:themeFill="accent6" w:themeFillTint="33"/>
          </w:tcPr>
          <w:p w14:paraId="57EB494A" w14:textId="77777777" w:rsidR="00374873" w:rsidRPr="009A613C" w:rsidRDefault="00374873"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78676E87" w14:textId="1D271B26" w:rsidR="00374873" w:rsidRPr="009A613C" w:rsidRDefault="00374873" w:rsidP="007D06F6">
            <w:pPr>
              <w:shd w:val="clear" w:color="auto" w:fill="FFFFFF" w:themeFill="background1"/>
              <w:spacing w:after="240"/>
              <w:jc w:val="both"/>
              <w:rPr>
                <w:rFonts w:cstheme="minorHAnsi"/>
              </w:rPr>
            </w:pPr>
            <w:r w:rsidRPr="009A613C">
              <w:rPr>
                <w:rFonts w:cstheme="minorHAnsi"/>
              </w:rPr>
              <w:t xml:space="preserve">Broj dodatnih statističkih parametara o radu </w:t>
            </w:r>
            <w:r w:rsidR="00857707">
              <w:rPr>
                <w:rFonts w:cstheme="minorHAnsi"/>
              </w:rPr>
              <w:t xml:space="preserve">državnih </w:t>
            </w:r>
            <w:r w:rsidRPr="009A613C">
              <w:rPr>
                <w:rFonts w:cstheme="minorHAnsi"/>
              </w:rPr>
              <w:t xml:space="preserve">tužilaštava po osnovu kojih se javno objavljuju podaci o radu </w:t>
            </w:r>
            <w:r w:rsidR="00857707">
              <w:rPr>
                <w:rFonts w:cstheme="minorHAnsi"/>
              </w:rPr>
              <w:t xml:space="preserve">državnih </w:t>
            </w:r>
            <w:r w:rsidR="00FD55CD">
              <w:rPr>
                <w:rFonts w:cstheme="minorHAnsi"/>
              </w:rPr>
              <w:t xml:space="preserve">tužilaštava </w:t>
            </w:r>
            <w:r w:rsidRPr="009A613C">
              <w:rPr>
                <w:rFonts w:cstheme="minorHAnsi"/>
              </w:rPr>
              <w:t xml:space="preserve"> (na godišnjem nivou)</w:t>
            </w:r>
          </w:p>
        </w:tc>
        <w:tc>
          <w:tcPr>
            <w:tcW w:w="625" w:type="pct"/>
            <w:tcBorders>
              <w:top w:val="double" w:sz="4" w:space="0" w:color="auto"/>
              <w:bottom w:val="double" w:sz="4" w:space="0" w:color="auto"/>
            </w:tcBorders>
            <w:shd w:val="clear" w:color="auto" w:fill="FFFFFF" w:themeFill="background1"/>
          </w:tcPr>
          <w:p w14:paraId="3308184C" w14:textId="4FCBB57A" w:rsidR="00374873" w:rsidRPr="009A613C" w:rsidRDefault="0008371A" w:rsidP="00374873">
            <w:pPr>
              <w:shd w:val="clear" w:color="auto" w:fill="FFFFFF" w:themeFill="background1"/>
              <w:jc w:val="center"/>
              <w:rPr>
                <w:rFonts w:cstheme="minorHAnsi"/>
              </w:rPr>
            </w:pPr>
            <w:r>
              <w:rPr>
                <w:rFonts w:cstheme="minorHAnsi"/>
              </w:rPr>
              <w:t>130</w:t>
            </w:r>
          </w:p>
        </w:tc>
        <w:tc>
          <w:tcPr>
            <w:tcW w:w="625" w:type="pct"/>
            <w:tcBorders>
              <w:top w:val="double" w:sz="4" w:space="0" w:color="auto"/>
              <w:bottom w:val="double" w:sz="4" w:space="0" w:color="auto"/>
            </w:tcBorders>
            <w:shd w:val="clear" w:color="auto" w:fill="FFFFFF" w:themeFill="background1"/>
          </w:tcPr>
          <w:p w14:paraId="5898DAC6" w14:textId="0DCE2970" w:rsidR="00374873" w:rsidRPr="009A613C" w:rsidRDefault="002B0A3E" w:rsidP="00374873">
            <w:pPr>
              <w:shd w:val="clear" w:color="auto" w:fill="FFFFFF" w:themeFill="background1"/>
              <w:jc w:val="center"/>
              <w:rPr>
                <w:rFonts w:cstheme="minorHAnsi"/>
              </w:rPr>
            </w:pPr>
            <w:r>
              <w:rPr>
                <w:rFonts w:cstheme="minorHAnsi"/>
              </w:rPr>
              <w:t>+2</w:t>
            </w:r>
          </w:p>
        </w:tc>
        <w:tc>
          <w:tcPr>
            <w:tcW w:w="625" w:type="pct"/>
            <w:tcBorders>
              <w:top w:val="double" w:sz="4" w:space="0" w:color="auto"/>
              <w:bottom w:val="double" w:sz="4" w:space="0" w:color="auto"/>
              <w:right w:val="double" w:sz="4" w:space="0" w:color="auto"/>
            </w:tcBorders>
            <w:shd w:val="clear" w:color="auto" w:fill="FFFFFF" w:themeFill="background1"/>
          </w:tcPr>
          <w:p w14:paraId="7B0DBC7C" w14:textId="63992281" w:rsidR="00374873" w:rsidRPr="009A613C" w:rsidRDefault="002B0A3E" w:rsidP="00374873">
            <w:pPr>
              <w:shd w:val="clear" w:color="auto" w:fill="FFFFFF" w:themeFill="background1"/>
              <w:jc w:val="center"/>
              <w:rPr>
                <w:rFonts w:cstheme="minorHAnsi"/>
              </w:rPr>
            </w:pPr>
            <w:r>
              <w:rPr>
                <w:rFonts w:cstheme="minorHAnsi"/>
              </w:rPr>
              <w:t>+4</w:t>
            </w:r>
          </w:p>
        </w:tc>
      </w:tr>
      <w:tr w:rsidR="00374873" w:rsidRPr="009A613C" w14:paraId="4CD12664" w14:textId="77777777" w:rsidTr="007E7546">
        <w:trPr>
          <w:trHeight w:val="254"/>
        </w:trPr>
        <w:tc>
          <w:tcPr>
            <w:tcW w:w="1250" w:type="pct"/>
            <w:vMerge/>
            <w:tcBorders>
              <w:bottom w:val="double" w:sz="4" w:space="0" w:color="auto"/>
            </w:tcBorders>
            <w:shd w:val="clear" w:color="auto" w:fill="E2EFD9" w:themeFill="accent6" w:themeFillTint="33"/>
          </w:tcPr>
          <w:p w14:paraId="2C9556BD" w14:textId="77777777" w:rsidR="00374873" w:rsidRPr="009A613C" w:rsidRDefault="00374873"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782D5717" w14:textId="3E081C04" w:rsidR="00374873" w:rsidRPr="009A613C" w:rsidRDefault="00374873" w:rsidP="007D06F6">
            <w:pPr>
              <w:shd w:val="clear" w:color="auto" w:fill="FFFFFF" w:themeFill="background1"/>
              <w:spacing w:after="240"/>
              <w:jc w:val="both"/>
              <w:rPr>
                <w:rFonts w:cstheme="minorHAnsi"/>
              </w:rPr>
            </w:pPr>
            <w:r w:rsidRPr="009A613C">
              <w:rPr>
                <w:rFonts w:cstheme="minorHAnsi"/>
              </w:rPr>
              <w:t>Broj novih elektronskih servisa u pravosuđu koji su dostupni građanima</w:t>
            </w:r>
          </w:p>
        </w:tc>
        <w:tc>
          <w:tcPr>
            <w:tcW w:w="625" w:type="pct"/>
            <w:tcBorders>
              <w:top w:val="double" w:sz="4" w:space="0" w:color="auto"/>
              <w:bottom w:val="double" w:sz="4" w:space="0" w:color="auto"/>
            </w:tcBorders>
            <w:shd w:val="clear" w:color="auto" w:fill="FFFFFF" w:themeFill="background1"/>
          </w:tcPr>
          <w:p w14:paraId="7E7303AA" w14:textId="71D2E549" w:rsidR="00374873" w:rsidRPr="009A613C" w:rsidRDefault="000C67F1" w:rsidP="00374873">
            <w:pPr>
              <w:shd w:val="clear" w:color="auto" w:fill="FFFFFF" w:themeFill="background1"/>
              <w:jc w:val="center"/>
              <w:rPr>
                <w:rFonts w:cstheme="minorHAnsi"/>
              </w:rPr>
            </w:pPr>
            <w:r w:rsidRPr="008649C4">
              <w:rPr>
                <w:rFonts w:cstheme="minorHAnsi"/>
              </w:rPr>
              <w:t>5</w:t>
            </w:r>
          </w:p>
        </w:tc>
        <w:tc>
          <w:tcPr>
            <w:tcW w:w="625" w:type="pct"/>
            <w:tcBorders>
              <w:top w:val="double" w:sz="4" w:space="0" w:color="auto"/>
              <w:bottom w:val="double" w:sz="4" w:space="0" w:color="auto"/>
            </w:tcBorders>
            <w:shd w:val="clear" w:color="auto" w:fill="FFFFFF" w:themeFill="background1"/>
          </w:tcPr>
          <w:p w14:paraId="1D6089C5" w14:textId="03840D02" w:rsidR="00374873" w:rsidRPr="009A613C" w:rsidRDefault="00374873" w:rsidP="00374873">
            <w:pPr>
              <w:shd w:val="clear" w:color="auto" w:fill="FFFFFF" w:themeFill="background1"/>
              <w:jc w:val="center"/>
              <w:rPr>
                <w:rFonts w:cstheme="minorHAnsi"/>
              </w:rPr>
            </w:pPr>
            <w:r w:rsidRPr="009A613C">
              <w:rPr>
                <w:rFonts w:cstheme="minorHAnsi"/>
              </w:rPr>
              <w:t>+3</w:t>
            </w:r>
          </w:p>
        </w:tc>
        <w:tc>
          <w:tcPr>
            <w:tcW w:w="625" w:type="pct"/>
            <w:tcBorders>
              <w:top w:val="double" w:sz="4" w:space="0" w:color="auto"/>
              <w:bottom w:val="double" w:sz="4" w:space="0" w:color="auto"/>
              <w:right w:val="double" w:sz="4" w:space="0" w:color="auto"/>
            </w:tcBorders>
            <w:shd w:val="clear" w:color="auto" w:fill="FFFFFF" w:themeFill="background1"/>
          </w:tcPr>
          <w:p w14:paraId="1B920B88" w14:textId="7BF3B59A" w:rsidR="00374873" w:rsidRPr="009A613C" w:rsidRDefault="00374873" w:rsidP="00374873">
            <w:pPr>
              <w:shd w:val="clear" w:color="auto" w:fill="FFFFFF" w:themeFill="background1"/>
              <w:jc w:val="center"/>
              <w:rPr>
                <w:rFonts w:cstheme="minorHAnsi"/>
              </w:rPr>
            </w:pPr>
            <w:r w:rsidRPr="009A613C">
              <w:rPr>
                <w:rFonts w:cstheme="minorHAnsi"/>
              </w:rPr>
              <w:t>+5</w:t>
            </w:r>
          </w:p>
        </w:tc>
      </w:tr>
    </w:tbl>
    <w:p w14:paraId="1CDB3192" w14:textId="46FFE18B" w:rsidR="00374873" w:rsidRDefault="00374873" w:rsidP="00374873"/>
    <w:p w14:paraId="617C5D9F" w14:textId="0596EB0B" w:rsidR="00205BFE" w:rsidRDefault="00205BFE" w:rsidP="00374873"/>
    <w:p w14:paraId="09C3B8ED" w14:textId="186E67AE" w:rsidR="00205BFE" w:rsidRDefault="00205BFE" w:rsidP="00374873"/>
    <w:p w14:paraId="5E8C44B8" w14:textId="3623D593" w:rsidR="00205BFE" w:rsidRDefault="00205BFE" w:rsidP="00374873"/>
    <w:p w14:paraId="17C54218" w14:textId="1F3DDC69" w:rsidR="00205BFE" w:rsidRDefault="00205BFE" w:rsidP="00374873"/>
    <w:p w14:paraId="233D72A0" w14:textId="77777777" w:rsidR="00205BFE" w:rsidRPr="009A613C" w:rsidRDefault="00205BFE" w:rsidP="00374873"/>
    <w:p w14:paraId="397E1521" w14:textId="07C541D8" w:rsidR="004F6A83" w:rsidRPr="009A613C" w:rsidRDefault="0025255B" w:rsidP="002D702C">
      <w:pPr>
        <w:pStyle w:val="Heading3"/>
        <w:numPr>
          <w:ilvl w:val="1"/>
          <w:numId w:val="12"/>
        </w:numPr>
        <w:jc w:val="center"/>
      </w:pPr>
      <w:bookmarkStart w:id="48" w:name="_Toc156937976"/>
      <w:r w:rsidRPr="009A613C">
        <w:lastRenderedPageBreak/>
        <w:t>Unaprjeđ</w:t>
      </w:r>
      <w:r w:rsidR="004F6A83" w:rsidRPr="009A613C">
        <w:t>enje sistema infrastrukture i sigurnosti pravosudnih objekata i fizičkog pristupa pravosudnim institucijama</w:t>
      </w:r>
      <w:bookmarkEnd w:id="48"/>
    </w:p>
    <w:p w14:paraId="4972A837" w14:textId="77777777" w:rsidR="00374873" w:rsidRPr="009A613C" w:rsidRDefault="00374873" w:rsidP="00374873"/>
    <w:p w14:paraId="172F30B0" w14:textId="02FEE2FB" w:rsidR="009006C0" w:rsidRPr="009A613C" w:rsidRDefault="00E33932" w:rsidP="009006C0">
      <w:pPr>
        <w:jc w:val="both"/>
      </w:pPr>
      <w:r w:rsidRPr="009A613C">
        <w:t>Ra</w:t>
      </w:r>
      <w:r w:rsidR="009006C0" w:rsidRPr="009A613C">
        <w:t xml:space="preserve">zvoj pravosudne infrastrukture ima višestruki značaj za </w:t>
      </w:r>
      <w:r w:rsidR="0025255B" w:rsidRPr="009A613C">
        <w:t>unaprjeđ</w:t>
      </w:r>
      <w:r w:rsidR="009006C0" w:rsidRPr="009A613C">
        <w:t xml:space="preserve">enje rada pravosuđa. </w:t>
      </w:r>
    </w:p>
    <w:p w14:paraId="20A01D21" w14:textId="64F04ED9" w:rsidR="00E33932" w:rsidRPr="009A613C" w:rsidRDefault="009006C0" w:rsidP="00E33932">
      <w:pPr>
        <w:jc w:val="both"/>
      </w:pPr>
      <w:r w:rsidRPr="009A613C">
        <w:t>Najprije, omogućavajući</w:t>
      </w:r>
      <w:r w:rsidR="00420D11">
        <w:t>:</w:t>
      </w:r>
    </w:p>
    <w:p w14:paraId="22223EC5" w14:textId="41B5C177" w:rsidR="009006C0" w:rsidRPr="009A613C" w:rsidRDefault="009006C0">
      <w:pPr>
        <w:pStyle w:val="ListParagraph"/>
        <w:numPr>
          <w:ilvl w:val="0"/>
          <w:numId w:val="2"/>
        </w:numPr>
        <w:jc w:val="both"/>
      </w:pPr>
      <w:r w:rsidRPr="009A613C">
        <w:t xml:space="preserve"> bolje uslove rada i viši stepen bezbjednosti nosilaca pravosudnih funkcija i zaposlenih u pravosuđu, </w:t>
      </w:r>
    </w:p>
    <w:p w14:paraId="213952A3" w14:textId="36F59BD3" w:rsidR="009006C0" w:rsidRPr="009A613C" w:rsidRDefault="009006C0">
      <w:pPr>
        <w:pStyle w:val="ListParagraph"/>
        <w:numPr>
          <w:ilvl w:val="0"/>
          <w:numId w:val="2"/>
        </w:numPr>
        <w:jc w:val="both"/>
      </w:pPr>
      <w:r w:rsidRPr="009A613C">
        <w:t>efikasnije procese rada i upravljanje predmetima,</w:t>
      </w:r>
    </w:p>
    <w:p w14:paraId="147EF3A6" w14:textId="63A2A860" w:rsidR="009006C0" w:rsidRPr="009A613C" w:rsidRDefault="009006C0">
      <w:pPr>
        <w:pStyle w:val="ListParagraph"/>
        <w:numPr>
          <w:ilvl w:val="0"/>
          <w:numId w:val="2"/>
        </w:numPr>
        <w:jc w:val="both"/>
      </w:pPr>
      <w:r w:rsidRPr="009A613C">
        <w:t xml:space="preserve">odgovorniji odnos prema životnoj sredini i utrošku resursa putem </w:t>
      </w:r>
      <w:r w:rsidR="0025255B" w:rsidRPr="009A613C">
        <w:t>unaprjeđ</w:t>
      </w:r>
      <w:r w:rsidRPr="009A613C">
        <w:t>enj</w:t>
      </w:r>
      <w:r w:rsidR="00FB7AB1">
        <w:t>a</w:t>
      </w:r>
      <w:r w:rsidRPr="009A613C">
        <w:t xml:space="preserve"> energetske efikasnosti,  </w:t>
      </w:r>
    </w:p>
    <w:p w14:paraId="517BBA4D" w14:textId="72226947" w:rsidR="009006C0" w:rsidRPr="009A613C" w:rsidRDefault="009006C0">
      <w:pPr>
        <w:pStyle w:val="ListParagraph"/>
        <w:numPr>
          <w:ilvl w:val="0"/>
          <w:numId w:val="2"/>
        </w:numPr>
        <w:jc w:val="both"/>
      </w:pPr>
      <w:r w:rsidRPr="009A613C">
        <w:t>olakšan pristup pravdi za naročito osjetljive kategorije građana, poput osoba sa invaliditetom, d</w:t>
      </w:r>
      <w:r w:rsidR="00FB7AB1">
        <w:t>j</w:t>
      </w:r>
      <w:r w:rsidRPr="009A613C">
        <w:t>ece i žrtava krivičnih djela.</w:t>
      </w:r>
    </w:p>
    <w:p w14:paraId="3CD6BF73" w14:textId="436207B5" w:rsidR="009006C0" w:rsidRPr="009A613C" w:rsidRDefault="009006C0" w:rsidP="009006C0">
      <w:pPr>
        <w:jc w:val="both"/>
      </w:pPr>
      <w:r w:rsidRPr="009A613C">
        <w:t xml:space="preserve">Imajući u vidu ranije navedene izazove sa kojima se u oblasti infrastrukture suočava crnogorsko pravosuđe, u predstojećem periodu neophodno je okončati započete sveobuhvatne rekonstrukcije šest </w:t>
      </w:r>
      <w:r w:rsidR="00FB7AB1">
        <w:t xml:space="preserve">objekata </w:t>
      </w:r>
      <w:r w:rsidRPr="009A613C">
        <w:t xml:space="preserve">sudova, ali i raditi na neophodnim pripremnim radovima poput definisanja lokacije, izmjene prostornog plana i izrade tehničke </w:t>
      </w:r>
      <w:r w:rsidR="00FB7AB1">
        <w:t>dokumentacije</w:t>
      </w:r>
      <w:r w:rsidRPr="009A613C">
        <w:t xml:space="preserve"> za izgradnju novog kompleksa za smještaj institucija pravosuđa u Podgorici, kao i</w:t>
      </w:r>
      <w:r w:rsidR="00FB7AB1">
        <w:t xml:space="preserve"> izvršiti</w:t>
      </w:r>
      <w:r w:rsidRPr="009A613C">
        <w:t xml:space="preserve"> neophodne radove u sklopu prenamjene objekata dodijeljenih na korišćenje institucijama pravosuđa u ovom gradu.</w:t>
      </w:r>
    </w:p>
    <w:p w14:paraId="49B18F55" w14:textId="652EB5A2" w:rsidR="009006C0" w:rsidRDefault="009006C0" w:rsidP="009006C0">
      <w:pPr>
        <w:jc w:val="both"/>
      </w:pPr>
      <w:r w:rsidRPr="009A613C">
        <w:t xml:space="preserve">Paralelno sa ovim procesom, neophodno je </w:t>
      </w:r>
      <w:r w:rsidR="00FB7AB1">
        <w:t>prilikom</w:t>
      </w:r>
      <w:r w:rsidRPr="009A613C">
        <w:t xml:space="preserve"> planiranj</w:t>
      </w:r>
      <w:r w:rsidR="00FB7AB1">
        <w:t>a</w:t>
      </w:r>
      <w:r w:rsidRPr="009A613C">
        <w:t xml:space="preserve"> svih budućih infrastrukturnih projekata (izgradnja i</w:t>
      </w:r>
      <w:r w:rsidR="00FB7AB1">
        <w:t>/ili</w:t>
      </w:r>
      <w:r w:rsidRPr="009A613C">
        <w:t xml:space="preserve"> rekonstrukcija) objekata u kojima su smješteni sudovi i tužilaštva,</w:t>
      </w:r>
      <w:r w:rsidR="00FB7AB1">
        <w:t xml:space="preserve"> bude</w:t>
      </w:r>
      <w:r w:rsidRPr="009A613C">
        <w:t xml:space="preserve"> uz</w:t>
      </w:r>
      <w:r w:rsidR="00FB7AB1">
        <w:t>eta</w:t>
      </w:r>
      <w:r w:rsidRPr="009A613C">
        <w:t xml:space="preserve"> u obzir potreb</w:t>
      </w:r>
      <w:r w:rsidR="00FB7AB1">
        <w:t>a</w:t>
      </w:r>
      <w:r w:rsidRPr="009A613C">
        <w:t xml:space="preserve"> za usaglašavanjem sa standardima u oblasti pristupa pravdi za osoba sa invaliditetom, uključujući tu, ali se ne ograničavajući se na pristupne rampe, liftove, info table sa Brajevom azbukom i zvučnim obavještenjima. </w:t>
      </w:r>
      <w:r w:rsidR="00F51DE6" w:rsidRPr="009A613C">
        <w:t>Istovremeno, sistematski se moraju uzimati u obzir potrebe usaglašavanja sa relevantnim međunarodnim standardima u oblasti pristupa pravdi za d</w:t>
      </w:r>
      <w:r w:rsidR="00FB7AB1">
        <w:t>j</w:t>
      </w:r>
      <w:r w:rsidR="00F51DE6" w:rsidRPr="009A613C">
        <w:t>ecu i žrtve krivičnih djela, o čemu će biti više r</w:t>
      </w:r>
      <w:r w:rsidR="00D448ED" w:rsidRPr="009A613C">
        <w:t>ij</w:t>
      </w:r>
      <w:r w:rsidR="00F51DE6" w:rsidRPr="009A613C">
        <w:t>eči u okviru operativnih ciljeva</w:t>
      </w:r>
      <w:r w:rsidR="00FB7AB1">
        <w:t>.</w:t>
      </w:r>
    </w:p>
    <w:p w14:paraId="75F86F35" w14:textId="77777777" w:rsidR="00D704FB" w:rsidRPr="009A613C" w:rsidRDefault="00D704FB" w:rsidP="00D704FB">
      <w:pPr>
        <w:jc w:val="center"/>
      </w:pPr>
      <w:r w:rsidRPr="009A613C">
        <w:rPr>
          <w:i/>
          <w:iCs/>
          <w:sz w:val="20"/>
          <w:szCs w:val="20"/>
        </w:rPr>
        <w:t xml:space="preserve">Tabela </w:t>
      </w:r>
      <w:r>
        <w:rPr>
          <w:i/>
          <w:iCs/>
          <w:sz w:val="20"/>
          <w:szCs w:val="20"/>
        </w:rPr>
        <w:t>24</w:t>
      </w:r>
      <w:r w:rsidRPr="009A613C">
        <w:rPr>
          <w:i/>
          <w:iCs/>
          <w:sz w:val="20"/>
          <w:szCs w:val="20"/>
        </w:rPr>
        <w:t>:</w:t>
      </w:r>
      <w:r w:rsidRPr="00072761">
        <w:rPr>
          <w:i/>
          <w:iCs/>
          <w:sz w:val="20"/>
          <w:szCs w:val="20"/>
        </w:rPr>
        <w:t xml:space="preserve"> </w:t>
      </w:r>
      <w:r>
        <w:rPr>
          <w:i/>
          <w:iCs/>
          <w:sz w:val="20"/>
          <w:szCs w:val="20"/>
        </w:rPr>
        <w:t>Indikatori realizacije Operativnog cilja 3.4.</w:t>
      </w:r>
    </w:p>
    <w:tbl>
      <w:tblPr>
        <w:tblStyle w:val="TableGrid"/>
        <w:tblW w:w="5000" w:type="pct"/>
        <w:tblInd w:w="-5" w:type="dxa"/>
        <w:tblLayout w:type="fixed"/>
        <w:tblLook w:val="04A0" w:firstRow="1" w:lastRow="0" w:firstColumn="1" w:lastColumn="0" w:noHBand="0" w:noVBand="1"/>
      </w:tblPr>
      <w:tblGrid>
        <w:gridCol w:w="2548"/>
        <w:gridCol w:w="3396"/>
        <w:gridCol w:w="1132"/>
        <w:gridCol w:w="1132"/>
        <w:gridCol w:w="1132"/>
      </w:tblGrid>
      <w:tr w:rsidR="00D704FB" w:rsidRPr="009A613C" w14:paraId="5D256C9D" w14:textId="77777777" w:rsidTr="00941C89">
        <w:trPr>
          <w:trHeight w:val="575"/>
        </w:trPr>
        <w:tc>
          <w:tcPr>
            <w:tcW w:w="1364" w:type="pct"/>
            <w:tcBorders>
              <w:top w:val="double" w:sz="4" w:space="0" w:color="auto"/>
            </w:tcBorders>
            <w:shd w:val="clear" w:color="auto" w:fill="FBE4D5" w:themeFill="accent2" w:themeFillTint="33"/>
          </w:tcPr>
          <w:p w14:paraId="56CF35EB" w14:textId="77777777" w:rsidR="00D704FB" w:rsidRPr="009A613C" w:rsidRDefault="00D704FB" w:rsidP="00941C89">
            <w:pPr>
              <w:rPr>
                <w:rFonts w:cstheme="minorHAnsi"/>
              </w:rPr>
            </w:pPr>
            <w:r w:rsidRPr="009A613C">
              <w:rPr>
                <w:rFonts w:cstheme="minorHAnsi"/>
              </w:rPr>
              <w:t xml:space="preserve">Operativni </w:t>
            </w:r>
          </w:p>
          <w:p w14:paraId="66546756" w14:textId="77777777" w:rsidR="00D704FB" w:rsidRPr="009A613C" w:rsidRDefault="00D704FB" w:rsidP="00941C89">
            <w:pPr>
              <w:rPr>
                <w:rFonts w:cstheme="minorHAnsi"/>
              </w:rPr>
            </w:pPr>
            <w:r w:rsidRPr="009A613C">
              <w:rPr>
                <w:rFonts w:cstheme="minorHAnsi"/>
              </w:rPr>
              <w:t>cilj</w:t>
            </w:r>
          </w:p>
        </w:tc>
        <w:tc>
          <w:tcPr>
            <w:tcW w:w="1818" w:type="pct"/>
            <w:tcBorders>
              <w:top w:val="double" w:sz="4" w:space="0" w:color="auto"/>
            </w:tcBorders>
            <w:shd w:val="clear" w:color="auto" w:fill="FBE4D5" w:themeFill="accent2" w:themeFillTint="33"/>
          </w:tcPr>
          <w:p w14:paraId="4F0D4ED2" w14:textId="77777777" w:rsidR="00D704FB" w:rsidRPr="009A613C" w:rsidRDefault="00D704FB" w:rsidP="00941C89">
            <w:pPr>
              <w:rPr>
                <w:rFonts w:cstheme="minorHAnsi"/>
              </w:rPr>
            </w:pPr>
            <w:r w:rsidRPr="009A613C">
              <w:t>Indikator učinka</w:t>
            </w:r>
          </w:p>
        </w:tc>
        <w:tc>
          <w:tcPr>
            <w:tcW w:w="606" w:type="pct"/>
            <w:tcBorders>
              <w:top w:val="double" w:sz="4" w:space="0" w:color="auto"/>
            </w:tcBorders>
            <w:shd w:val="clear" w:color="auto" w:fill="FBE4D5" w:themeFill="accent2" w:themeFillTint="33"/>
          </w:tcPr>
          <w:p w14:paraId="06757581" w14:textId="77777777" w:rsidR="00D704FB" w:rsidRDefault="00D704FB" w:rsidP="00941C89">
            <w:r w:rsidRPr="009A613C">
              <w:t>Početna vrijednost</w:t>
            </w:r>
          </w:p>
          <w:p w14:paraId="4C959C70" w14:textId="1C898CD4" w:rsidR="00BC2B8D" w:rsidRPr="009A613C" w:rsidRDefault="00BC2B8D" w:rsidP="00941C89">
            <w:pPr>
              <w:rPr>
                <w:rFonts w:cstheme="minorHAnsi"/>
              </w:rPr>
            </w:pPr>
            <w:r>
              <w:t>2023.</w:t>
            </w:r>
          </w:p>
        </w:tc>
        <w:tc>
          <w:tcPr>
            <w:tcW w:w="606" w:type="pct"/>
            <w:tcBorders>
              <w:top w:val="double" w:sz="4" w:space="0" w:color="auto"/>
            </w:tcBorders>
            <w:shd w:val="clear" w:color="auto" w:fill="FBE4D5" w:themeFill="accent2" w:themeFillTint="33"/>
          </w:tcPr>
          <w:p w14:paraId="229F5FD6" w14:textId="77777777" w:rsidR="00D704FB" w:rsidRPr="009A613C" w:rsidRDefault="00D704FB" w:rsidP="00941C89">
            <w:pPr>
              <w:rPr>
                <w:rFonts w:cstheme="minorHAnsi"/>
              </w:rPr>
            </w:pPr>
            <w:r w:rsidRPr="009A613C">
              <w:t>Ciljana vrijednost 2025.</w:t>
            </w:r>
          </w:p>
        </w:tc>
        <w:tc>
          <w:tcPr>
            <w:tcW w:w="606" w:type="pct"/>
            <w:tcBorders>
              <w:top w:val="double" w:sz="4" w:space="0" w:color="auto"/>
              <w:right w:val="double" w:sz="4" w:space="0" w:color="auto"/>
            </w:tcBorders>
            <w:shd w:val="clear" w:color="auto" w:fill="FBE4D5" w:themeFill="accent2" w:themeFillTint="33"/>
          </w:tcPr>
          <w:p w14:paraId="572C64D7" w14:textId="77777777" w:rsidR="00D704FB" w:rsidRPr="009A613C" w:rsidRDefault="00D704FB" w:rsidP="00941C89">
            <w:pPr>
              <w:rPr>
                <w:rFonts w:cstheme="minorHAnsi"/>
              </w:rPr>
            </w:pPr>
            <w:r w:rsidRPr="009A613C">
              <w:t>Ciljana vrijednost 2027.</w:t>
            </w:r>
          </w:p>
        </w:tc>
      </w:tr>
      <w:tr w:rsidR="00D704FB" w:rsidRPr="009A613C" w14:paraId="15417C50" w14:textId="77777777" w:rsidTr="00941C89">
        <w:trPr>
          <w:trHeight w:val="254"/>
        </w:trPr>
        <w:tc>
          <w:tcPr>
            <w:tcW w:w="1364" w:type="pct"/>
            <w:vMerge w:val="restart"/>
            <w:tcBorders>
              <w:top w:val="double" w:sz="4" w:space="0" w:color="auto"/>
            </w:tcBorders>
            <w:shd w:val="clear" w:color="auto" w:fill="E2EFD9" w:themeFill="accent6" w:themeFillTint="33"/>
          </w:tcPr>
          <w:p w14:paraId="7FC49B13" w14:textId="77777777" w:rsidR="00D704FB" w:rsidRPr="009A613C" w:rsidRDefault="00D704FB" w:rsidP="00941C89">
            <w:pPr>
              <w:rPr>
                <w:rFonts w:cstheme="minorHAnsi"/>
              </w:rPr>
            </w:pPr>
            <w:r w:rsidRPr="009A613C">
              <w:rPr>
                <w:rFonts w:cstheme="minorHAnsi"/>
              </w:rPr>
              <w:t xml:space="preserve">3.4. </w:t>
            </w:r>
          </w:p>
          <w:p w14:paraId="347E1227" w14:textId="77777777" w:rsidR="00D704FB" w:rsidRPr="009A613C" w:rsidRDefault="00D704FB" w:rsidP="00941C89">
            <w:pPr>
              <w:jc w:val="both"/>
              <w:rPr>
                <w:rFonts w:cstheme="minorHAnsi"/>
              </w:rPr>
            </w:pPr>
            <w:r w:rsidRPr="009A613C">
              <w:rPr>
                <w:rFonts w:cstheme="minorHAnsi"/>
              </w:rPr>
              <w:t xml:space="preserve">Unaprjeđenje sistema infrastrukture i sigurnosti pravosudnih objekata i fizičkog pristupa pravosudnim institucijama </w:t>
            </w:r>
          </w:p>
          <w:p w14:paraId="638B2B85" w14:textId="77777777" w:rsidR="00D704FB" w:rsidRPr="009A613C" w:rsidRDefault="00D704FB" w:rsidP="00941C89">
            <w:pPr>
              <w:rPr>
                <w:rFonts w:cstheme="minorHAnsi"/>
              </w:rPr>
            </w:pPr>
          </w:p>
          <w:p w14:paraId="6D1186D9" w14:textId="77777777" w:rsidR="00D704FB" w:rsidRPr="009A613C" w:rsidRDefault="00D704FB" w:rsidP="00941C89">
            <w:pPr>
              <w:rPr>
                <w:rFonts w:cstheme="minorHAnsi"/>
              </w:rPr>
            </w:pPr>
          </w:p>
          <w:p w14:paraId="546F247F" w14:textId="77777777" w:rsidR="00D704FB" w:rsidRPr="009A613C" w:rsidRDefault="00D704FB" w:rsidP="00941C89">
            <w:pPr>
              <w:rPr>
                <w:rFonts w:cstheme="minorHAnsi"/>
              </w:rPr>
            </w:pPr>
          </w:p>
          <w:p w14:paraId="46D80B1B" w14:textId="77777777" w:rsidR="00D704FB" w:rsidRPr="009A613C" w:rsidRDefault="00D704FB" w:rsidP="00941C89">
            <w:pPr>
              <w:rPr>
                <w:rFonts w:cstheme="minorHAnsi"/>
              </w:rPr>
            </w:pPr>
          </w:p>
          <w:p w14:paraId="692EE505" w14:textId="77777777" w:rsidR="00D704FB" w:rsidRPr="009A613C" w:rsidRDefault="00D704FB" w:rsidP="00941C89">
            <w:pPr>
              <w:rPr>
                <w:rFonts w:cstheme="minorHAnsi"/>
              </w:rPr>
            </w:pPr>
          </w:p>
          <w:p w14:paraId="4714E554" w14:textId="77777777" w:rsidR="00D704FB" w:rsidRPr="009A613C" w:rsidRDefault="00D704FB" w:rsidP="00941C89">
            <w:pPr>
              <w:rPr>
                <w:rFonts w:cstheme="minorHAnsi"/>
              </w:rPr>
            </w:pPr>
          </w:p>
          <w:p w14:paraId="07AEB2AB" w14:textId="77777777" w:rsidR="00D704FB" w:rsidRPr="009A613C" w:rsidRDefault="00D704FB" w:rsidP="00941C89">
            <w:pPr>
              <w:rPr>
                <w:rFonts w:cstheme="minorHAnsi"/>
              </w:rPr>
            </w:pPr>
          </w:p>
          <w:p w14:paraId="5408F3DB" w14:textId="77777777" w:rsidR="00D704FB" w:rsidRPr="009A613C" w:rsidRDefault="00D704FB" w:rsidP="00941C89">
            <w:pPr>
              <w:rPr>
                <w:rFonts w:cstheme="minorHAnsi"/>
              </w:rPr>
            </w:pPr>
          </w:p>
          <w:p w14:paraId="767FF910" w14:textId="77777777" w:rsidR="00D704FB" w:rsidRPr="009A613C" w:rsidRDefault="00D704FB" w:rsidP="00941C89">
            <w:pPr>
              <w:rPr>
                <w:rFonts w:cstheme="minorHAnsi"/>
              </w:rPr>
            </w:pPr>
          </w:p>
          <w:p w14:paraId="2682D938" w14:textId="77777777" w:rsidR="00D704FB" w:rsidRPr="009A613C" w:rsidRDefault="00D704FB" w:rsidP="00941C89">
            <w:pPr>
              <w:rPr>
                <w:rFonts w:cstheme="minorHAnsi"/>
              </w:rPr>
            </w:pPr>
          </w:p>
          <w:p w14:paraId="04D3FD4F" w14:textId="77777777" w:rsidR="00D704FB" w:rsidRPr="009A613C" w:rsidRDefault="00D704FB" w:rsidP="00941C89">
            <w:pPr>
              <w:rPr>
                <w:rFonts w:cstheme="minorHAnsi"/>
              </w:rPr>
            </w:pPr>
          </w:p>
          <w:p w14:paraId="53A96982" w14:textId="77777777" w:rsidR="00D704FB" w:rsidRPr="009A613C" w:rsidRDefault="00D704FB" w:rsidP="00941C89">
            <w:pPr>
              <w:rPr>
                <w:rFonts w:cstheme="minorHAnsi"/>
              </w:rPr>
            </w:pPr>
          </w:p>
          <w:p w14:paraId="254187B4" w14:textId="77777777" w:rsidR="00D704FB" w:rsidRPr="009A613C" w:rsidRDefault="00D704FB" w:rsidP="00941C89">
            <w:pPr>
              <w:rPr>
                <w:rFonts w:cstheme="minorHAnsi"/>
              </w:rPr>
            </w:pPr>
          </w:p>
          <w:p w14:paraId="5DFFD84F" w14:textId="77777777" w:rsidR="00D704FB" w:rsidRPr="009A613C" w:rsidRDefault="00D704FB" w:rsidP="00941C89">
            <w:pPr>
              <w:rPr>
                <w:rFonts w:cstheme="minorHAnsi"/>
              </w:rPr>
            </w:pPr>
          </w:p>
          <w:p w14:paraId="3B1A3953" w14:textId="77777777" w:rsidR="00D704FB" w:rsidRPr="009A613C" w:rsidRDefault="00D704FB" w:rsidP="00941C89">
            <w:pPr>
              <w:rPr>
                <w:rFonts w:cstheme="minorHAnsi"/>
              </w:rPr>
            </w:pPr>
          </w:p>
          <w:p w14:paraId="7815EAD5" w14:textId="77777777" w:rsidR="00D704FB" w:rsidRPr="009A613C" w:rsidRDefault="00D704FB" w:rsidP="00941C89">
            <w:pPr>
              <w:rPr>
                <w:rFonts w:cstheme="minorHAnsi"/>
              </w:rPr>
            </w:pPr>
          </w:p>
          <w:p w14:paraId="7BDEEABB" w14:textId="77777777" w:rsidR="00D704FB" w:rsidRPr="009A613C" w:rsidRDefault="00D704FB" w:rsidP="00941C89">
            <w:pPr>
              <w:rPr>
                <w:rFonts w:cstheme="minorHAnsi"/>
              </w:rPr>
            </w:pPr>
          </w:p>
          <w:p w14:paraId="31E003CB" w14:textId="77777777" w:rsidR="00D704FB" w:rsidRPr="009A613C" w:rsidRDefault="00D704FB" w:rsidP="00941C89">
            <w:pPr>
              <w:rPr>
                <w:rFonts w:cstheme="minorHAnsi"/>
              </w:rPr>
            </w:pPr>
          </w:p>
          <w:p w14:paraId="79FE3FF6" w14:textId="77777777" w:rsidR="00D704FB" w:rsidRPr="009A613C" w:rsidRDefault="00D704FB" w:rsidP="00941C89">
            <w:pPr>
              <w:rPr>
                <w:rFonts w:cstheme="minorHAnsi"/>
              </w:rPr>
            </w:pPr>
          </w:p>
          <w:p w14:paraId="29E8A991" w14:textId="77777777" w:rsidR="00D704FB" w:rsidRPr="009A613C" w:rsidRDefault="00D704FB" w:rsidP="00941C89">
            <w:pPr>
              <w:rPr>
                <w:rFonts w:cstheme="minorHAnsi"/>
              </w:rPr>
            </w:pPr>
          </w:p>
          <w:p w14:paraId="5DBDFA6A" w14:textId="77777777" w:rsidR="00D704FB" w:rsidRPr="009A613C" w:rsidRDefault="00D704FB" w:rsidP="00941C89">
            <w:pPr>
              <w:rPr>
                <w:rFonts w:cstheme="minorHAnsi"/>
              </w:rPr>
            </w:pPr>
          </w:p>
          <w:p w14:paraId="5C3C8D12" w14:textId="77777777" w:rsidR="00D704FB" w:rsidRPr="009A613C" w:rsidRDefault="00D704FB" w:rsidP="00941C89">
            <w:pPr>
              <w:rPr>
                <w:rFonts w:cstheme="minorHAnsi"/>
              </w:rPr>
            </w:pPr>
          </w:p>
          <w:p w14:paraId="19FCE034"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1531FD9D" w14:textId="77777777" w:rsidR="00D704FB" w:rsidRPr="009A613C" w:rsidRDefault="00D704FB" w:rsidP="00941C89">
            <w:pPr>
              <w:shd w:val="clear" w:color="auto" w:fill="FFFFFF" w:themeFill="background1"/>
              <w:spacing w:after="240"/>
              <w:jc w:val="both"/>
              <w:rPr>
                <w:rFonts w:cstheme="minorHAnsi"/>
              </w:rPr>
            </w:pPr>
            <w:r w:rsidRPr="009A613C">
              <w:rPr>
                <w:rFonts w:cstheme="minorHAnsi"/>
              </w:rPr>
              <w:lastRenderedPageBreak/>
              <w:t>Broj zgrada u kojima su smješteni sudovi a koje imaju rampe/liftove koji omogućavaju pristup osobama sa invaliditetom</w:t>
            </w:r>
          </w:p>
        </w:tc>
        <w:tc>
          <w:tcPr>
            <w:tcW w:w="606" w:type="pct"/>
            <w:tcBorders>
              <w:top w:val="double" w:sz="4" w:space="0" w:color="auto"/>
              <w:bottom w:val="double" w:sz="4" w:space="0" w:color="auto"/>
            </w:tcBorders>
            <w:shd w:val="clear" w:color="auto" w:fill="FFFFFF" w:themeFill="background1"/>
          </w:tcPr>
          <w:p w14:paraId="39DB37E4" w14:textId="77777777" w:rsidR="00D704FB" w:rsidRPr="009A613C" w:rsidRDefault="00D704FB" w:rsidP="00941C89">
            <w:pPr>
              <w:shd w:val="clear" w:color="auto" w:fill="FFFFFF" w:themeFill="background1"/>
              <w:jc w:val="center"/>
              <w:rPr>
                <w:rFonts w:cstheme="minorHAnsi"/>
              </w:rPr>
            </w:pPr>
            <w:r w:rsidRPr="009A613C">
              <w:rPr>
                <w:rFonts w:cstheme="minorHAnsi"/>
              </w:rPr>
              <w:t>15</w:t>
            </w:r>
          </w:p>
        </w:tc>
        <w:tc>
          <w:tcPr>
            <w:tcW w:w="606" w:type="pct"/>
            <w:tcBorders>
              <w:top w:val="double" w:sz="4" w:space="0" w:color="auto"/>
              <w:bottom w:val="double" w:sz="4" w:space="0" w:color="auto"/>
            </w:tcBorders>
            <w:shd w:val="clear" w:color="auto" w:fill="FFFFFF" w:themeFill="background1"/>
          </w:tcPr>
          <w:p w14:paraId="29FC0716" w14:textId="7AFA6B23" w:rsidR="00D704FB" w:rsidRPr="00FB7AB1" w:rsidRDefault="00D704FB" w:rsidP="00941C89">
            <w:pPr>
              <w:shd w:val="clear" w:color="auto" w:fill="FFFFFF" w:themeFill="background1"/>
              <w:jc w:val="center"/>
              <w:rPr>
                <w:rFonts w:cstheme="minorHAnsi"/>
                <w:highlight w:val="yellow"/>
              </w:rPr>
            </w:pPr>
            <w:r w:rsidRPr="007A5E95">
              <w:rPr>
                <w:rFonts w:cstheme="minorHAnsi"/>
              </w:rPr>
              <w:t>1</w:t>
            </w:r>
            <w:r w:rsidR="000C67F1">
              <w:rPr>
                <w:rFonts w:cstheme="minorHAnsi"/>
              </w:rPr>
              <w:t>8</w:t>
            </w:r>
          </w:p>
        </w:tc>
        <w:tc>
          <w:tcPr>
            <w:tcW w:w="606" w:type="pct"/>
            <w:tcBorders>
              <w:top w:val="double" w:sz="4" w:space="0" w:color="auto"/>
              <w:bottom w:val="double" w:sz="4" w:space="0" w:color="auto"/>
              <w:right w:val="double" w:sz="4" w:space="0" w:color="auto"/>
            </w:tcBorders>
            <w:shd w:val="clear" w:color="auto" w:fill="FFFFFF" w:themeFill="background1"/>
          </w:tcPr>
          <w:p w14:paraId="44A8A7FD" w14:textId="1BE16A1D" w:rsidR="00D704FB" w:rsidRPr="00FB7AB1" w:rsidRDefault="000C67F1" w:rsidP="00941C89">
            <w:pPr>
              <w:shd w:val="clear" w:color="auto" w:fill="FFFFFF" w:themeFill="background1"/>
              <w:jc w:val="center"/>
              <w:rPr>
                <w:rFonts w:cstheme="minorHAnsi"/>
                <w:highlight w:val="yellow"/>
              </w:rPr>
            </w:pPr>
            <w:r w:rsidRPr="008649C4">
              <w:rPr>
                <w:rFonts w:cstheme="minorHAnsi"/>
              </w:rPr>
              <w:t>19</w:t>
            </w:r>
          </w:p>
        </w:tc>
      </w:tr>
      <w:tr w:rsidR="00D704FB" w:rsidRPr="009A613C" w14:paraId="789EB4F3" w14:textId="77777777" w:rsidTr="00941C89">
        <w:trPr>
          <w:trHeight w:val="254"/>
        </w:trPr>
        <w:tc>
          <w:tcPr>
            <w:tcW w:w="1364" w:type="pct"/>
            <w:vMerge/>
            <w:shd w:val="clear" w:color="auto" w:fill="E2EFD9" w:themeFill="accent6" w:themeFillTint="33"/>
          </w:tcPr>
          <w:p w14:paraId="0C4AD604"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2E011FD6" w14:textId="3339281D" w:rsidR="00D704FB" w:rsidRPr="009A613C" w:rsidRDefault="000C67F1" w:rsidP="00941C89">
            <w:pPr>
              <w:jc w:val="both"/>
              <w:rPr>
                <w:rFonts w:cstheme="minorHAnsi"/>
              </w:rPr>
            </w:pPr>
            <w:r w:rsidRPr="00C65614">
              <w:rPr>
                <w:rFonts w:cstheme="minorHAnsi"/>
              </w:rPr>
              <w:t>Broj zgrada u kojima su smješteni sudovi a koje imaju info table sa Brajevom azbukom ili zvučnim/audio sistemom informisanja/ taktilne površine/ oznake pristupačnosti</w:t>
            </w:r>
          </w:p>
        </w:tc>
        <w:tc>
          <w:tcPr>
            <w:tcW w:w="606" w:type="pct"/>
            <w:tcBorders>
              <w:top w:val="double" w:sz="4" w:space="0" w:color="auto"/>
              <w:bottom w:val="double" w:sz="4" w:space="0" w:color="auto"/>
            </w:tcBorders>
            <w:shd w:val="clear" w:color="auto" w:fill="FFFFFF" w:themeFill="background1"/>
          </w:tcPr>
          <w:p w14:paraId="7C2F1A0C" w14:textId="77777777" w:rsidR="00D704FB" w:rsidRPr="009A613C" w:rsidRDefault="00D704FB" w:rsidP="00941C89">
            <w:pPr>
              <w:shd w:val="clear" w:color="auto" w:fill="FFFFFF" w:themeFill="background1"/>
              <w:jc w:val="center"/>
              <w:rPr>
                <w:rFonts w:cstheme="minorHAnsi"/>
              </w:rPr>
            </w:pPr>
            <w:r w:rsidRPr="009A613C">
              <w:rPr>
                <w:rFonts w:cstheme="minorHAnsi"/>
              </w:rPr>
              <w:t>7</w:t>
            </w:r>
          </w:p>
        </w:tc>
        <w:tc>
          <w:tcPr>
            <w:tcW w:w="606" w:type="pct"/>
            <w:tcBorders>
              <w:top w:val="double" w:sz="4" w:space="0" w:color="auto"/>
              <w:bottom w:val="double" w:sz="4" w:space="0" w:color="auto"/>
            </w:tcBorders>
            <w:shd w:val="clear" w:color="auto" w:fill="FFFFFF" w:themeFill="background1"/>
          </w:tcPr>
          <w:p w14:paraId="36073F3D" w14:textId="014E069F" w:rsidR="00D704FB" w:rsidRPr="00FB7AB1" w:rsidRDefault="00D704FB" w:rsidP="00941C89">
            <w:pPr>
              <w:shd w:val="clear" w:color="auto" w:fill="FFFFFF" w:themeFill="background1"/>
              <w:jc w:val="center"/>
              <w:rPr>
                <w:rFonts w:cstheme="minorHAnsi"/>
                <w:highlight w:val="yellow"/>
              </w:rPr>
            </w:pPr>
            <w:r w:rsidRPr="007A5E95">
              <w:rPr>
                <w:rFonts w:cstheme="minorHAnsi"/>
              </w:rPr>
              <w:t>1</w:t>
            </w:r>
            <w:r w:rsidR="000C67F1">
              <w:rPr>
                <w:rFonts w:cstheme="minorHAnsi"/>
              </w:rPr>
              <w:t>1</w:t>
            </w:r>
          </w:p>
        </w:tc>
        <w:tc>
          <w:tcPr>
            <w:tcW w:w="606" w:type="pct"/>
            <w:tcBorders>
              <w:top w:val="double" w:sz="4" w:space="0" w:color="auto"/>
              <w:bottom w:val="double" w:sz="4" w:space="0" w:color="auto"/>
              <w:right w:val="double" w:sz="4" w:space="0" w:color="auto"/>
            </w:tcBorders>
            <w:shd w:val="clear" w:color="auto" w:fill="FFFFFF" w:themeFill="background1"/>
          </w:tcPr>
          <w:p w14:paraId="4F11CAD2" w14:textId="7F6CCA0E" w:rsidR="00D704FB" w:rsidRPr="00FB7AB1" w:rsidRDefault="000C67F1" w:rsidP="00941C89">
            <w:pPr>
              <w:shd w:val="clear" w:color="auto" w:fill="FFFFFF" w:themeFill="background1"/>
              <w:jc w:val="center"/>
              <w:rPr>
                <w:rFonts w:cstheme="minorHAnsi"/>
                <w:highlight w:val="yellow"/>
              </w:rPr>
            </w:pPr>
            <w:r w:rsidRPr="00ED323C">
              <w:rPr>
                <w:rFonts w:cstheme="minorHAnsi"/>
              </w:rPr>
              <w:t>12</w:t>
            </w:r>
          </w:p>
        </w:tc>
      </w:tr>
      <w:tr w:rsidR="00D704FB" w:rsidRPr="009A613C" w14:paraId="08EA42A2" w14:textId="77777777" w:rsidTr="00941C89">
        <w:trPr>
          <w:trHeight w:val="254"/>
        </w:trPr>
        <w:tc>
          <w:tcPr>
            <w:tcW w:w="1364" w:type="pct"/>
            <w:vMerge/>
            <w:shd w:val="clear" w:color="auto" w:fill="E2EFD9" w:themeFill="accent6" w:themeFillTint="33"/>
          </w:tcPr>
          <w:p w14:paraId="7B90C63C"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7C11E4A7" w14:textId="40CBF6AC" w:rsidR="00D704FB" w:rsidRPr="009A613C" w:rsidRDefault="00D704FB" w:rsidP="00941C89">
            <w:pPr>
              <w:shd w:val="clear" w:color="auto" w:fill="FFFFFF" w:themeFill="background1"/>
              <w:spacing w:after="240"/>
              <w:jc w:val="both"/>
              <w:rPr>
                <w:rFonts w:cstheme="minorHAnsi"/>
              </w:rPr>
            </w:pPr>
            <w:r w:rsidRPr="009A613C">
              <w:rPr>
                <w:rFonts w:cstheme="minorHAnsi"/>
              </w:rPr>
              <w:t xml:space="preserve">Broj zgrada u kojima su smještena </w:t>
            </w:r>
            <w:r w:rsidR="00857707">
              <w:rPr>
                <w:rFonts w:cstheme="minorHAnsi"/>
              </w:rPr>
              <w:t xml:space="preserve">državna </w:t>
            </w:r>
            <w:r w:rsidRPr="009A613C">
              <w:rPr>
                <w:rFonts w:cstheme="minorHAnsi"/>
              </w:rPr>
              <w:t>tužilaštva a koje imaju rampe/liftove koji omogućavaju pristup osobama sa invaliditetom</w:t>
            </w:r>
          </w:p>
        </w:tc>
        <w:tc>
          <w:tcPr>
            <w:tcW w:w="606" w:type="pct"/>
            <w:tcBorders>
              <w:top w:val="double" w:sz="4" w:space="0" w:color="auto"/>
              <w:bottom w:val="double" w:sz="4" w:space="0" w:color="auto"/>
            </w:tcBorders>
            <w:shd w:val="clear" w:color="auto" w:fill="FFFFFF" w:themeFill="background1"/>
          </w:tcPr>
          <w:p w14:paraId="557DDA6B" w14:textId="77777777" w:rsidR="00D704FB" w:rsidRPr="009A613C" w:rsidRDefault="00D704FB" w:rsidP="00941C89">
            <w:pPr>
              <w:shd w:val="clear" w:color="auto" w:fill="FFFFFF" w:themeFill="background1"/>
              <w:jc w:val="center"/>
              <w:rPr>
                <w:rFonts w:cstheme="minorHAnsi"/>
              </w:rPr>
            </w:pPr>
            <w:r w:rsidRPr="009A613C">
              <w:rPr>
                <w:rFonts w:cstheme="minorHAnsi"/>
              </w:rPr>
              <w:t>5</w:t>
            </w:r>
          </w:p>
        </w:tc>
        <w:tc>
          <w:tcPr>
            <w:tcW w:w="606" w:type="pct"/>
            <w:tcBorders>
              <w:top w:val="double" w:sz="4" w:space="0" w:color="auto"/>
              <w:bottom w:val="double" w:sz="4" w:space="0" w:color="auto"/>
            </w:tcBorders>
            <w:shd w:val="clear" w:color="auto" w:fill="FFFFFF" w:themeFill="background1"/>
          </w:tcPr>
          <w:p w14:paraId="58312F89" w14:textId="1C291A74" w:rsidR="00D704FB" w:rsidRPr="000C67F1" w:rsidRDefault="000C67F1" w:rsidP="00941C89">
            <w:pPr>
              <w:shd w:val="clear" w:color="auto" w:fill="FFFFFF" w:themeFill="background1"/>
              <w:jc w:val="center"/>
              <w:rPr>
                <w:rFonts w:cstheme="minorHAnsi"/>
              </w:rPr>
            </w:pPr>
            <w:r w:rsidRPr="00ED323C">
              <w:rPr>
                <w:rFonts w:cstheme="minorHAnsi"/>
              </w:rPr>
              <w:t>6</w:t>
            </w:r>
          </w:p>
        </w:tc>
        <w:tc>
          <w:tcPr>
            <w:tcW w:w="606" w:type="pct"/>
            <w:tcBorders>
              <w:top w:val="double" w:sz="4" w:space="0" w:color="auto"/>
              <w:bottom w:val="double" w:sz="4" w:space="0" w:color="auto"/>
              <w:right w:val="double" w:sz="4" w:space="0" w:color="auto"/>
            </w:tcBorders>
            <w:shd w:val="clear" w:color="auto" w:fill="FFFFFF" w:themeFill="background1"/>
          </w:tcPr>
          <w:p w14:paraId="71F96D7D" w14:textId="295E9405" w:rsidR="00D704FB" w:rsidRPr="000C67F1" w:rsidRDefault="000C67F1" w:rsidP="00D16499">
            <w:pPr>
              <w:shd w:val="clear" w:color="auto" w:fill="FFFFFF" w:themeFill="background1"/>
              <w:jc w:val="center"/>
              <w:rPr>
                <w:rFonts w:cstheme="minorHAnsi"/>
              </w:rPr>
            </w:pPr>
            <w:r w:rsidRPr="00ED323C">
              <w:rPr>
                <w:rFonts w:cstheme="minorHAnsi"/>
              </w:rPr>
              <w:t>7</w:t>
            </w:r>
          </w:p>
        </w:tc>
      </w:tr>
      <w:tr w:rsidR="00D704FB" w:rsidRPr="009A613C" w14:paraId="65F7F96A" w14:textId="77777777" w:rsidTr="00941C89">
        <w:trPr>
          <w:trHeight w:val="254"/>
        </w:trPr>
        <w:tc>
          <w:tcPr>
            <w:tcW w:w="1364" w:type="pct"/>
            <w:vMerge/>
            <w:shd w:val="clear" w:color="auto" w:fill="E2EFD9" w:themeFill="accent6" w:themeFillTint="33"/>
          </w:tcPr>
          <w:p w14:paraId="1E0AFBD3"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266B7F42" w14:textId="6A159A58" w:rsidR="00D704FB" w:rsidRPr="009A613C" w:rsidRDefault="00B851A6" w:rsidP="00941C89">
            <w:pPr>
              <w:jc w:val="both"/>
              <w:rPr>
                <w:rFonts w:cstheme="minorHAnsi"/>
              </w:rPr>
            </w:pPr>
            <w:r w:rsidRPr="00C65614">
              <w:rPr>
                <w:rFonts w:cstheme="minorHAnsi"/>
              </w:rPr>
              <w:t>B</w:t>
            </w:r>
            <w:r>
              <w:rPr>
                <w:rFonts w:cstheme="minorHAnsi"/>
              </w:rPr>
              <w:t>roj zgrada u kojima su smještena državna tužilaštva</w:t>
            </w:r>
            <w:r w:rsidRPr="00C65614">
              <w:rPr>
                <w:rFonts w:cstheme="minorHAnsi"/>
              </w:rPr>
              <w:t xml:space="preserve"> a koje imaju info table sa Brajevom azbukom ili zvučnim/audio sistemom informisanja/ taktilne površine/ oznake pristupačnosti</w:t>
            </w:r>
          </w:p>
        </w:tc>
        <w:tc>
          <w:tcPr>
            <w:tcW w:w="606" w:type="pct"/>
            <w:tcBorders>
              <w:top w:val="double" w:sz="4" w:space="0" w:color="auto"/>
              <w:bottom w:val="double" w:sz="4" w:space="0" w:color="auto"/>
            </w:tcBorders>
            <w:shd w:val="clear" w:color="auto" w:fill="FFFFFF" w:themeFill="background1"/>
          </w:tcPr>
          <w:p w14:paraId="04FDC3E6" w14:textId="77777777" w:rsidR="00D704FB" w:rsidRPr="009A613C" w:rsidRDefault="00D704FB" w:rsidP="00941C89">
            <w:pPr>
              <w:shd w:val="clear" w:color="auto" w:fill="FFFFFF" w:themeFill="background1"/>
              <w:jc w:val="center"/>
              <w:rPr>
                <w:rFonts w:cstheme="minorHAnsi"/>
              </w:rPr>
            </w:pPr>
            <w:r w:rsidRPr="009A613C">
              <w:rPr>
                <w:rFonts w:cstheme="minorHAnsi"/>
              </w:rPr>
              <w:t>2</w:t>
            </w:r>
          </w:p>
        </w:tc>
        <w:tc>
          <w:tcPr>
            <w:tcW w:w="606" w:type="pct"/>
            <w:tcBorders>
              <w:top w:val="double" w:sz="4" w:space="0" w:color="auto"/>
              <w:bottom w:val="double" w:sz="4" w:space="0" w:color="auto"/>
            </w:tcBorders>
            <w:shd w:val="clear" w:color="auto" w:fill="FFFFFF" w:themeFill="background1"/>
          </w:tcPr>
          <w:p w14:paraId="1650F585" w14:textId="2CD990C0" w:rsidR="00D704FB" w:rsidRPr="000C67F1" w:rsidRDefault="000C67F1" w:rsidP="00941C89">
            <w:pPr>
              <w:shd w:val="clear" w:color="auto" w:fill="FFFFFF" w:themeFill="background1"/>
              <w:jc w:val="center"/>
              <w:rPr>
                <w:rFonts w:cstheme="minorHAnsi"/>
              </w:rPr>
            </w:pPr>
            <w:r w:rsidRPr="00ED323C">
              <w:rPr>
                <w:rFonts w:cstheme="minorHAnsi"/>
              </w:rPr>
              <w:t>2</w:t>
            </w:r>
          </w:p>
        </w:tc>
        <w:tc>
          <w:tcPr>
            <w:tcW w:w="606" w:type="pct"/>
            <w:tcBorders>
              <w:top w:val="double" w:sz="4" w:space="0" w:color="auto"/>
              <w:bottom w:val="double" w:sz="4" w:space="0" w:color="auto"/>
              <w:right w:val="double" w:sz="4" w:space="0" w:color="auto"/>
            </w:tcBorders>
            <w:shd w:val="clear" w:color="auto" w:fill="FFFFFF" w:themeFill="background1"/>
          </w:tcPr>
          <w:p w14:paraId="3AE7B42D" w14:textId="0699C414" w:rsidR="00D704FB" w:rsidRPr="000C67F1" w:rsidRDefault="000C67F1" w:rsidP="00941C89">
            <w:pPr>
              <w:shd w:val="clear" w:color="auto" w:fill="FFFFFF" w:themeFill="background1"/>
              <w:jc w:val="center"/>
              <w:rPr>
                <w:rFonts w:cstheme="minorHAnsi"/>
              </w:rPr>
            </w:pPr>
            <w:r w:rsidRPr="00ED323C">
              <w:rPr>
                <w:rFonts w:cstheme="minorHAnsi"/>
              </w:rPr>
              <w:t>3</w:t>
            </w:r>
          </w:p>
        </w:tc>
      </w:tr>
      <w:tr w:rsidR="00D704FB" w:rsidRPr="009A613C" w14:paraId="18E1E339" w14:textId="77777777" w:rsidTr="00941C89">
        <w:trPr>
          <w:trHeight w:val="254"/>
        </w:trPr>
        <w:tc>
          <w:tcPr>
            <w:tcW w:w="1364" w:type="pct"/>
            <w:vMerge/>
            <w:shd w:val="clear" w:color="auto" w:fill="E2EFD9" w:themeFill="accent6" w:themeFillTint="33"/>
          </w:tcPr>
          <w:p w14:paraId="752833E4"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225BB09C" w14:textId="77777777" w:rsidR="00D704FB" w:rsidRPr="009A613C" w:rsidRDefault="00D704FB" w:rsidP="00941C89">
            <w:pPr>
              <w:shd w:val="clear" w:color="auto" w:fill="FFFFFF" w:themeFill="background1"/>
              <w:spacing w:after="240"/>
              <w:jc w:val="both"/>
              <w:rPr>
                <w:rFonts w:cstheme="minorHAnsi"/>
              </w:rPr>
            </w:pPr>
            <w:r w:rsidRPr="009A613C">
              <w:rPr>
                <w:rFonts w:cstheme="minorHAnsi"/>
              </w:rPr>
              <w:t>Broj zgrada u kojima su smješteni sudovi koje imaju sigurnosne skenere</w:t>
            </w:r>
          </w:p>
        </w:tc>
        <w:tc>
          <w:tcPr>
            <w:tcW w:w="606" w:type="pct"/>
            <w:tcBorders>
              <w:top w:val="double" w:sz="4" w:space="0" w:color="auto"/>
              <w:bottom w:val="double" w:sz="4" w:space="0" w:color="auto"/>
            </w:tcBorders>
            <w:shd w:val="clear" w:color="auto" w:fill="FFFFFF" w:themeFill="background1"/>
          </w:tcPr>
          <w:p w14:paraId="32931109" w14:textId="77777777" w:rsidR="00D704FB" w:rsidRPr="00F25100" w:rsidRDefault="00D704FB" w:rsidP="00941C89">
            <w:pPr>
              <w:shd w:val="clear" w:color="auto" w:fill="FFFFFF" w:themeFill="background1"/>
              <w:jc w:val="center"/>
              <w:rPr>
                <w:rFonts w:cstheme="minorHAnsi"/>
              </w:rPr>
            </w:pPr>
            <w:r w:rsidRPr="00F25100">
              <w:rPr>
                <w:rFonts w:cstheme="minorHAnsi"/>
              </w:rPr>
              <w:t>3</w:t>
            </w:r>
          </w:p>
        </w:tc>
        <w:tc>
          <w:tcPr>
            <w:tcW w:w="606" w:type="pct"/>
            <w:tcBorders>
              <w:top w:val="double" w:sz="4" w:space="0" w:color="auto"/>
              <w:bottom w:val="double" w:sz="4" w:space="0" w:color="auto"/>
            </w:tcBorders>
            <w:shd w:val="clear" w:color="auto" w:fill="FFFFFF" w:themeFill="background1"/>
          </w:tcPr>
          <w:p w14:paraId="4F01613B" w14:textId="05C254C9" w:rsidR="00D704FB" w:rsidRPr="000C67F1" w:rsidRDefault="000C67F1" w:rsidP="00941C89">
            <w:pPr>
              <w:shd w:val="clear" w:color="auto" w:fill="FFFFFF" w:themeFill="background1"/>
              <w:jc w:val="center"/>
              <w:rPr>
                <w:rFonts w:cstheme="minorHAnsi"/>
              </w:rPr>
            </w:pPr>
            <w:r w:rsidRPr="00ED323C">
              <w:rPr>
                <w:rFonts w:cstheme="minorHAnsi"/>
              </w:rPr>
              <w:t>4</w:t>
            </w:r>
          </w:p>
        </w:tc>
        <w:tc>
          <w:tcPr>
            <w:tcW w:w="606" w:type="pct"/>
            <w:tcBorders>
              <w:top w:val="double" w:sz="4" w:space="0" w:color="auto"/>
              <w:bottom w:val="double" w:sz="4" w:space="0" w:color="auto"/>
              <w:right w:val="double" w:sz="4" w:space="0" w:color="auto"/>
            </w:tcBorders>
            <w:shd w:val="clear" w:color="auto" w:fill="FFFFFF" w:themeFill="background1"/>
          </w:tcPr>
          <w:p w14:paraId="02FC01E8" w14:textId="479CF463" w:rsidR="00D704FB" w:rsidRPr="000C67F1" w:rsidRDefault="000C67F1" w:rsidP="00941C89">
            <w:pPr>
              <w:shd w:val="clear" w:color="auto" w:fill="FFFFFF" w:themeFill="background1"/>
              <w:jc w:val="center"/>
              <w:rPr>
                <w:rFonts w:cstheme="minorHAnsi"/>
              </w:rPr>
            </w:pPr>
            <w:r w:rsidRPr="00ED323C">
              <w:rPr>
                <w:rFonts w:cstheme="minorHAnsi"/>
              </w:rPr>
              <w:t>5</w:t>
            </w:r>
          </w:p>
        </w:tc>
      </w:tr>
      <w:tr w:rsidR="00D704FB" w:rsidRPr="009A613C" w14:paraId="750F9348" w14:textId="77777777" w:rsidTr="00941C89">
        <w:trPr>
          <w:trHeight w:val="254"/>
        </w:trPr>
        <w:tc>
          <w:tcPr>
            <w:tcW w:w="1364" w:type="pct"/>
            <w:vMerge/>
            <w:shd w:val="clear" w:color="auto" w:fill="E2EFD9" w:themeFill="accent6" w:themeFillTint="33"/>
          </w:tcPr>
          <w:p w14:paraId="2CD6AF31"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430BBF18" w14:textId="6664FEFE" w:rsidR="00D704FB" w:rsidRPr="009A613C" w:rsidRDefault="00D704FB" w:rsidP="00941C89">
            <w:pPr>
              <w:shd w:val="clear" w:color="auto" w:fill="FFFFFF" w:themeFill="background1"/>
              <w:spacing w:after="240"/>
              <w:jc w:val="both"/>
              <w:rPr>
                <w:rFonts w:cstheme="minorHAnsi"/>
              </w:rPr>
            </w:pPr>
            <w:r w:rsidRPr="007A5E95">
              <w:rPr>
                <w:rFonts w:cstheme="minorHAnsi"/>
              </w:rPr>
              <w:t xml:space="preserve">Broj zgrada u kojima su smještena </w:t>
            </w:r>
            <w:r w:rsidR="00857707">
              <w:rPr>
                <w:rFonts w:cstheme="minorHAnsi"/>
              </w:rPr>
              <w:t xml:space="preserve">državna </w:t>
            </w:r>
            <w:r w:rsidRPr="007A5E95">
              <w:rPr>
                <w:rFonts w:cstheme="minorHAnsi"/>
              </w:rPr>
              <w:t>tužilaštva koje imaju sigurnosne skenere</w:t>
            </w:r>
          </w:p>
        </w:tc>
        <w:tc>
          <w:tcPr>
            <w:tcW w:w="606" w:type="pct"/>
            <w:tcBorders>
              <w:top w:val="double" w:sz="4" w:space="0" w:color="auto"/>
              <w:bottom w:val="double" w:sz="4" w:space="0" w:color="auto"/>
            </w:tcBorders>
            <w:shd w:val="clear" w:color="auto" w:fill="FFFFFF" w:themeFill="background1"/>
          </w:tcPr>
          <w:p w14:paraId="34AEE2D2" w14:textId="77777777" w:rsidR="00D704FB" w:rsidRPr="00F25100" w:rsidRDefault="00D704FB" w:rsidP="00941C89">
            <w:pPr>
              <w:shd w:val="clear" w:color="auto" w:fill="FFFFFF" w:themeFill="background1"/>
              <w:jc w:val="center"/>
              <w:rPr>
                <w:rFonts w:cstheme="minorHAnsi"/>
              </w:rPr>
            </w:pPr>
            <w:r w:rsidRPr="00F25100">
              <w:rPr>
                <w:rFonts w:cstheme="minorHAnsi"/>
              </w:rPr>
              <w:t>3</w:t>
            </w:r>
          </w:p>
        </w:tc>
        <w:tc>
          <w:tcPr>
            <w:tcW w:w="606" w:type="pct"/>
            <w:tcBorders>
              <w:top w:val="double" w:sz="4" w:space="0" w:color="auto"/>
              <w:bottom w:val="double" w:sz="4" w:space="0" w:color="auto"/>
            </w:tcBorders>
            <w:shd w:val="clear" w:color="auto" w:fill="FFFFFF" w:themeFill="background1"/>
          </w:tcPr>
          <w:p w14:paraId="344069BB" w14:textId="1E7C2601" w:rsidR="00D704FB" w:rsidRPr="000C67F1" w:rsidRDefault="000C67F1" w:rsidP="00941C89">
            <w:pPr>
              <w:shd w:val="clear" w:color="auto" w:fill="FFFFFF" w:themeFill="background1"/>
              <w:jc w:val="center"/>
              <w:rPr>
                <w:rFonts w:cstheme="minorHAnsi"/>
              </w:rPr>
            </w:pPr>
            <w:r w:rsidRPr="00ED323C">
              <w:rPr>
                <w:rFonts w:cstheme="minorHAnsi"/>
              </w:rPr>
              <w:t>4</w:t>
            </w:r>
          </w:p>
        </w:tc>
        <w:tc>
          <w:tcPr>
            <w:tcW w:w="606" w:type="pct"/>
            <w:tcBorders>
              <w:top w:val="double" w:sz="4" w:space="0" w:color="auto"/>
              <w:bottom w:val="double" w:sz="4" w:space="0" w:color="auto"/>
              <w:right w:val="double" w:sz="4" w:space="0" w:color="auto"/>
            </w:tcBorders>
            <w:shd w:val="clear" w:color="auto" w:fill="FFFFFF" w:themeFill="background1"/>
          </w:tcPr>
          <w:p w14:paraId="262503CD" w14:textId="4B2ADF86" w:rsidR="00D704FB" w:rsidRPr="000C67F1" w:rsidRDefault="000C67F1" w:rsidP="00941C89">
            <w:pPr>
              <w:shd w:val="clear" w:color="auto" w:fill="FFFFFF" w:themeFill="background1"/>
              <w:jc w:val="center"/>
              <w:rPr>
                <w:rFonts w:cstheme="minorHAnsi"/>
                <w:lang w:val="en-GB"/>
              </w:rPr>
            </w:pPr>
            <w:r w:rsidRPr="00ED323C">
              <w:rPr>
                <w:rFonts w:cstheme="minorHAnsi"/>
              </w:rPr>
              <w:t>5</w:t>
            </w:r>
          </w:p>
        </w:tc>
      </w:tr>
      <w:tr w:rsidR="00D704FB" w:rsidRPr="009A613C" w14:paraId="33F333DA" w14:textId="77777777" w:rsidTr="00941C89">
        <w:trPr>
          <w:trHeight w:val="254"/>
        </w:trPr>
        <w:tc>
          <w:tcPr>
            <w:tcW w:w="1364" w:type="pct"/>
            <w:vMerge/>
            <w:shd w:val="clear" w:color="auto" w:fill="E2EFD9" w:themeFill="accent6" w:themeFillTint="33"/>
          </w:tcPr>
          <w:p w14:paraId="719219C1"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0CF2F0D6" w14:textId="77777777" w:rsidR="00D704FB" w:rsidRPr="008649C4" w:rsidRDefault="00D704FB" w:rsidP="00941C89">
            <w:pPr>
              <w:shd w:val="clear" w:color="auto" w:fill="FFFFFF" w:themeFill="background1"/>
              <w:spacing w:after="240"/>
              <w:jc w:val="both"/>
              <w:rPr>
                <w:rFonts w:cstheme="minorHAnsi"/>
              </w:rPr>
            </w:pPr>
            <w:r w:rsidRPr="008649C4">
              <w:rPr>
                <w:rFonts w:cstheme="minorHAnsi"/>
              </w:rPr>
              <w:t>Broj zgrada u kojima su smješteni sudovi koje ispunjavaju standarde energetske efikasnosti</w:t>
            </w:r>
          </w:p>
        </w:tc>
        <w:tc>
          <w:tcPr>
            <w:tcW w:w="606" w:type="pct"/>
            <w:tcBorders>
              <w:top w:val="double" w:sz="4" w:space="0" w:color="auto"/>
              <w:bottom w:val="double" w:sz="4" w:space="0" w:color="auto"/>
            </w:tcBorders>
            <w:shd w:val="clear" w:color="auto" w:fill="FFFFFF" w:themeFill="background1"/>
          </w:tcPr>
          <w:p w14:paraId="5F0DEE9F" w14:textId="77777777" w:rsidR="00D704FB" w:rsidRPr="008649C4" w:rsidRDefault="00D704FB" w:rsidP="00941C89">
            <w:pPr>
              <w:shd w:val="clear" w:color="auto" w:fill="FFFFFF" w:themeFill="background1"/>
              <w:jc w:val="center"/>
              <w:rPr>
                <w:rFonts w:cstheme="minorHAnsi"/>
              </w:rPr>
            </w:pPr>
            <w:r w:rsidRPr="008649C4">
              <w:rPr>
                <w:rFonts w:cstheme="minorHAnsi"/>
              </w:rPr>
              <w:t>0</w:t>
            </w:r>
          </w:p>
        </w:tc>
        <w:tc>
          <w:tcPr>
            <w:tcW w:w="606" w:type="pct"/>
            <w:tcBorders>
              <w:top w:val="double" w:sz="4" w:space="0" w:color="auto"/>
              <w:bottom w:val="double" w:sz="4" w:space="0" w:color="auto"/>
            </w:tcBorders>
            <w:shd w:val="clear" w:color="auto" w:fill="FFFFFF" w:themeFill="background1"/>
          </w:tcPr>
          <w:p w14:paraId="34884266" w14:textId="77777777" w:rsidR="00D704FB" w:rsidRPr="008649C4" w:rsidRDefault="00D704FB" w:rsidP="00941C89">
            <w:pPr>
              <w:shd w:val="clear" w:color="auto" w:fill="FFFFFF" w:themeFill="background1"/>
              <w:jc w:val="center"/>
              <w:rPr>
                <w:rFonts w:cstheme="minorHAnsi"/>
              </w:rPr>
            </w:pPr>
            <w:r w:rsidRPr="008649C4">
              <w:rPr>
                <w:rFonts w:cstheme="minorHAnsi"/>
              </w:rPr>
              <w:t>6</w:t>
            </w:r>
          </w:p>
        </w:tc>
        <w:tc>
          <w:tcPr>
            <w:tcW w:w="606" w:type="pct"/>
            <w:tcBorders>
              <w:top w:val="double" w:sz="4" w:space="0" w:color="auto"/>
              <w:bottom w:val="double" w:sz="4" w:space="0" w:color="auto"/>
              <w:right w:val="double" w:sz="4" w:space="0" w:color="auto"/>
            </w:tcBorders>
            <w:shd w:val="clear" w:color="auto" w:fill="FFFFFF" w:themeFill="background1"/>
          </w:tcPr>
          <w:p w14:paraId="6A680776" w14:textId="58823457" w:rsidR="00D704FB" w:rsidRPr="008649C4" w:rsidRDefault="000C67F1" w:rsidP="00941C89">
            <w:pPr>
              <w:shd w:val="clear" w:color="auto" w:fill="FFFFFF" w:themeFill="background1"/>
              <w:jc w:val="center"/>
              <w:rPr>
                <w:rFonts w:cstheme="minorHAnsi"/>
              </w:rPr>
            </w:pPr>
            <w:r w:rsidRPr="008649C4">
              <w:rPr>
                <w:rFonts w:cstheme="minorHAnsi"/>
              </w:rPr>
              <w:t>7</w:t>
            </w:r>
          </w:p>
        </w:tc>
      </w:tr>
      <w:tr w:rsidR="00D704FB" w:rsidRPr="009A613C" w14:paraId="79621E2F" w14:textId="77777777" w:rsidTr="00941C89">
        <w:trPr>
          <w:trHeight w:val="254"/>
        </w:trPr>
        <w:tc>
          <w:tcPr>
            <w:tcW w:w="1364" w:type="pct"/>
            <w:vMerge/>
            <w:shd w:val="clear" w:color="auto" w:fill="E2EFD9" w:themeFill="accent6" w:themeFillTint="33"/>
          </w:tcPr>
          <w:p w14:paraId="141900F3"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1E461A15" w14:textId="5053DC69" w:rsidR="00D704FB" w:rsidRPr="008649C4" w:rsidRDefault="00D704FB" w:rsidP="00941C89">
            <w:pPr>
              <w:shd w:val="clear" w:color="auto" w:fill="FFFFFF" w:themeFill="background1"/>
              <w:spacing w:after="240"/>
              <w:jc w:val="both"/>
              <w:rPr>
                <w:rFonts w:cstheme="minorHAnsi"/>
              </w:rPr>
            </w:pPr>
            <w:r w:rsidRPr="008649C4">
              <w:rPr>
                <w:rFonts w:cstheme="minorHAnsi"/>
              </w:rPr>
              <w:t xml:space="preserve">Broj zgrada u kojima su smještena </w:t>
            </w:r>
            <w:r w:rsidR="00857707" w:rsidRPr="008649C4">
              <w:rPr>
                <w:rFonts w:cstheme="minorHAnsi"/>
              </w:rPr>
              <w:t xml:space="preserve">državna </w:t>
            </w:r>
            <w:r w:rsidRPr="008649C4">
              <w:rPr>
                <w:rFonts w:cstheme="minorHAnsi"/>
              </w:rPr>
              <w:t>tužilaštva koje ispunjavaju standarde energetske efikasnosti</w:t>
            </w:r>
          </w:p>
        </w:tc>
        <w:tc>
          <w:tcPr>
            <w:tcW w:w="606" w:type="pct"/>
            <w:tcBorders>
              <w:top w:val="double" w:sz="4" w:space="0" w:color="auto"/>
              <w:bottom w:val="double" w:sz="4" w:space="0" w:color="auto"/>
            </w:tcBorders>
            <w:shd w:val="clear" w:color="auto" w:fill="FFFFFF" w:themeFill="background1"/>
          </w:tcPr>
          <w:p w14:paraId="02636D20" w14:textId="77777777" w:rsidR="00D704FB" w:rsidRPr="008649C4" w:rsidRDefault="00D704FB" w:rsidP="00941C89">
            <w:pPr>
              <w:shd w:val="clear" w:color="auto" w:fill="FFFFFF" w:themeFill="background1"/>
              <w:jc w:val="center"/>
              <w:rPr>
                <w:rFonts w:cstheme="minorHAnsi"/>
              </w:rPr>
            </w:pPr>
            <w:r w:rsidRPr="008649C4">
              <w:rPr>
                <w:rFonts w:cstheme="minorHAnsi"/>
              </w:rPr>
              <w:t>0</w:t>
            </w:r>
          </w:p>
        </w:tc>
        <w:tc>
          <w:tcPr>
            <w:tcW w:w="606" w:type="pct"/>
            <w:tcBorders>
              <w:top w:val="double" w:sz="4" w:space="0" w:color="auto"/>
              <w:bottom w:val="double" w:sz="4" w:space="0" w:color="auto"/>
            </w:tcBorders>
            <w:shd w:val="clear" w:color="auto" w:fill="FFFFFF" w:themeFill="background1"/>
          </w:tcPr>
          <w:p w14:paraId="3B5E21C4" w14:textId="77777777" w:rsidR="00D704FB" w:rsidRPr="008649C4" w:rsidRDefault="00D704FB" w:rsidP="00941C89">
            <w:pPr>
              <w:shd w:val="clear" w:color="auto" w:fill="FFFFFF" w:themeFill="background1"/>
              <w:jc w:val="center"/>
              <w:rPr>
                <w:rFonts w:cstheme="minorHAnsi"/>
              </w:rPr>
            </w:pPr>
            <w:r w:rsidRPr="008649C4">
              <w:rPr>
                <w:rFonts w:cstheme="minorHAnsi"/>
              </w:rPr>
              <w:t>6</w:t>
            </w:r>
          </w:p>
        </w:tc>
        <w:tc>
          <w:tcPr>
            <w:tcW w:w="606" w:type="pct"/>
            <w:tcBorders>
              <w:top w:val="double" w:sz="4" w:space="0" w:color="auto"/>
              <w:bottom w:val="double" w:sz="4" w:space="0" w:color="auto"/>
              <w:right w:val="double" w:sz="4" w:space="0" w:color="auto"/>
            </w:tcBorders>
            <w:shd w:val="clear" w:color="auto" w:fill="FFFFFF" w:themeFill="background1"/>
          </w:tcPr>
          <w:p w14:paraId="25423E70" w14:textId="63411201" w:rsidR="00D704FB" w:rsidRPr="008649C4" w:rsidRDefault="000C67F1" w:rsidP="00941C89">
            <w:pPr>
              <w:shd w:val="clear" w:color="auto" w:fill="FFFFFF" w:themeFill="background1"/>
              <w:jc w:val="center"/>
              <w:rPr>
                <w:rFonts w:cstheme="minorHAnsi"/>
              </w:rPr>
            </w:pPr>
            <w:r w:rsidRPr="008649C4">
              <w:rPr>
                <w:rFonts w:cstheme="minorHAnsi"/>
              </w:rPr>
              <w:t>7</w:t>
            </w:r>
          </w:p>
        </w:tc>
      </w:tr>
      <w:tr w:rsidR="00D704FB" w:rsidRPr="009A613C" w14:paraId="104A181E" w14:textId="77777777" w:rsidTr="00941C89">
        <w:trPr>
          <w:trHeight w:val="254"/>
        </w:trPr>
        <w:tc>
          <w:tcPr>
            <w:tcW w:w="1364" w:type="pct"/>
            <w:vMerge/>
            <w:tcBorders>
              <w:bottom w:val="double" w:sz="4" w:space="0" w:color="auto"/>
            </w:tcBorders>
            <w:shd w:val="clear" w:color="auto" w:fill="E2EFD9" w:themeFill="accent6" w:themeFillTint="33"/>
          </w:tcPr>
          <w:p w14:paraId="442CE690" w14:textId="77777777" w:rsidR="00D704FB" w:rsidRPr="009A613C" w:rsidRDefault="00D704FB" w:rsidP="00941C89">
            <w:pPr>
              <w:rPr>
                <w:rFonts w:cstheme="minorHAnsi"/>
              </w:rPr>
            </w:pPr>
          </w:p>
        </w:tc>
        <w:tc>
          <w:tcPr>
            <w:tcW w:w="1818" w:type="pct"/>
            <w:tcBorders>
              <w:top w:val="double" w:sz="4" w:space="0" w:color="auto"/>
              <w:bottom w:val="double" w:sz="4" w:space="0" w:color="auto"/>
            </w:tcBorders>
            <w:shd w:val="clear" w:color="auto" w:fill="FFFFFF" w:themeFill="background1"/>
          </w:tcPr>
          <w:p w14:paraId="0995F4F6" w14:textId="77777777" w:rsidR="00D704FB" w:rsidRPr="009A613C" w:rsidRDefault="00D704FB" w:rsidP="00941C89">
            <w:pPr>
              <w:shd w:val="clear" w:color="auto" w:fill="FFFFFF" w:themeFill="background1"/>
              <w:spacing w:after="240"/>
              <w:jc w:val="both"/>
              <w:rPr>
                <w:rFonts w:cstheme="minorHAnsi"/>
              </w:rPr>
            </w:pPr>
            <w:r w:rsidRPr="009A613C">
              <w:rPr>
                <w:rFonts w:cstheme="minorHAnsi"/>
              </w:rPr>
              <w:t>Broj novoizgrađenih/prenamjenjenih  zgrada pravosudnih organa</w:t>
            </w:r>
          </w:p>
        </w:tc>
        <w:tc>
          <w:tcPr>
            <w:tcW w:w="606" w:type="pct"/>
            <w:tcBorders>
              <w:top w:val="double" w:sz="4" w:space="0" w:color="auto"/>
              <w:bottom w:val="double" w:sz="4" w:space="0" w:color="auto"/>
            </w:tcBorders>
            <w:shd w:val="clear" w:color="auto" w:fill="FFFFFF" w:themeFill="background1"/>
          </w:tcPr>
          <w:p w14:paraId="58E34241" w14:textId="77777777" w:rsidR="00D704FB" w:rsidRPr="009A613C" w:rsidRDefault="00D704FB" w:rsidP="00941C89">
            <w:pPr>
              <w:shd w:val="clear" w:color="auto" w:fill="FFFFFF" w:themeFill="background1"/>
              <w:jc w:val="center"/>
              <w:rPr>
                <w:rFonts w:cstheme="minorHAnsi"/>
              </w:rPr>
            </w:pPr>
            <w:r w:rsidRPr="009A613C">
              <w:rPr>
                <w:rFonts w:cstheme="minorHAnsi"/>
              </w:rPr>
              <w:t>0</w:t>
            </w:r>
          </w:p>
        </w:tc>
        <w:tc>
          <w:tcPr>
            <w:tcW w:w="606" w:type="pct"/>
            <w:tcBorders>
              <w:top w:val="double" w:sz="4" w:space="0" w:color="auto"/>
              <w:bottom w:val="double" w:sz="4" w:space="0" w:color="auto"/>
            </w:tcBorders>
            <w:shd w:val="clear" w:color="auto" w:fill="FFFFFF" w:themeFill="background1"/>
          </w:tcPr>
          <w:p w14:paraId="21719CFE" w14:textId="77777777" w:rsidR="00D704FB" w:rsidRPr="00A25628" w:rsidRDefault="00D704FB" w:rsidP="00941C89">
            <w:pPr>
              <w:shd w:val="clear" w:color="auto" w:fill="FFFFFF" w:themeFill="background1"/>
              <w:jc w:val="center"/>
              <w:rPr>
                <w:rFonts w:cstheme="minorHAnsi"/>
                <w:highlight w:val="yellow"/>
              </w:rPr>
            </w:pPr>
            <w:r w:rsidRPr="007A5E95">
              <w:rPr>
                <w:rFonts w:cstheme="minorHAnsi"/>
              </w:rPr>
              <w:t>1</w:t>
            </w:r>
          </w:p>
        </w:tc>
        <w:tc>
          <w:tcPr>
            <w:tcW w:w="606" w:type="pct"/>
            <w:tcBorders>
              <w:top w:val="double" w:sz="4" w:space="0" w:color="auto"/>
              <w:bottom w:val="double" w:sz="4" w:space="0" w:color="auto"/>
              <w:right w:val="double" w:sz="4" w:space="0" w:color="auto"/>
            </w:tcBorders>
            <w:shd w:val="clear" w:color="auto" w:fill="FFFFFF" w:themeFill="background1"/>
          </w:tcPr>
          <w:p w14:paraId="1EA08CE6" w14:textId="77777777" w:rsidR="00D704FB" w:rsidRPr="00A25628" w:rsidRDefault="00D704FB" w:rsidP="00941C89">
            <w:pPr>
              <w:shd w:val="clear" w:color="auto" w:fill="FFFFFF" w:themeFill="background1"/>
              <w:jc w:val="center"/>
              <w:rPr>
                <w:rFonts w:cstheme="minorHAnsi"/>
                <w:highlight w:val="yellow"/>
              </w:rPr>
            </w:pPr>
            <w:r w:rsidRPr="007A5E95">
              <w:rPr>
                <w:rFonts w:cstheme="minorHAnsi"/>
              </w:rPr>
              <w:t>2</w:t>
            </w:r>
          </w:p>
        </w:tc>
      </w:tr>
    </w:tbl>
    <w:p w14:paraId="6FC79F2D" w14:textId="2E27FEA8" w:rsidR="00DF1F2B" w:rsidRPr="009A613C" w:rsidRDefault="00DF1F2B" w:rsidP="009006C0">
      <w:pPr>
        <w:jc w:val="both"/>
      </w:pPr>
    </w:p>
    <w:p w14:paraId="34FD64D0" w14:textId="3D7D7C50" w:rsidR="004F6A83" w:rsidRPr="009A613C" w:rsidRDefault="004F6A83" w:rsidP="002D702C">
      <w:pPr>
        <w:pStyle w:val="Heading3"/>
        <w:numPr>
          <w:ilvl w:val="1"/>
          <w:numId w:val="12"/>
        </w:numPr>
        <w:spacing w:after="240"/>
        <w:jc w:val="center"/>
      </w:pPr>
      <w:bookmarkStart w:id="49" w:name="_Toc156937977"/>
      <w:r w:rsidRPr="009A613C">
        <w:t xml:space="preserve">Pristup pravdi po mjeri </w:t>
      </w:r>
      <w:r w:rsidR="006778CC" w:rsidRPr="009A613C">
        <w:t>djeteta</w:t>
      </w:r>
      <w:bookmarkEnd w:id="49"/>
    </w:p>
    <w:p w14:paraId="453239A9" w14:textId="55E60AE9" w:rsidR="00D448ED" w:rsidRDefault="006740E5" w:rsidP="006740E5">
      <w:pPr>
        <w:jc w:val="both"/>
      </w:pPr>
      <w:r>
        <w:t xml:space="preserve">Zaštita djece u kontaktu sa zakonom predstavlja jednu od oblasti međunarodnog prava u kojoj se standardi najbrže razvijaju, a time generišu i potrebu stalnog unaprjeđenja nacionalnog zakonodavstva, institucionalnog okvira, ali i profesionalnih i infrastrukturnih kapaciteta neophodnih za primjenu tih standarda u praksi. </w:t>
      </w:r>
    </w:p>
    <w:p w14:paraId="061BDA41" w14:textId="5AB2472F" w:rsidR="006740E5" w:rsidRDefault="006740E5" w:rsidP="006740E5">
      <w:pPr>
        <w:jc w:val="both"/>
      </w:pPr>
      <w:r>
        <w:t xml:space="preserve">Imajući u vidu da je u periodu sprovođenja prethodne Strategije ostvaren ograničen napredak </w:t>
      </w:r>
      <w:r w:rsidR="005D19F4">
        <w:t>u ovoj oblasti, tokom sprovođenja Strategije neophodno je završiti proces izmjena zakona i uskladiti prateće podzakonske akte.</w:t>
      </w:r>
    </w:p>
    <w:p w14:paraId="3258D92C" w14:textId="1CCB44ED" w:rsidR="005D19F4" w:rsidRDefault="005D19F4" w:rsidP="006740E5">
      <w:pPr>
        <w:jc w:val="both"/>
      </w:pPr>
      <w:r w:rsidRPr="00F5656C">
        <w:t xml:space="preserve">Kako je adekvatno ostvarivanje najboljeg interesa </w:t>
      </w:r>
      <w:r w:rsidR="006778CC" w:rsidRPr="00F5656C">
        <w:t>djeteta</w:t>
      </w:r>
      <w:r w:rsidRPr="00F5656C">
        <w:t xml:space="preserve"> u </w:t>
      </w:r>
      <w:r w:rsidR="00AF47A8" w:rsidRPr="00F5656C">
        <w:t xml:space="preserve">sudskim postupcima nemoguće bez stručnog i profesionalnog odnosa aktera postupka, </w:t>
      </w:r>
      <w:r w:rsidR="006402B2" w:rsidRPr="00F5656C">
        <w:t xml:space="preserve">izmjene normativnog okvira biće praćene organizacijom obuka za policajce, </w:t>
      </w:r>
      <w:r w:rsidR="00D35425">
        <w:t xml:space="preserve">državne </w:t>
      </w:r>
      <w:r w:rsidR="006402B2" w:rsidRPr="00F5656C">
        <w:t>tužioce</w:t>
      </w:r>
      <w:r w:rsidR="000E1D8D" w:rsidRPr="00F5656C">
        <w:t>,</w:t>
      </w:r>
      <w:r w:rsidR="006402B2" w:rsidRPr="00F5656C">
        <w:t xml:space="preserve"> sudije</w:t>
      </w:r>
      <w:r w:rsidR="000E1D8D">
        <w:t>,</w:t>
      </w:r>
      <w:r w:rsidR="000E1D8D" w:rsidRPr="00F5656C">
        <w:t xml:space="preserve"> advokate</w:t>
      </w:r>
      <w:r w:rsidR="000E1D8D">
        <w:t xml:space="preserve"> i sudske vještake</w:t>
      </w:r>
      <w:r w:rsidR="006402B2" w:rsidRPr="00F5656C">
        <w:t xml:space="preserve"> koji postupaju u postupcima koji se vode prema maloljetnicima.</w:t>
      </w:r>
    </w:p>
    <w:p w14:paraId="1E6A764B" w14:textId="2012331A" w:rsidR="006402B2" w:rsidRDefault="006402B2" w:rsidP="006740E5">
      <w:pPr>
        <w:jc w:val="both"/>
      </w:pPr>
      <w:r>
        <w:lastRenderedPageBreak/>
        <w:t xml:space="preserve">Kako pravda po mjeri </w:t>
      </w:r>
      <w:r w:rsidR="006778CC">
        <w:t>djeteta</w:t>
      </w:r>
      <w:r>
        <w:t xml:space="preserve"> nije ograničena samo na krivično pravosuđe (iako ono čini značajan segment ovog koncepta), neophodan je nastavak unaprjeđenja pravosudne infrastrukture i to u dva smjera:</w:t>
      </w:r>
    </w:p>
    <w:p w14:paraId="71BDCE48" w14:textId="1EBAB9AB" w:rsidR="006402B2" w:rsidRDefault="006402B2">
      <w:pPr>
        <w:pStyle w:val="ListParagraph"/>
        <w:numPr>
          <w:ilvl w:val="0"/>
          <w:numId w:val="2"/>
        </w:numPr>
        <w:jc w:val="both"/>
      </w:pPr>
      <w:r>
        <w:t>Preuređenje posebnih prostorija za ispitivanje maloljetnih žrtava i svjedoka</w:t>
      </w:r>
    </w:p>
    <w:p w14:paraId="2DF64033" w14:textId="75AB6AAB" w:rsidR="006402B2" w:rsidRPr="009A613C" w:rsidRDefault="006402B2">
      <w:pPr>
        <w:pStyle w:val="ListParagraph"/>
        <w:numPr>
          <w:ilvl w:val="0"/>
          <w:numId w:val="2"/>
        </w:numPr>
        <w:jc w:val="both"/>
      </w:pPr>
      <w:r>
        <w:t>Omogućavanje svjedočenja posredstvom tehničkih sredstava za prenos slike i zvuka (video link)</w:t>
      </w:r>
    </w:p>
    <w:p w14:paraId="604FB1EE" w14:textId="59AAF505" w:rsidR="00374873" w:rsidRPr="009A613C" w:rsidRDefault="00D448ED" w:rsidP="00D448ED">
      <w:pPr>
        <w:jc w:val="center"/>
      </w:pPr>
      <w:r w:rsidRPr="009A613C">
        <w:rPr>
          <w:i/>
          <w:iCs/>
          <w:sz w:val="20"/>
          <w:szCs w:val="20"/>
        </w:rPr>
        <w:t>Tabela</w:t>
      </w:r>
      <w:r w:rsidR="00072761">
        <w:rPr>
          <w:i/>
          <w:iCs/>
          <w:sz w:val="20"/>
          <w:szCs w:val="20"/>
        </w:rPr>
        <w:t xml:space="preserve"> 25</w:t>
      </w:r>
      <w:r w:rsidRPr="009A613C">
        <w:rPr>
          <w:i/>
          <w:iCs/>
          <w:sz w:val="20"/>
          <w:szCs w:val="20"/>
        </w:rPr>
        <w:t>:</w:t>
      </w:r>
      <w:r w:rsidR="00072761">
        <w:rPr>
          <w:i/>
          <w:iCs/>
          <w:sz w:val="20"/>
          <w:szCs w:val="20"/>
        </w:rPr>
        <w:t xml:space="preserve"> Indikatori realizacije Operativnog cilja 3.5.</w:t>
      </w:r>
    </w:p>
    <w:tbl>
      <w:tblPr>
        <w:tblStyle w:val="TableGrid"/>
        <w:tblW w:w="4857" w:type="pct"/>
        <w:tblInd w:w="279" w:type="dxa"/>
        <w:tblLayout w:type="fixed"/>
        <w:tblLook w:val="04A0" w:firstRow="1" w:lastRow="0" w:firstColumn="1" w:lastColumn="0" w:noHBand="0" w:noVBand="1"/>
      </w:tblPr>
      <w:tblGrid>
        <w:gridCol w:w="2269"/>
        <w:gridCol w:w="3402"/>
        <w:gridCol w:w="1134"/>
        <w:gridCol w:w="1134"/>
        <w:gridCol w:w="1134"/>
      </w:tblGrid>
      <w:tr w:rsidR="00374873" w:rsidRPr="009A613C" w14:paraId="3A3A2CCA" w14:textId="77777777" w:rsidTr="007E7546">
        <w:trPr>
          <w:trHeight w:val="575"/>
        </w:trPr>
        <w:tc>
          <w:tcPr>
            <w:tcW w:w="1250" w:type="pct"/>
            <w:tcBorders>
              <w:top w:val="double" w:sz="4" w:space="0" w:color="auto"/>
            </w:tcBorders>
            <w:shd w:val="clear" w:color="auto" w:fill="FBE4D5" w:themeFill="accent2" w:themeFillTint="33"/>
          </w:tcPr>
          <w:p w14:paraId="118325DC" w14:textId="77777777" w:rsidR="00374873" w:rsidRPr="009A613C" w:rsidRDefault="00374873" w:rsidP="00374873">
            <w:pPr>
              <w:rPr>
                <w:rFonts w:cstheme="minorHAnsi"/>
              </w:rPr>
            </w:pPr>
            <w:r w:rsidRPr="009A613C">
              <w:rPr>
                <w:rFonts w:cstheme="minorHAnsi"/>
              </w:rPr>
              <w:t xml:space="preserve">Operativni </w:t>
            </w:r>
          </w:p>
          <w:p w14:paraId="1EC60E56" w14:textId="6F501607" w:rsidR="00374873" w:rsidRPr="009A613C" w:rsidRDefault="00374873" w:rsidP="00374873">
            <w:pPr>
              <w:rPr>
                <w:rFonts w:cstheme="minorHAnsi"/>
              </w:rPr>
            </w:pPr>
            <w:r w:rsidRPr="009A613C">
              <w:rPr>
                <w:rFonts w:cstheme="minorHAnsi"/>
              </w:rPr>
              <w:t>cilj</w:t>
            </w:r>
          </w:p>
        </w:tc>
        <w:tc>
          <w:tcPr>
            <w:tcW w:w="1875" w:type="pct"/>
            <w:tcBorders>
              <w:top w:val="double" w:sz="4" w:space="0" w:color="auto"/>
            </w:tcBorders>
            <w:shd w:val="clear" w:color="auto" w:fill="FBE4D5" w:themeFill="accent2" w:themeFillTint="33"/>
          </w:tcPr>
          <w:p w14:paraId="2F20B7A9" w14:textId="6E69F1B7" w:rsidR="00374873" w:rsidRPr="009A613C" w:rsidRDefault="00374873" w:rsidP="00374873">
            <w:pPr>
              <w:rPr>
                <w:rFonts w:cstheme="minorHAnsi"/>
              </w:rPr>
            </w:pPr>
            <w:r w:rsidRPr="009A613C">
              <w:t>Indikator učinka</w:t>
            </w:r>
          </w:p>
        </w:tc>
        <w:tc>
          <w:tcPr>
            <w:tcW w:w="625" w:type="pct"/>
            <w:tcBorders>
              <w:top w:val="double" w:sz="4" w:space="0" w:color="auto"/>
            </w:tcBorders>
            <w:shd w:val="clear" w:color="auto" w:fill="FBE4D5" w:themeFill="accent2" w:themeFillTint="33"/>
          </w:tcPr>
          <w:p w14:paraId="18F00EE3" w14:textId="77777777" w:rsidR="00374873" w:rsidRDefault="00374873" w:rsidP="00374873">
            <w:r w:rsidRPr="009A613C">
              <w:t>Početna vrijed</w:t>
            </w:r>
            <w:r w:rsidR="007E7546" w:rsidRPr="009A613C">
              <w:t>n</w:t>
            </w:r>
            <w:r w:rsidRPr="009A613C">
              <w:t>ost</w:t>
            </w:r>
          </w:p>
          <w:p w14:paraId="15328DA3" w14:textId="5E812CDB" w:rsidR="00BC2B8D" w:rsidRPr="009A613C" w:rsidRDefault="00BC2B8D" w:rsidP="00374873">
            <w:pPr>
              <w:rPr>
                <w:rFonts w:cstheme="minorHAnsi"/>
              </w:rPr>
            </w:pPr>
            <w:r>
              <w:t>2023.</w:t>
            </w:r>
          </w:p>
        </w:tc>
        <w:tc>
          <w:tcPr>
            <w:tcW w:w="625" w:type="pct"/>
            <w:tcBorders>
              <w:top w:val="double" w:sz="4" w:space="0" w:color="auto"/>
            </w:tcBorders>
            <w:shd w:val="clear" w:color="auto" w:fill="FBE4D5" w:themeFill="accent2" w:themeFillTint="33"/>
          </w:tcPr>
          <w:p w14:paraId="4F706561" w14:textId="30ABB84E" w:rsidR="00374873" w:rsidRPr="009A613C" w:rsidRDefault="00374873" w:rsidP="00374873">
            <w:pPr>
              <w:rPr>
                <w:rFonts w:cstheme="minorHAnsi"/>
              </w:rPr>
            </w:pPr>
            <w:r w:rsidRPr="009A613C">
              <w:t>Ciljana vrijednost 2025.</w:t>
            </w:r>
          </w:p>
        </w:tc>
        <w:tc>
          <w:tcPr>
            <w:tcW w:w="625" w:type="pct"/>
            <w:tcBorders>
              <w:top w:val="double" w:sz="4" w:space="0" w:color="auto"/>
              <w:right w:val="double" w:sz="4" w:space="0" w:color="auto"/>
            </w:tcBorders>
            <w:shd w:val="clear" w:color="auto" w:fill="FBE4D5" w:themeFill="accent2" w:themeFillTint="33"/>
          </w:tcPr>
          <w:p w14:paraId="25EE18CD" w14:textId="46CA4F71" w:rsidR="00374873" w:rsidRPr="009A613C" w:rsidRDefault="00374873" w:rsidP="00374873">
            <w:pPr>
              <w:rPr>
                <w:rFonts w:cstheme="minorHAnsi"/>
              </w:rPr>
            </w:pPr>
            <w:r w:rsidRPr="009A613C">
              <w:t>Ciljana vrijednost 2027.</w:t>
            </w:r>
          </w:p>
        </w:tc>
      </w:tr>
      <w:tr w:rsidR="00C230C7" w:rsidRPr="009A613C" w14:paraId="110BB290" w14:textId="77777777" w:rsidTr="007E7546">
        <w:trPr>
          <w:trHeight w:val="254"/>
        </w:trPr>
        <w:tc>
          <w:tcPr>
            <w:tcW w:w="1250" w:type="pct"/>
            <w:vMerge w:val="restart"/>
            <w:tcBorders>
              <w:top w:val="double" w:sz="4" w:space="0" w:color="auto"/>
            </w:tcBorders>
            <w:shd w:val="clear" w:color="auto" w:fill="E2EFD9" w:themeFill="accent6" w:themeFillTint="33"/>
          </w:tcPr>
          <w:p w14:paraId="422E8D49" w14:textId="77777777" w:rsidR="00C230C7" w:rsidRPr="009A5BFE" w:rsidRDefault="00C230C7" w:rsidP="00374873">
            <w:pPr>
              <w:rPr>
                <w:rFonts w:cstheme="minorHAnsi"/>
              </w:rPr>
            </w:pPr>
            <w:r w:rsidRPr="009A5BFE">
              <w:rPr>
                <w:rFonts w:cstheme="minorHAnsi"/>
              </w:rPr>
              <w:t>3.5.</w:t>
            </w:r>
          </w:p>
          <w:p w14:paraId="1A8B1578" w14:textId="0EEF0622" w:rsidR="00C230C7" w:rsidRPr="009A5BFE" w:rsidRDefault="00C230C7" w:rsidP="00A25628">
            <w:pPr>
              <w:jc w:val="both"/>
              <w:rPr>
                <w:rFonts w:cstheme="minorHAnsi"/>
              </w:rPr>
            </w:pPr>
            <w:r w:rsidRPr="009A5BFE">
              <w:rPr>
                <w:rFonts w:cstheme="minorHAnsi"/>
              </w:rPr>
              <w:t xml:space="preserve">Pristup pravdi po mjeri djeteta </w:t>
            </w:r>
          </w:p>
        </w:tc>
        <w:tc>
          <w:tcPr>
            <w:tcW w:w="1875" w:type="pct"/>
            <w:tcBorders>
              <w:top w:val="double" w:sz="4" w:space="0" w:color="auto"/>
              <w:bottom w:val="double" w:sz="4" w:space="0" w:color="auto"/>
            </w:tcBorders>
            <w:shd w:val="clear" w:color="auto" w:fill="FFFFFF" w:themeFill="background1"/>
          </w:tcPr>
          <w:p w14:paraId="64C3511E" w14:textId="4C282266" w:rsidR="00C230C7" w:rsidRPr="009A5BFE" w:rsidRDefault="001321B0" w:rsidP="00374873">
            <w:pPr>
              <w:jc w:val="both"/>
              <w:rPr>
                <w:rFonts w:cstheme="minorHAnsi"/>
              </w:rPr>
            </w:pPr>
            <w:r w:rsidRPr="009A5BFE">
              <w:rPr>
                <w:rFonts w:cstheme="minorHAnsi"/>
              </w:rPr>
              <w:t>Unaprijeđen</w:t>
            </w:r>
            <w:r w:rsidR="00C230C7" w:rsidRPr="009A5BFE">
              <w:rPr>
                <w:rFonts w:cstheme="minorHAnsi"/>
              </w:rPr>
              <w:t xml:space="preserve"> nivo usklađenosti normativnog okvira Crne Gore (Zakon o postupanju prema maloljetnicima u krivičnom postupku i prateći podzakonski akti) sa relevantnim međunarodnim standardima u oblasti pravde po mjeri </w:t>
            </w:r>
            <w:r w:rsidR="003D59A3" w:rsidRPr="009A5BFE">
              <w:rPr>
                <w:rFonts w:cstheme="minorHAnsi"/>
              </w:rPr>
              <w:t>djeteta</w:t>
            </w:r>
          </w:p>
        </w:tc>
        <w:tc>
          <w:tcPr>
            <w:tcW w:w="625" w:type="pct"/>
            <w:tcBorders>
              <w:top w:val="double" w:sz="4" w:space="0" w:color="auto"/>
              <w:bottom w:val="double" w:sz="4" w:space="0" w:color="auto"/>
            </w:tcBorders>
            <w:shd w:val="clear" w:color="auto" w:fill="FFFFFF" w:themeFill="background1"/>
          </w:tcPr>
          <w:p w14:paraId="340BD267" w14:textId="220928B4" w:rsidR="00C230C7" w:rsidRPr="009A613C" w:rsidRDefault="00C230C7" w:rsidP="00374873">
            <w:pPr>
              <w:shd w:val="clear" w:color="auto" w:fill="FFFFFF" w:themeFill="background1"/>
              <w:jc w:val="center"/>
              <w:rPr>
                <w:rFonts w:cstheme="minorHAnsi"/>
              </w:rPr>
            </w:pPr>
            <w:r>
              <w:rPr>
                <w:rFonts w:cstheme="minorHAnsi"/>
              </w:rPr>
              <w:t>Djelimično usklađen</w:t>
            </w:r>
          </w:p>
        </w:tc>
        <w:tc>
          <w:tcPr>
            <w:tcW w:w="625" w:type="pct"/>
            <w:tcBorders>
              <w:top w:val="double" w:sz="4" w:space="0" w:color="auto"/>
              <w:bottom w:val="double" w:sz="4" w:space="0" w:color="auto"/>
            </w:tcBorders>
            <w:shd w:val="clear" w:color="auto" w:fill="FFFFFF" w:themeFill="background1"/>
          </w:tcPr>
          <w:p w14:paraId="44937F7A" w14:textId="6FB43C1B" w:rsidR="00C230C7" w:rsidRPr="00851D41" w:rsidRDefault="00C230C7" w:rsidP="00374873">
            <w:pPr>
              <w:shd w:val="clear" w:color="auto" w:fill="FFFFFF" w:themeFill="background1"/>
              <w:jc w:val="center"/>
              <w:rPr>
                <w:rFonts w:cstheme="minorHAnsi"/>
              </w:rPr>
            </w:pPr>
            <w:r w:rsidRPr="00F5656C">
              <w:rPr>
                <w:rFonts w:cstheme="minorHAnsi"/>
              </w:rPr>
              <w:t>Djelimično usklađen</w:t>
            </w:r>
          </w:p>
        </w:tc>
        <w:tc>
          <w:tcPr>
            <w:tcW w:w="625" w:type="pct"/>
            <w:tcBorders>
              <w:top w:val="double" w:sz="4" w:space="0" w:color="auto"/>
              <w:bottom w:val="double" w:sz="4" w:space="0" w:color="auto"/>
              <w:right w:val="double" w:sz="4" w:space="0" w:color="auto"/>
            </w:tcBorders>
            <w:shd w:val="clear" w:color="auto" w:fill="FFFFFF" w:themeFill="background1"/>
          </w:tcPr>
          <w:p w14:paraId="698E3ECA" w14:textId="5B0EA614" w:rsidR="00C230C7" w:rsidRPr="009A613C" w:rsidRDefault="00C230C7" w:rsidP="00374873">
            <w:pPr>
              <w:shd w:val="clear" w:color="auto" w:fill="FFFFFF" w:themeFill="background1"/>
              <w:jc w:val="center"/>
              <w:rPr>
                <w:rFonts w:cstheme="minorHAnsi"/>
              </w:rPr>
            </w:pPr>
            <w:r>
              <w:rPr>
                <w:rFonts w:cstheme="minorHAnsi"/>
              </w:rPr>
              <w:t>Potpuno usklađen</w:t>
            </w:r>
          </w:p>
        </w:tc>
      </w:tr>
      <w:tr w:rsidR="00AF47A8" w:rsidRPr="009A613C" w14:paraId="1121CE63" w14:textId="77777777" w:rsidTr="007E7546">
        <w:trPr>
          <w:trHeight w:val="254"/>
        </w:trPr>
        <w:tc>
          <w:tcPr>
            <w:tcW w:w="1250" w:type="pct"/>
            <w:vMerge/>
            <w:tcBorders>
              <w:top w:val="double" w:sz="4" w:space="0" w:color="auto"/>
            </w:tcBorders>
            <w:shd w:val="clear" w:color="auto" w:fill="E2EFD9" w:themeFill="accent6" w:themeFillTint="33"/>
          </w:tcPr>
          <w:p w14:paraId="24D9FCF3" w14:textId="77777777" w:rsidR="00AF47A8" w:rsidRPr="009A5BFE" w:rsidRDefault="00AF47A8"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59C9BD75" w14:textId="543A473B" w:rsidR="00AF47A8" w:rsidRPr="00F5656C" w:rsidRDefault="00AF47A8" w:rsidP="00374873">
            <w:pPr>
              <w:jc w:val="both"/>
              <w:rPr>
                <w:rFonts w:cstheme="minorHAnsi"/>
              </w:rPr>
            </w:pPr>
            <w:r w:rsidRPr="00F5656C">
              <w:rPr>
                <w:rFonts w:cstheme="minorHAnsi"/>
              </w:rPr>
              <w:t xml:space="preserve">Procenat </w:t>
            </w:r>
            <w:r w:rsidR="00857707">
              <w:rPr>
                <w:rFonts w:cstheme="minorHAnsi"/>
              </w:rPr>
              <w:t xml:space="preserve">državnih </w:t>
            </w:r>
            <w:r w:rsidRPr="00F5656C">
              <w:rPr>
                <w:rFonts w:cstheme="minorHAnsi"/>
              </w:rPr>
              <w:t>tužilaca za maloljetnike obučenih za primjenu izmjenjenog normativnog okvira</w:t>
            </w:r>
          </w:p>
        </w:tc>
        <w:tc>
          <w:tcPr>
            <w:tcW w:w="625" w:type="pct"/>
            <w:tcBorders>
              <w:top w:val="double" w:sz="4" w:space="0" w:color="auto"/>
              <w:bottom w:val="double" w:sz="4" w:space="0" w:color="auto"/>
            </w:tcBorders>
            <w:shd w:val="clear" w:color="auto" w:fill="FFFFFF" w:themeFill="background1"/>
          </w:tcPr>
          <w:p w14:paraId="2B7620C6" w14:textId="6233FE1C" w:rsidR="00AF47A8" w:rsidRDefault="008270AB" w:rsidP="00374873">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6DD41BA7" w14:textId="1676B19D" w:rsidR="00AF47A8" w:rsidRPr="00F5656C" w:rsidRDefault="008649C4" w:rsidP="00374873">
            <w:pPr>
              <w:shd w:val="clear" w:color="auto" w:fill="FFFFFF" w:themeFill="background1"/>
              <w:jc w:val="center"/>
              <w:rPr>
                <w:rFonts w:cstheme="minorHAnsi"/>
              </w:rPr>
            </w:pPr>
            <w:r>
              <w:rPr>
                <w:rFonts w:cstheme="minorHAnsi"/>
              </w:rPr>
              <w:t>3</w:t>
            </w:r>
            <w:r w:rsidR="008270AB" w:rsidRPr="00F5656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7D35B9B2" w14:textId="1188880A" w:rsidR="00AF47A8" w:rsidRDefault="008270AB" w:rsidP="00374873">
            <w:pPr>
              <w:shd w:val="clear" w:color="auto" w:fill="FFFFFF" w:themeFill="background1"/>
              <w:jc w:val="center"/>
              <w:rPr>
                <w:rFonts w:cstheme="minorHAnsi"/>
              </w:rPr>
            </w:pPr>
            <w:r>
              <w:rPr>
                <w:rFonts w:cstheme="minorHAnsi"/>
              </w:rPr>
              <w:t>100%</w:t>
            </w:r>
          </w:p>
        </w:tc>
      </w:tr>
      <w:tr w:rsidR="00AF47A8" w:rsidRPr="009A613C" w14:paraId="6726BDAA" w14:textId="77777777" w:rsidTr="007E7546">
        <w:trPr>
          <w:trHeight w:val="254"/>
        </w:trPr>
        <w:tc>
          <w:tcPr>
            <w:tcW w:w="1250" w:type="pct"/>
            <w:vMerge/>
            <w:tcBorders>
              <w:top w:val="double" w:sz="4" w:space="0" w:color="auto"/>
            </w:tcBorders>
            <w:shd w:val="clear" w:color="auto" w:fill="E2EFD9" w:themeFill="accent6" w:themeFillTint="33"/>
          </w:tcPr>
          <w:p w14:paraId="1DC759A0" w14:textId="77777777" w:rsidR="00AF47A8" w:rsidRPr="009A5BFE" w:rsidRDefault="00AF47A8"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03C5FF9C" w14:textId="6BE230EE" w:rsidR="00AF47A8" w:rsidRPr="00F5656C" w:rsidRDefault="00AF47A8" w:rsidP="00374873">
            <w:pPr>
              <w:jc w:val="both"/>
              <w:rPr>
                <w:rFonts w:cstheme="minorHAnsi"/>
              </w:rPr>
            </w:pPr>
            <w:r w:rsidRPr="00F5656C">
              <w:rPr>
                <w:rFonts w:cstheme="minorHAnsi"/>
              </w:rPr>
              <w:t>Procenat sudija za maloljetnike obučenih za primjenu izmjenjenog normativnog okvira</w:t>
            </w:r>
          </w:p>
        </w:tc>
        <w:tc>
          <w:tcPr>
            <w:tcW w:w="625" w:type="pct"/>
            <w:tcBorders>
              <w:top w:val="double" w:sz="4" w:space="0" w:color="auto"/>
              <w:bottom w:val="double" w:sz="4" w:space="0" w:color="auto"/>
            </w:tcBorders>
            <w:shd w:val="clear" w:color="auto" w:fill="FFFFFF" w:themeFill="background1"/>
          </w:tcPr>
          <w:p w14:paraId="5DEBA4CA" w14:textId="13EC5C8F" w:rsidR="00AF47A8" w:rsidRDefault="008270AB" w:rsidP="00374873">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341DBE2A" w14:textId="2C8C89B3" w:rsidR="00AF47A8" w:rsidRPr="00F5656C" w:rsidRDefault="008649C4" w:rsidP="00374873">
            <w:pPr>
              <w:shd w:val="clear" w:color="auto" w:fill="FFFFFF" w:themeFill="background1"/>
              <w:jc w:val="center"/>
              <w:rPr>
                <w:rFonts w:cstheme="minorHAnsi"/>
              </w:rPr>
            </w:pPr>
            <w:r>
              <w:rPr>
                <w:rFonts w:cstheme="minorHAnsi"/>
              </w:rPr>
              <w:t>3</w:t>
            </w:r>
            <w:r w:rsidR="008270AB" w:rsidRPr="00F5656C">
              <w:rPr>
                <w:rFonts w:cstheme="minorHAnsi"/>
              </w:rPr>
              <w:t>0%</w:t>
            </w:r>
          </w:p>
        </w:tc>
        <w:tc>
          <w:tcPr>
            <w:tcW w:w="625" w:type="pct"/>
            <w:tcBorders>
              <w:top w:val="double" w:sz="4" w:space="0" w:color="auto"/>
              <w:bottom w:val="double" w:sz="4" w:space="0" w:color="auto"/>
              <w:right w:val="double" w:sz="4" w:space="0" w:color="auto"/>
            </w:tcBorders>
            <w:shd w:val="clear" w:color="auto" w:fill="FFFFFF" w:themeFill="background1"/>
          </w:tcPr>
          <w:p w14:paraId="7415107F" w14:textId="5B050141" w:rsidR="00AF47A8" w:rsidRDefault="008270AB" w:rsidP="00374873">
            <w:pPr>
              <w:shd w:val="clear" w:color="auto" w:fill="FFFFFF" w:themeFill="background1"/>
              <w:jc w:val="center"/>
              <w:rPr>
                <w:rFonts w:cstheme="minorHAnsi"/>
              </w:rPr>
            </w:pPr>
            <w:r>
              <w:rPr>
                <w:rFonts w:cstheme="minorHAnsi"/>
              </w:rPr>
              <w:t>100%</w:t>
            </w:r>
          </w:p>
        </w:tc>
      </w:tr>
      <w:tr w:rsidR="00AF47A8" w:rsidRPr="009A613C" w14:paraId="77EC2D32" w14:textId="77777777" w:rsidTr="007E7546">
        <w:trPr>
          <w:trHeight w:val="254"/>
        </w:trPr>
        <w:tc>
          <w:tcPr>
            <w:tcW w:w="1250" w:type="pct"/>
            <w:vMerge/>
            <w:tcBorders>
              <w:top w:val="double" w:sz="4" w:space="0" w:color="auto"/>
            </w:tcBorders>
            <w:shd w:val="clear" w:color="auto" w:fill="E2EFD9" w:themeFill="accent6" w:themeFillTint="33"/>
          </w:tcPr>
          <w:p w14:paraId="2722E4AA" w14:textId="77777777" w:rsidR="00AF47A8" w:rsidRPr="009A5BFE" w:rsidRDefault="00AF47A8"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00AB0D14" w14:textId="5F7C0F6C" w:rsidR="00AF47A8" w:rsidRDefault="00AF47A8" w:rsidP="00374873">
            <w:pPr>
              <w:jc w:val="both"/>
              <w:rPr>
                <w:rFonts w:cstheme="minorHAnsi"/>
              </w:rPr>
            </w:pPr>
            <w:r>
              <w:rPr>
                <w:rFonts w:cstheme="minorHAnsi"/>
              </w:rPr>
              <w:t>Procenat policajaca za maloljetnike obučenih za primjenu izmjenjenog normativnog okvira</w:t>
            </w:r>
          </w:p>
        </w:tc>
        <w:tc>
          <w:tcPr>
            <w:tcW w:w="625" w:type="pct"/>
            <w:tcBorders>
              <w:top w:val="double" w:sz="4" w:space="0" w:color="auto"/>
              <w:bottom w:val="double" w:sz="4" w:space="0" w:color="auto"/>
            </w:tcBorders>
            <w:shd w:val="clear" w:color="auto" w:fill="FFFFFF" w:themeFill="background1"/>
          </w:tcPr>
          <w:p w14:paraId="3D215809" w14:textId="6DA799DC" w:rsidR="00AF47A8" w:rsidRDefault="008270AB" w:rsidP="00374873">
            <w:pPr>
              <w:shd w:val="clear" w:color="auto" w:fill="FFFFFF" w:themeFill="background1"/>
              <w:jc w:val="center"/>
              <w:rPr>
                <w:rFonts w:cstheme="minorHAnsi"/>
              </w:rPr>
            </w:pPr>
            <w:r>
              <w:rPr>
                <w:rFonts w:cstheme="minorHAnsi"/>
              </w:rPr>
              <w:t>0%</w:t>
            </w:r>
          </w:p>
        </w:tc>
        <w:tc>
          <w:tcPr>
            <w:tcW w:w="625" w:type="pct"/>
            <w:tcBorders>
              <w:top w:val="double" w:sz="4" w:space="0" w:color="auto"/>
              <w:bottom w:val="double" w:sz="4" w:space="0" w:color="auto"/>
            </w:tcBorders>
            <w:shd w:val="clear" w:color="auto" w:fill="FFFFFF" w:themeFill="background1"/>
          </w:tcPr>
          <w:p w14:paraId="433B2BB6" w14:textId="73A4F828" w:rsidR="00AF47A8" w:rsidRPr="00F5656C" w:rsidRDefault="008270AB" w:rsidP="00374873">
            <w:pPr>
              <w:shd w:val="clear" w:color="auto" w:fill="FFFFFF" w:themeFill="background1"/>
              <w:jc w:val="center"/>
              <w:rPr>
                <w:rFonts w:cstheme="minorHAnsi"/>
              </w:rPr>
            </w:pPr>
            <w:r w:rsidRPr="00F5656C">
              <w:rPr>
                <w:rFonts w:cstheme="minorHAnsi"/>
              </w:rPr>
              <w:t>50%</w:t>
            </w:r>
          </w:p>
        </w:tc>
        <w:tc>
          <w:tcPr>
            <w:tcW w:w="625" w:type="pct"/>
            <w:tcBorders>
              <w:top w:val="double" w:sz="4" w:space="0" w:color="auto"/>
              <w:bottom w:val="double" w:sz="4" w:space="0" w:color="auto"/>
              <w:right w:val="double" w:sz="4" w:space="0" w:color="auto"/>
            </w:tcBorders>
            <w:shd w:val="clear" w:color="auto" w:fill="FFFFFF" w:themeFill="background1"/>
          </w:tcPr>
          <w:p w14:paraId="5008AD46" w14:textId="6A0E0AA1" w:rsidR="00AF47A8" w:rsidRDefault="008270AB" w:rsidP="00374873">
            <w:pPr>
              <w:shd w:val="clear" w:color="auto" w:fill="FFFFFF" w:themeFill="background1"/>
              <w:jc w:val="center"/>
              <w:rPr>
                <w:rFonts w:cstheme="minorHAnsi"/>
              </w:rPr>
            </w:pPr>
            <w:r>
              <w:rPr>
                <w:rFonts w:cstheme="minorHAnsi"/>
              </w:rPr>
              <w:t>100%</w:t>
            </w:r>
          </w:p>
        </w:tc>
      </w:tr>
      <w:tr w:rsidR="00C230C7" w:rsidRPr="009A613C" w14:paraId="25886D13" w14:textId="77777777" w:rsidTr="00BE13A3">
        <w:trPr>
          <w:trHeight w:val="254"/>
        </w:trPr>
        <w:tc>
          <w:tcPr>
            <w:tcW w:w="1250" w:type="pct"/>
            <w:vMerge/>
            <w:shd w:val="clear" w:color="auto" w:fill="E2EFD9" w:themeFill="accent6" w:themeFillTint="33"/>
          </w:tcPr>
          <w:p w14:paraId="64D523B0" w14:textId="46478E65" w:rsidR="00C230C7" w:rsidRPr="009A613C" w:rsidRDefault="00C230C7"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5FC6FCC3" w14:textId="0CA038F2" w:rsidR="00C230C7" w:rsidRPr="009A613C" w:rsidRDefault="000C67F1" w:rsidP="006402B2">
            <w:pPr>
              <w:jc w:val="both"/>
              <w:rPr>
                <w:rFonts w:cstheme="minorHAnsi"/>
              </w:rPr>
            </w:pPr>
            <w:r>
              <w:rPr>
                <w:rFonts w:cstheme="minorHAnsi"/>
              </w:rPr>
              <w:t>B</w:t>
            </w:r>
            <w:r w:rsidR="00C230C7" w:rsidRPr="009A613C">
              <w:rPr>
                <w:rFonts w:cstheme="minorHAnsi"/>
              </w:rPr>
              <w:t>roj zgrada u kojima su smješteni sudovi a koje imaju posebne prostorije za ispitivanje maloljetnih žrtava i svjedoka</w:t>
            </w:r>
          </w:p>
        </w:tc>
        <w:tc>
          <w:tcPr>
            <w:tcW w:w="625" w:type="pct"/>
            <w:tcBorders>
              <w:top w:val="double" w:sz="4" w:space="0" w:color="auto"/>
              <w:bottom w:val="double" w:sz="4" w:space="0" w:color="auto"/>
            </w:tcBorders>
            <w:shd w:val="clear" w:color="auto" w:fill="FFFFFF" w:themeFill="background1"/>
          </w:tcPr>
          <w:p w14:paraId="6FDBBF45" w14:textId="5E5B277A" w:rsidR="00C230C7" w:rsidRPr="009A613C" w:rsidRDefault="00C230C7" w:rsidP="00374873">
            <w:pPr>
              <w:shd w:val="clear" w:color="auto" w:fill="FFFFFF" w:themeFill="background1"/>
              <w:jc w:val="center"/>
              <w:rPr>
                <w:rFonts w:cstheme="minorHAnsi"/>
              </w:rPr>
            </w:pPr>
            <w:r w:rsidRPr="009A613C">
              <w:rPr>
                <w:rFonts w:cstheme="minorHAnsi"/>
              </w:rPr>
              <w:t>4</w:t>
            </w:r>
          </w:p>
        </w:tc>
        <w:tc>
          <w:tcPr>
            <w:tcW w:w="625" w:type="pct"/>
            <w:tcBorders>
              <w:top w:val="double" w:sz="4" w:space="0" w:color="auto"/>
              <w:bottom w:val="double" w:sz="4" w:space="0" w:color="auto"/>
            </w:tcBorders>
            <w:shd w:val="clear" w:color="auto" w:fill="FFFFFF" w:themeFill="background1"/>
          </w:tcPr>
          <w:p w14:paraId="5C45B2A0" w14:textId="2B81B77E" w:rsidR="00C230C7" w:rsidRPr="009A613C" w:rsidRDefault="00AE16B4" w:rsidP="00374873">
            <w:pPr>
              <w:shd w:val="clear" w:color="auto" w:fill="FFFFFF" w:themeFill="background1"/>
              <w:jc w:val="center"/>
              <w:rPr>
                <w:rFonts w:cstheme="minorHAnsi"/>
              </w:rPr>
            </w:pPr>
            <w:r>
              <w:rPr>
                <w:rFonts w:cstheme="minorHAnsi"/>
              </w:rPr>
              <w:t>5</w:t>
            </w:r>
          </w:p>
        </w:tc>
        <w:tc>
          <w:tcPr>
            <w:tcW w:w="625" w:type="pct"/>
            <w:tcBorders>
              <w:top w:val="double" w:sz="4" w:space="0" w:color="auto"/>
              <w:bottom w:val="double" w:sz="4" w:space="0" w:color="auto"/>
              <w:right w:val="double" w:sz="4" w:space="0" w:color="auto"/>
            </w:tcBorders>
            <w:shd w:val="clear" w:color="auto" w:fill="FFFFFF" w:themeFill="background1"/>
          </w:tcPr>
          <w:p w14:paraId="78E28800" w14:textId="5F0B6CA6" w:rsidR="00C230C7" w:rsidRPr="009A613C" w:rsidRDefault="00AE16B4" w:rsidP="00374873">
            <w:pPr>
              <w:shd w:val="clear" w:color="auto" w:fill="FFFFFF" w:themeFill="background1"/>
              <w:jc w:val="center"/>
              <w:rPr>
                <w:rFonts w:cstheme="minorHAnsi"/>
              </w:rPr>
            </w:pPr>
            <w:r>
              <w:rPr>
                <w:rFonts w:cstheme="minorHAnsi"/>
              </w:rPr>
              <w:t>6</w:t>
            </w:r>
          </w:p>
        </w:tc>
      </w:tr>
      <w:tr w:rsidR="00C230C7" w:rsidRPr="009A613C" w14:paraId="04B0DFC6" w14:textId="77777777" w:rsidTr="007E7546">
        <w:trPr>
          <w:trHeight w:val="254"/>
        </w:trPr>
        <w:tc>
          <w:tcPr>
            <w:tcW w:w="1250" w:type="pct"/>
            <w:vMerge/>
            <w:shd w:val="clear" w:color="auto" w:fill="E2EFD9" w:themeFill="accent6" w:themeFillTint="33"/>
          </w:tcPr>
          <w:p w14:paraId="7DCD3C27" w14:textId="77777777" w:rsidR="00C230C7" w:rsidRPr="009A613C" w:rsidRDefault="00C230C7" w:rsidP="00374873">
            <w:pPr>
              <w:rPr>
                <w:rFonts w:cstheme="minorHAnsi"/>
              </w:rPr>
            </w:pPr>
          </w:p>
        </w:tc>
        <w:tc>
          <w:tcPr>
            <w:tcW w:w="1875" w:type="pct"/>
            <w:tcBorders>
              <w:top w:val="double" w:sz="4" w:space="0" w:color="auto"/>
              <w:bottom w:val="double" w:sz="4" w:space="0" w:color="auto"/>
            </w:tcBorders>
            <w:shd w:val="clear" w:color="auto" w:fill="FFFFFF" w:themeFill="background1"/>
          </w:tcPr>
          <w:p w14:paraId="4589A498" w14:textId="6E6DAF24" w:rsidR="00C230C7" w:rsidRPr="009A613C" w:rsidRDefault="000C67F1" w:rsidP="006402B2">
            <w:pPr>
              <w:jc w:val="both"/>
              <w:rPr>
                <w:rFonts w:cstheme="minorHAnsi"/>
              </w:rPr>
            </w:pPr>
            <w:r>
              <w:rPr>
                <w:rFonts w:cstheme="minorHAnsi"/>
              </w:rPr>
              <w:t>B</w:t>
            </w:r>
            <w:r w:rsidR="00C230C7" w:rsidRPr="009A613C">
              <w:rPr>
                <w:rFonts w:cstheme="minorHAnsi"/>
              </w:rPr>
              <w:t xml:space="preserve">roj zgrada u kojima su smještena </w:t>
            </w:r>
            <w:r w:rsidR="00857707">
              <w:rPr>
                <w:rFonts w:cstheme="minorHAnsi"/>
              </w:rPr>
              <w:t xml:space="preserve">državna </w:t>
            </w:r>
            <w:r w:rsidR="00C230C7" w:rsidRPr="009A613C">
              <w:rPr>
                <w:rFonts w:cstheme="minorHAnsi"/>
              </w:rPr>
              <w:t>tužilaštva a koje imaju posebne prostorije za ispitivanje maloljetnih žrtava i svjedoka</w:t>
            </w:r>
          </w:p>
        </w:tc>
        <w:tc>
          <w:tcPr>
            <w:tcW w:w="625" w:type="pct"/>
            <w:tcBorders>
              <w:top w:val="double" w:sz="4" w:space="0" w:color="auto"/>
              <w:bottom w:val="double" w:sz="4" w:space="0" w:color="auto"/>
            </w:tcBorders>
            <w:shd w:val="clear" w:color="auto" w:fill="FFFFFF" w:themeFill="background1"/>
          </w:tcPr>
          <w:p w14:paraId="4C7C41F2" w14:textId="1096DAE1" w:rsidR="00C230C7" w:rsidRPr="009A613C" w:rsidRDefault="00C230C7" w:rsidP="00374873">
            <w:pPr>
              <w:shd w:val="clear" w:color="auto" w:fill="FFFFFF" w:themeFill="background1"/>
              <w:jc w:val="center"/>
              <w:rPr>
                <w:rFonts w:cstheme="minorHAnsi"/>
              </w:rPr>
            </w:pPr>
            <w:r w:rsidRPr="009A613C">
              <w:rPr>
                <w:rFonts w:cstheme="minorHAnsi"/>
              </w:rPr>
              <w:t>8</w:t>
            </w:r>
          </w:p>
        </w:tc>
        <w:tc>
          <w:tcPr>
            <w:tcW w:w="625" w:type="pct"/>
            <w:tcBorders>
              <w:top w:val="double" w:sz="4" w:space="0" w:color="auto"/>
              <w:bottom w:val="double" w:sz="4" w:space="0" w:color="auto"/>
            </w:tcBorders>
            <w:shd w:val="clear" w:color="auto" w:fill="FFFFFF" w:themeFill="background1"/>
          </w:tcPr>
          <w:p w14:paraId="55FABBE0" w14:textId="7FF97D2D" w:rsidR="00C230C7" w:rsidRPr="009A613C" w:rsidRDefault="00AE16B4" w:rsidP="00374873">
            <w:pPr>
              <w:shd w:val="clear" w:color="auto" w:fill="FFFFFF" w:themeFill="background1"/>
              <w:jc w:val="center"/>
              <w:rPr>
                <w:rFonts w:cstheme="minorHAnsi"/>
              </w:rPr>
            </w:pPr>
            <w:r>
              <w:rPr>
                <w:rFonts w:cstheme="minorHAnsi"/>
              </w:rPr>
              <w:t>9</w:t>
            </w:r>
          </w:p>
        </w:tc>
        <w:tc>
          <w:tcPr>
            <w:tcW w:w="625" w:type="pct"/>
            <w:tcBorders>
              <w:top w:val="double" w:sz="4" w:space="0" w:color="auto"/>
              <w:bottom w:val="double" w:sz="4" w:space="0" w:color="auto"/>
              <w:right w:val="double" w:sz="4" w:space="0" w:color="auto"/>
            </w:tcBorders>
            <w:shd w:val="clear" w:color="auto" w:fill="FFFFFF" w:themeFill="background1"/>
          </w:tcPr>
          <w:p w14:paraId="0F066DD9" w14:textId="1D84A3C7" w:rsidR="00C230C7" w:rsidRPr="009A613C" w:rsidRDefault="00AE16B4" w:rsidP="00374873">
            <w:pPr>
              <w:shd w:val="clear" w:color="auto" w:fill="FFFFFF" w:themeFill="background1"/>
              <w:jc w:val="center"/>
              <w:rPr>
                <w:rFonts w:cstheme="minorHAnsi"/>
              </w:rPr>
            </w:pPr>
            <w:r>
              <w:rPr>
                <w:rFonts w:cstheme="minorHAnsi"/>
              </w:rPr>
              <w:t>10</w:t>
            </w:r>
          </w:p>
        </w:tc>
      </w:tr>
    </w:tbl>
    <w:p w14:paraId="355B0871" w14:textId="42C4E512" w:rsidR="00374873" w:rsidRDefault="00374873" w:rsidP="00374873"/>
    <w:p w14:paraId="1694B37E" w14:textId="61B694FB" w:rsidR="00024F59" w:rsidRDefault="00024F59" w:rsidP="00374873"/>
    <w:p w14:paraId="347E4178" w14:textId="04560429" w:rsidR="00024F59" w:rsidRDefault="00024F59" w:rsidP="00374873"/>
    <w:p w14:paraId="72EA427A" w14:textId="5364566E" w:rsidR="00024F59" w:rsidRDefault="00024F59" w:rsidP="00374873"/>
    <w:p w14:paraId="4B54A854" w14:textId="77777777" w:rsidR="00024F59" w:rsidRPr="009A613C" w:rsidRDefault="00024F59" w:rsidP="00374873"/>
    <w:p w14:paraId="78114086" w14:textId="5CBBA50E" w:rsidR="004F6A83" w:rsidRPr="009A613C" w:rsidRDefault="0025255B" w:rsidP="002D702C">
      <w:pPr>
        <w:pStyle w:val="Heading3"/>
        <w:numPr>
          <w:ilvl w:val="1"/>
          <w:numId w:val="12"/>
        </w:numPr>
        <w:spacing w:after="240"/>
        <w:jc w:val="center"/>
      </w:pPr>
      <w:bookmarkStart w:id="50" w:name="_Toc156937978"/>
      <w:r w:rsidRPr="009A613C">
        <w:lastRenderedPageBreak/>
        <w:t>Unaprjeđ</w:t>
      </w:r>
      <w:r w:rsidR="004F6A83" w:rsidRPr="009A613C">
        <w:t>enje pristupa pravdi za žrtve krivičnih djela</w:t>
      </w:r>
      <w:bookmarkEnd w:id="50"/>
    </w:p>
    <w:p w14:paraId="2F57F16E" w14:textId="0CBB4E09" w:rsidR="004A6711" w:rsidRPr="009A613C" w:rsidRDefault="00204440" w:rsidP="00F249B4">
      <w:pPr>
        <w:jc w:val="both"/>
      </w:pPr>
      <w:r w:rsidRPr="009A613C">
        <w:t xml:space="preserve">Proces usaglašavanja sa relevantnim standardima u oblasti prava žrtava, a prvenstveno sa Direktivom (2012)029EU zahtijeva opsežne intervencije kako u zakonskom okviru, tako u pogledu </w:t>
      </w:r>
      <w:r w:rsidR="0025255B" w:rsidRPr="009A613C">
        <w:t>unaprjeđ</w:t>
      </w:r>
      <w:r w:rsidRPr="009A613C">
        <w:t xml:space="preserve">enja organizacionih i infrastrukturnih preduslova efektivnog pristupa pravdi za žrtve, odnosno oštećene izvršenjem krivičnih djela. Imajući ovo u vidu, u predstojećem periodu neophodna je izrada, usvajanje i efikasno sprovođenje sveobuhvatne strategije za ostvarivanje prava žrtava, kojom bi se precizno definisali koraci na izmjenama zakonskog i podzakonskog okvira, definisanje procedura postupanja sa žrtvama u praksi </w:t>
      </w:r>
      <w:r w:rsidR="00F249B4" w:rsidRPr="009A613C">
        <w:t>(</w:t>
      </w:r>
      <w:r w:rsidRPr="009A613C">
        <w:t>počev od prvog kontakta sa organom postupka</w:t>
      </w:r>
      <w:r w:rsidR="00F249B4" w:rsidRPr="009A613C">
        <w:t>)</w:t>
      </w:r>
      <w:r w:rsidRPr="009A613C">
        <w:t xml:space="preserve">, </w:t>
      </w:r>
      <w:r w:rsidR="00A527C4" w:rsidRPr="009A613C">
        <w:t>precizirala dinamika osnivanja službi podrške žrtvama</w:t>
      </w:r>
      <w:r w:rsidR="00E86EE4">
        <w:t>,</w:t>
      </w:r>
      <w:r w:rsidR="00A527C4" w:rsidRPr="009A613C">
        <w:t xml:space="preserve"> </w:t>
      </w:r>
      <w:r w:rsidRPr="00F5656C">
        <w:t xml:space="preserve">jačanje stručnih kapaciteta nosilaca pravosudnih funkcija, policije i advokata, </w:t>
      </w:r>
      <w:r w:rsidR="0025255B" w:rsidRPr="00F5656C">
        <w:t>unaprjeđ</w:t>
      </w:r>
      <w:r w:rsidRPr="00F5656C">
        <w:t xml:space="preserve">enje prakse odlučivanja o imovinskopravnom zahtjevu </w:t>
      </w:r>
      <w:r w:rsidR="00F249B4" w:rsidRPr="00F5656C">
        <w:t>i podizanje sv</w:t>
      </w:r>
      <w:r w:rsidR="00A25628">
        <w:t>ij</w:t>
      </w:r>
      <w:r w:rsidR="00F249B4" w:rsidRPr="00F5656C">
        <w:t>esti samih žrtava i javnosti o pravima koja pripadaju žrtvama krivičnih djela.</w:t>
      </w:r>
    </w:p>
    <w:p w14:paraId="0794345E" w14:textId="11529C36" w:rsidR="001E5FAE" w:rsidRPr="009A613C" w:rsidRDefault="001E5FAE" w:rsidP="00F249B4">
      <w:pPr>
        <w:jc w:val="both"/>
      </w:pPr>
      <w:r w:rsidRPr="009A613C">
        <w:t xml:space="preserve">Paralelno sa ovim procesom, neophodno je da planiranje svih budućih infrastrukturnih projekata (izgradnja i rekonstrukcija) objekata u kojima su smješteni sudovi i tužilaštva, uzme u obzir potrebu za usaglašavanjem sa standardima u oblasti pristupa pravdi za žrtve krivičnih djela. </w:t>
      </w:r>
    </w:p>
    <w:p w14:paraId="1100B6AA" w14:textId="2C399AD0" w:rsidR="00D448ED" w:rsidRPr="009A613C" w:rsidRDefault="00D448ED" w:rsidP="00D448ED">
      <w:pPr>
        <w:jc w:val="center"/>
      </w:pPr>
      <w:r w:rsidRPr="009A613C">
        <w:rPr>
          <w:i/>
          <w:iCs/>
          <w:sz w:val="20"/>
          <w:szCs w:val="20"/>
        </w:rPr>
        <w:t xml:space="preserve">Tabela </w:t>
      </w:r>
      <w:r w:rsidR="00072761">
        <w:rPr>
          <w:i/>
          <w:iCs/>
          <w:sz w:val="20"/>
          <w:szCs w:val="20"/>
        </w:rPr>
        <w:t>26</w:t>
      </w:r>
      <w:r w:rsidRPr="009A613C">
        <w:rPr>
          <w:i/>
          <w:iCs/>
          <w:sz w:val="20"/>
          <w:szCs w:val="20"/>
        </w:rPr>
        <w:t>:</w:t>
      </w:r>
      <w:r w:rsidR="00072761">
        <w:rPr>
          <w:i/>
          <w:iCs/>
          <w:sz w:val="20"/>
          <w:szCs w:val="20"/>
        </w:rPr>
        <w:t xml:space="preserve"> Indikatori realizacije Operativnog cilja 3.6. </w:t>
      </w:r>
    </w:p>
    <w:tbl>
      <w:tblPr>
        <w:tblStyle w:val="TableGrid"/>
        <w:tblW w:w="5000" w:type="pct"/>
        <w:tblInd w:w="-5" w:type="dxa"/>
        <w:tblLayout w:type="fixed"/>
        <w:tblLook w:val="04A0" w:firstRow="1" w:lastRow="0" w:firstColumn="1" w:lastColumn="0" w:noHBand="0" w:noVBand="1"/>
      </w:tblPr>
      <w:tblGrid>
        <w:gridCol w:w="2128"/>
        <w:gridCol w:w="3816"/>
        <w:gridCol w:w="1132"/>
        <w:gridCol w:w="1132"/>
        <w:gridCol w:w="1132"/>
      </w:tblGrid>
      <w:tr w:rsidR="007E7546" w:rsidRPr="009A613C" w14:paraId="64CE9C67" w14:textId="77777777" w:rsidTr="00D57FD1">
        <w:trPr>
          <w:trHeight w:val="575"/>
        </w:trPr>
        <w:tc>
          <w:tcPr>
            <w:tcW w:w="1139" w:type="pct"/>
            <w:tcBorders>
              <w:top w:val="double" w:sz="4" w:space="0" w:color="auto"/>
            </w:tcBorders>
            <w:shd w:val="clear" w:color="auto" w:fill="FBE4D5" w:themeFill="accent2" w:themeFillTint="33"/>
          </w:tcPr>
          <w:p w14:paraId="5A1EE5C2" w14:textId="77777777" w:rsidR="007E7546" w:rsidRPr="009A613C" w:rsidRDefault="007E7546" w:rsidP="007E7546">
            <w:pPr>
              <w:rPr>
                <w:rFonts w:cstheme="minorHAnsi"/>
              </w:rPr>
            </w:pPr>
            <w:r w:rsidRPr="009A613C">
              <w:rPr>
                <w:rFonts w:cstheme="minorHAnsi"/>
              </w:rPr>
              <w:t xml:space="preserve">Operativni </w:t>
            </w:r>
          </w:p>
          <w:p w14:paraId="0C7BA73B" w14:textId="6E611F69" w:rsidR="007E7546" w:rsidRPr="009A613C" w:rsidRDefault="007E7546" w:rsidP="007E7546">
            <w:pPr>
              <w:rPr>
                <w:rFonts w:cstheme="minorHAnsi"/>
              </w:rPr>
            </w:pPr>
            <w:r w:rsidRPr="009A613C">
              <w:rPr>
                <w:rFonts w:cstheme="minorHAnsi"/>
              </w:rPr>
              <w:t>cilj</w:t>
            </w:r>
          </w:p>
        </w:tc>
        <w:tc>
          <w:tcPr>
            <w:tcW w:w="2043" w:type="pct"/>
            <w:tcBorders>
              <w:top w:val="double" w:sz="4" w:space="0" w:color="auto"/>
            </w:tcBorders>
            <w:shd w:val="clear" w:color="auto" w:fill="FBE4D5" w:themeFill="accent2" w:themeFillTint="33"/>
          </w:tcPr>
          <w:p w14:paraId="7ECB4617" w14:textId="1EFEFA7B" w:rsidR="007E7546" w:rsidRPr="009A613C" w:rsidRDefault="007E7546" w:rsidP="007E7546">
            <w:pPr>
              <w:rPr>
                <w:rFonts w:cstheme="minorHAnsi"/>
              </w:rPr>
            </w:pPr>
            <w:r w:rsidRPr="009A613C">
              <w:t>Indikator učinka</w:t>
            </w:r>
          </w:p>
        </w:tc>
        <w:tc>
          <w:tcPr>
            <w:tcW w:w="606" w:type="pct"/>
            <w:tcBorders>
              <w:top w:val="double" w:sz="4" w:space="0" w:color="auto"/>
            </w:tcBorders>
            <w:shd w:val="clear" w:color="auto" w:fill="FBE4D5" w:themeFill="accent2" w:themeFillTint="33"/>
          </w:tcPr>
          <w:p w14:paraId="79F27236" w14:textId="77777777" w:rsidR="007E7546" w:rsidRDefault="007E7546" w:rsidP="007E7546">
            <w:r w:rsidRPr="009A613C">
              <w:t>Početna vrijednost</w:t>
            </w:r>
          </w:p>
          <w:p w14:paraId="574CE162" w14:textId="41E0E26B" w:rsidR="00BC2B8D" w:rsidRPr="009A613C" w:rsidRDefault="00BC2B8D" w:rsidP="007E7546">
            <w:pPr>
              <w:rPr>
                <w:rFonts w:cstheme="minorHAnsi"/>
              </w:rPr>
            </w:pPr>
            <w:r>
              <w:t>2023.</w:t>
            </w:r>
          </w:p>
        </w:tc>
        <w:tc>
          <w:tcPr>
            <w:tcW w:w="606" w:type="pct"/>
            <w:tcBorders>
              <w:top w:val="double" w:sz="4" w:space="0" w:color="auto"/>
            </w:tcBorders>
            <w:shd w:val="clear" w:color="auto" w:fill="FBE4D5" w:themeFill="accent2" w:themeFillTint="33"/>
          </w:tcPr>
          <w:p w14:paraId="3B6F3E59" w14:textId="2F1B9B9A" w:rsidR="007E7546" w:rsidRPr="009A613C" w:rsidRDefault="007E7546" w:rsidP="007E7546">
            <w:pPr>
              <w:rPr>
                <w:rFonts w:cstheme="minorHAnsi"/>
              </w:rPr>
            </w:pPr>
            <w:r w:rsidRPr="009A613C">
              <w:t>Ciljana vrijednost 2025.</w:t>
            </w:r>
          </w:p>
        </w:tc>
        <w:tc>
          <w:tcPr>
            <w:tcW w:w="606" w:type="pct"/>
            <w:tcBorders>
              <w:top w:val="double" w:sz="4" w:space="0" w:color="auto"/>
              <w:right w:val="double" w:sz="4" w:space="0" w:color="auto"/>
            </w:tcBorders>
            <w:shd w:val="clear" w:color="auto" w:fill="FBE4D5" w:themeFill="accent2" w:themeFillTint="33"/>
          </w:tcPr>
          <w:p w14:paraId="35B7BCB1" w14:textId="512D36F0" w:rsidR="007E7546" w:rsidRPr="009A613C" w:rsidRDefault="007E7546" w:rsidP="007E7546">
            <w:pPr>
              <w:rPr>
                <w:rFonts w:cstheme="minorHAnsi"/>
              </w:rPr>
            </w:pPr>
            <w:r w:rsidRPr="009A613C">
              <w:t>Ciljana vrijednost 2027.</w:t>
            </w:r>
          </w:p>
        </w:tc>
      </w:tr>
      <w:tr w:rsidR="00024F59" w:rsidRPr="009A613C" w14:paraId="4A108C87" w14:textId="77777777" w:rsidTr="00ED3BEA">
        <w:trPr>
          <w:trHeight w:val="1671"/>
        </w:trPr>
        <w:tc>
          <w:tcPr>
            <w:tcW w:w="1139" w:type="pct"/>
            <w:tcBorders>
              <w:top w:val="double" w:sz="4" w:space="0" w:color="auto"/>
            </w:tcBorders>
            <w:shd w:val="clear" w:color="auto" w:fill="E2EFD9" w:themeFill="accent6" w:themeFillTint="33"/>
          </w:tcPr>
          <w:p w14:paraId="680F392C" w14:textId="77777777" w:rsidR="00024F59" w:rsidRPr="009A613C" w:rsidRDefault="00024F59" w:rsidP="00374873">
            <w:pPr>
              <w:rPr>
                <w:rFonts w:cstheme="minorHAnsi"/>
              </w:rPr>
            </w:pPr>
            <w:r w:rsidRPr="009A613C">
              <w:rPr>
                <w:rFonts w:cstheme="minorHAnsi"/>
              </w:rPr>
              <w:t>3.6.</w:t>
            </w:r>
          </w:p>
          <w:p w14:paraId="2B113A15" w14:textId="43744B16" w:rsidR="00024F59" w:rsidRPr="009A613C" w:rsidRDefault="00024F59" w:rsidP="00374873">
            <w:pPr>
              <w:rPr>
                <w:rFonts w:cstheme="minorHAnsi"/>
              </w:rPr>
            </w:pPr>
            <w:r w:rsidRPr="009A613C">
              <w:rPr>
                <w:rFonts w:cstheme="minorHAnsi"/>
              </w:rPr>
              <w:t>Unaprjeđenje pristupa pravdi za žrtve krivičnih djela</w:t>
            </w:r>
          </w:p>
          <w:p w14:paraId="3BC44D0E" w14:textId="77777777" w:rsidR="00024F59" w:rsidRPr="009A613C" w:rsidRDefault="00024F59" w:rsidP="00374873">
            <w:pPr>
              <w:rPr>
                <w:rFonts w:cstheme="minorHAnsi"/>
              </w:rPr>
            </w:pPr>
          </w:p>
        </w:tc>
        <w:tc>
          <w:tcPr>
            <w:tcW w:w="2043" w:type="pct"/>
            <w:tcBorders>
              <w:top w:val="double" w:sz="4" w:space="0" w:color="auto"/>
            </w:tcBorders>
            <w:shd w:val="clear" w:color="auto" w:fill="FFFFFF" w:themeFill="background1"/>
          </w:tcPr>
          <w:p w14:paraId="74CCF6C9" w14:textId="2CEF4619" w:rsidR="00024F59" w:rsidRPr="009A613C" w:rsidRDefault="00024F59" w:rsidP="00374873">
            <w:pPr>
              <w:rPr>
                <w:rFonts w:cstheme="minorHAnsi"/>
              </w:rPr>
            </w:pPr>
            <w:r w:rsidRPr="00C65614">
              <w:rPr>
                <w:rFonts w:cstheme="minorHAnsi"/>
              </w:rPr>
              <w:t>Aktivnosti na unaprjeđenju  ostvarivanja prava žrtava krivičnih djela definisane su strateškim dokumentom Vlade</w:t>
            </w:r>
          </w:p>
        </w:tc>
        <w:tc>
          <w:tcPr>
            <w:tcW w:w="606" w:type="pct"/>
            <w:tcBorders>
              <w:top w:val="double" w:sz="4" w:space="0" w:color="auto"/>
            </w:tcBorders>
            <w:shd w:val="clear" w:color="auto" w:fill="FFFFFF" w:themeFill="background1"/>
          </w:tcPr>
          <w:p w14:paraId="76248204" w14:textId="144E62C8" w:rsidR="00024F59" w:rsidRPr="009A613C" w:rsidRDefault="00024F59" w:rsidP="00374873">
            <w:pPr>
              <w:shd w:val="clear" w:color="auto" w:fill="FFFFFF" w:themeFill="background1"/>
              <w:jc w:val="center"/>
              <w:rPr>
                <w:rFonts w:cstheme="minorHAnsi"/>
              </w:rPr>
            </w:pPr>
            <w:r w:rsidRPr="009A613C">
              <w:rPr>
                <w:rFonts w:cstheme="minorHAnsi"/>
              </w:rPr>
              <w:t>NE</w:t>
            </w:r>
          </w:p>
        </w:tc>
        <w:tc>
          <w:tcPr>
            <w:tcW w:w="606" w:type="pct"/>
            <w:tcBorders>
              <w:top w:val="double" w:sz="4" w:space="0" w:color="auto"/>
            </w:tcBorders>
            <w:shd w:val="clear" w:color="auto" w:fill="FFFFFF" w:themeFill="background1"/>
          </w:tcPr>
          <w:p w14:paraId="719CBD2D" w14:textId="3DA8F065" w:rsidR="00024F59" w:rsidRPr="009A613C" w:rsidRDefault="00024F59" w:rsidP="00374873">
            <w:pPr>
              <w:shd w:val="clear" w:color="auto" w:fill="FFFFFF" w:themeFill="background1"/>
              <w:jc w:val="center"/>
              <w:rPr>
                <w:rFonts w:cstheme="minorHAnsi"/>
              </w:rPr>
            </w:pPr>
            <w:r w:rsidRPr="009A613C">
              <w:rPr>
                <w:rFonts w:cstheme="minorHAnsi"/>
              </w:rPr>
              <w:t>DA</w:t>
            </w:r>
          </w:p>
        </w:tc>
        <w:tc>
          <w:tcPr>
            <w:tcW w:w="606" w:type="pct"/>
            <w:tcBorders>
              <w:top w:val="double" w:sz="4" w:space="0" w:color="auto"/>
              <w:right w:val="double" w:sz="4" w:space="0" w:color="auto"/>
            </w:tcBorders>
            <w:shd w:val="clear" w:color="auto" w:fill="FFFFFF" w:themeFill="background1"/>
          </w:tcPr>
          <w:p w14:paraId="25124C94" w14:textId="4C85A63A" w:rsidR="00024F59" w:rsidRPr="009A613C" w:rsidRDefault="00024F59" w:rsidP="00374873">
            <w:pPr>
              <w:shd w:val="clear" w:color="auto" w:fill="FFFFFF" w:themeFill="background1"/>
              <w:jc w:val="center"/>
              <w:rPr>
                <w:rFonts w:cstheme="minorHAnsi"/>
              </w:rPr>
            </w:pPr>
            <w:r w:rsidRPr="009A613C">
              <w:rPr>
                <w:rFonts w:cstheme="minorHAnsi"/>
              </w:rPr>
              <w:t>DA</w:t>
            </w:r>
          </w:p>
        </w:tc>
      </w:tr>
    </w:tbl>
    <w:p w14:paraId="1065DC2A" w14:textId="2E385B62" w:rsidR="00CE446D" w:rsidRDefault="00CE446D" w:rsidP="002670E4"/>
    <w:p w14:paraId="43168423" w14:textId="3467D7A4" w:rsidR="008C3B71" w:rsidRDefault="008C3B71" w:rsidP="002670E4"/>
    <w:p w14:paraId="0EC86DAC" w14:textId="78A9A366" w:rsidR="008C3B71" w:rsidRDefault="008C3B71" w:rsidP="002670E4"/>
    <w:p w14:paraId="1EEE87E7" w14:textId="64D36241" w:rsidR="008C3B71" w:rsidRDefault="008C3B71" w:rsidP="002670E4"/>
    <w:p w14:paraId="1C6D5259" w14:textId="3D766758" w:rsidR="008C3B71" w:rsidRDefault="008C3B71" w:rsidP="002670E4"/>
    <w:p w14:paraId="02676AB2" w14:textId="36BCB85C" w:rsidR="008C3B71" w:rsidRDefault="008C3B71" w:rsidP="002670E4"/>
    <w:p w14:paraId="00F96337" w14:textId="57F11E29" w:rsidR="008C3B71" w:rsidRDefault="008C3B71" w:rsidP="002670E4"/>
    <w:p w14:paraId="581EF72A" w14:textId="77777777" w:rsidR="00024F59" w:rsidRDefault="00024F59" w:rsidP="002670E4"/>
    <w:p w14:paraId="25DCEA68" w14:textId="77777777" w:rsidR="008C3B71" w:rsidRPr="009A613C" w:rsidRDefault="008C3B71" w:rsidP="002670E4"/>
    <w:p w14:paraId="78B45676" w14:textId="50CFE970" w:rsidR="00A8182E" w:rsidRPr="009A613C" w:rsidRDefault="00C02223" w:rsidP="0037592F">
      <w:pPr>
        <w:pStyle w:val="Heading1"/>
        <w:spacing w:after="240"/>
        <w:jc w:val="center"/>
      </w:pPr>
      <w:bookmarkStart w:id="51" w:name="_Toc156937979"/>
      <w:r>
        <w:lastRenderedPageBreak/>
        <w:t>I</w:t>
      </w:r>
      <w:r w:rsidR="00C151D7" w:rsidRPr="009A613C">
        <w:t xml:space="preserve">V </w:t>
      </w:r>
      <w:r w:rsidR="00B35331" w:rsidRPr="009A613C">
        <w:t>PRAĆENJE SPROVOĐENJA, IZVJEŠTAVANJE I EVALUACIJA</w:t>
      </w:r>
      <w:bookmarkEnd w:id="51"/>
    </w:p>
    <w:p w14:paraId="2D282422" w14:textId="786F4D51" w:rsidR="00B35331" w:rsidRPr="009A613C" w:rsidRDefault="00BC609F" w:rsidP="002670E4">
      <w:pPr>
        <w:spacing w:line="276" w:lineRule="auto"/>
        <w:jc w:val="both"/>
      </w:pPr>
      <w:r w:rsidRPr="009A613C">
        <w:t xml:space="preserve">Praćenje sprovođenja Strategije biće povjereno Savjetu koji obrazuje Vlada Crne Gore u roku od 30 dana od dana usvajanja Strategije. U članstvo Savjeta biće uključeni rukovodioci svih ključnih institucija pravosuđa, strukovnih udruženja i organizacija civilnog društva i to: </w:t>
      </w:r>
      <w:r w:rsidR="00B35331" w:rsidRPr="009A613C">
        <w:t xml:space="preserve">ministar pravde - predsjednik Savjeta, i članovi: generalni direktor u Ministarstvu pravde zadužen za organizaciju pravosuđa, </w:t>
      </w:r>
      <w:r w:rsidR="00E86EE4" w:rsidRPr="009A613C">
        <w:t xml:space="preserve">generalni direktor u Ministarstvu pravde zadužen za </w:t>
      </w:r>
      <w:r w:rsidR="00E86EE4">
        <w:t>krivično i građansko zakonodavstvo,</w:t>
      </w:r>
      <w:r w:rsidR="00E86EE4" w:rsidRPr="009A613C">
        <w:t xml:space="preserve"> </w:t>
      </w:r>
      <w:r w:rsidR="00B35331" w:rsidRPr="009A613C">
        <w:t xml:space="preserve">predsjednik Vrhovnog suda Crne Gore, Vrhovni državni tužilac, predsjednik Sudskog savjeta, predsjednik Advokatske komore, predsjednik Notarske komore, predsjednik Komore javnih izvršitelja, </w:t>
      </w:r>
      <w:r w:rsidR="00B35331" w:rsidRPr="00F5656C">
        <w:t xml:space="preserve">predsjednik Upravnog odbora Centra za obuku u sudstvu i državnom </w:t>
      </w:r>
      <w:r w:rsidR="001721FD" w:rsidRPr="00F5656C">
        <w:t>tužilaštvu</w:t>
      </w:r>
      <w:r w:rsidR="00B35331" w:rsidRPr="00DC5B05">
        <w:t>,</w:t>
      </w:r>
      <w:r w:rsidR="00B35331" w:rsidRPr="009A613C">
        <w:t xml:space="preserve"> predsjednik Udruženja sudija</w:t>
      </w:r>
      <w:r w:rsidR="00E67000">
        <w:t xml:space="preserve"> Crne Gore</w:t>
      </w:r>
      <w:r w:rsidRPr="009A613C">
        <w:t>,</w:t>
      </w:r>
      <w:r w:rsidR="00B35331" w:rsidRPr="009A613C">
        <w:t xml:space="preserve"> predsjednik Udruženja državnih tužilaca</w:t>
      </w:r>
      <w:r w:rsidR="00E67000">
        <w:t xml:space="preserve"> Crne Gore</w:t>
      </w:r>
      <w:r w:rsidRPr="00E67A9D">
        <w:t xml:space="preserve">,  </w:t>
      </w:r>
      <w:r w:rsidR="001321B0" w:rsidRPr="00E67A9D">
        <w:t>predstavnik Udruženja sudskih vještaka</w:t>
      </w:r>
      <w:r w:rsidRPr="00E67A9D">
        <w:t xml:space="preserve"> </w:t>
      </w:r>
      <w:r w:rsidR="004D4E9A">
        <w:t xml:space="preserve">Crne Gore </w:t>
      </w:r>
      <w:r w:rsidRPr="00E67A9D">
        <w:t>i predstavnici tri organizacije civilnog društva izabrane na javnom pozivu koji raspisuje Ministarstvo pravde</w:t>
      </w:r>
      <w:r w:rsidR="00976C72" w:rsidRPr="00E67A9D">
        <w:t>.</w:t>
      </w:r>
    </w:p>
    <w:p w14:paraId="039F1902" w14:textId="4AAABEE8" w:rsidR="00980954" w:rsidRPr="009A613C" w:rsidRDefault="00980954" w:rsidP="002670E4">
      <w:pPr>
        <w:spacing w:line="276" w:lineRule="auto"/>
        <w:jc w:val="both"/>
      </w:pPr>
      <w:r w:rsidRPr="009A613C">
        <w:t>Svaki od članova Savjeta ima zamjenika koji, u odsustvu člana, ima sva ovlašćenja člana Savjeta.</w:t>
      </w:r>
      <w:r w:rsidR="009C5A3C" w:rsidRPr="009A613C">
        <w:t xml:space="preserve"> </w:t>
      </w:r>
    </w:p>
    <w:p w14:paraId="77FEEFDC" w14:textId="11ED602C" w:rsidR="00B35331" w:rsidRPr="009A613C" w:rsidRDefault="006D4E48" w:rsidP="002670E4">
      <w:pPr>
        <w:spacing w:line="276" w:lineRule="auto"/>
        <w:jc w:val="both"/>
      </w:pPr>
      <w:r w:rsidRPr="009A613C">
        <w:t xml:space="preserve">U okviru </w:t>
      </w:r>
      <w:r w:rsidR="00D02FA8" w:rsidRPr="009A613C">
        <w:t>nadležnosti</w:t>
      </w:r>
      <w:r w:rsidRPr="009A613C">
        <w:t xml:space="preserve"> za praćenje sprovođenja Strategije,</w:t>
      </w:r>
      <w:r w:rsidR="00B35331" w:rsidRPr="009A613C">
        <w:t xml:space="preserve"> Savjet </w:t>
      </w:r>
      <w:r w:rsidRPr="009A613C">
        <w:t>ima sl</w:t>
      </w:r>
      <w:r w:rsidR="00A25628">
        <w:t>j</w:t>
      </w:r>
      <w:r w:rsidRPr="009A613C">
        <w:t>edeće zadatke</w:t>
      </w:r>
      <w:r w:rsidR="00B35331" w:rsidRPr="009A613C">
        <w:t xml:space="preserve">: </w:t>
      </w:r>
    </w:p>
    <w:p w14:paraId="0A44BE04" w14:textId="2DB049FA" w:rsidR="00B35331" w:rsidRPr="009A613C" w:rsidRDefault="00B35331">
      <w:pPr>
        <w:pStyle w:val="ListParagraph"/>
        <w:numPr>
          <w:ilvl w:val="0"/>
          <w:numId w:val="3"/>
        </w:numPr>
        <w:spacing w:line="276" w:lineRule="auto"/>
        <w:ind w:left="714" w:hanging="357"/>
        <w:contextualSpacing w:val="0"/>
        <w:jc w:val="both"/>
      </w:pPr>
      <w:r w:rsidRPr="009A613C">
        <w:t xml:space="preserve">Organizuje i sinhronizuje aktivnosti </w:t>
      </w:r>
      <w:r w:rsidR="006C2604" w:rsidRPr="009A613C">
        <w:t>državnih organa</w:t>
      </w:r>
      <w:r w:rsidR="006C2604">
        <w:t>,</w:t>
      </w:r>
      <w:r w:rsidR="006C2604" w:rsidRPr="009A613C">
        <w:t xml:space="preserve"> </w:t>
      </w:r>
      <w:r w:rsidRPr="009A613C">
        <w:t xml:space="preserve">organa državne uprave i drugih nadležnih institucija u sprovođenju aktivnosti predviđenih Strategijom i Akcionim planom za njenu implementaciju; </w:t>
      </w:r>
    </w:p>
    <w:p w14:paraId="0A3A52EF" w14:textId="6D2A987F" w:rsidR="00B35331" w:rsidRPr="009A613C" w:rsidRDefault="00B35331">
      <w:pPr>
        <w:pStyle w:val="ListParagraph"/>
        <w:numPr>
          <w:ilvl w:val="0"/>
          <w:numId w:val="3"/>
        </w:numPr>
        <w:spacing w:line="276" w:lineRule="auto"/>
        <w:ind w:left="714" w:hanging="357"/>
        <w:contextualSpacing w:val="0"/>
        <w:jc w:val="both"/>
      </w:pPr>
      <w:r w:rsidRPr="009A613C">
        <w:t xml:space="preserve">Prati prioritete, dinamiku i rokove realizacije i ocjenjuje postignute rezultate u implementaciji Akcionog plana; </w:t>
      </w:r>
    </w:p>
    <w:p w14:paraId="7A8C4621" w14:textId="015FF38A" w:rsidR="00B35331" w:rsidRPr="009A613C" w:rsidRDefault="00B35331">
      <w:pPr>
        <w:pStyle w:val="ListParagraph"/>
        <w:numPr>
          <w:ilvl w:val="0"/>
          <w:numId w:val="3"/>
        </w:numPr>
        <w:spacing w:line="276" w:lineRule="auto"/>
        <w:ind w:left="714" w:hanging="357"/>
        <w:contextualSpacing w:val="0"/>
        <w:jc w:val="both"/>
      </w:pPr>
      <w:r w:rsidRPr="009A613C">
        <w:t xml:space="preserve">Ocjenjuje racionalizaciju utroška budžetskih sredstava i sredstava iz drugih izvora </w:t>
      </w:r>
      <w:r w:rsidR="00D02FA8" w:rsidRPr="009A613C">
        <w:t>opredjeljenih</w:t>
      </w:r>
      <w:r w:rsidRPr="009A613C">
        <w:t xml:space="preserve"> za realizaciju Akcionog plana; </w:t>
      </w:r>
    </w:p>
    <w:p w14:paraId="726B5FBD" w14:textId="0D6A8FEC" w:rsidR="00B35331" w:rsidRPr="009A613C" w:rsidRDefault="00B35331">
      <w:pPr>
        <w:pStyle w:val="ListParagraph"/>
        <w:numPr>
          <w:ilvl w:val="0"/>
          <w:numId w:val="3"/>
        </w:numPr>
        <w:spacing w:line="276" w:lineRule="auto"/>
        <w:ind w:left="714" w:hanging="357"/>
        <w:contextualSpacing w:val="0"/>
        <w:jc w:val="both"/>
      </w:pPr>
      <w:r w:rsidRPr="009A613C">
        <w:t>Dostavlja Vladi Crne Gore godišnji i završni izvještaj sa pregledom stanja, ocjenom i pr</w:t>
      </w:r>
      <w:r w:rsidR="00D02FA8" w:rsidRPr="009A613C">
        <w:t>ij</w:t>
      </w:r>
      <w:r w:rsidRPr="009A613C">
        <w:t xml:space="preserve">edlogom mjera. </w:t>
      </w:r>
    </w:p>
    <w:p w14:paraId="7D5228FE" w14:textId="7AF3CEFA" w:rsidR="009C5A3C" w:rsidRPr="009A613C" w:rsidRDefault="009C5A3C" w:rsidP="002670E4">
      <w:pPr>
        <w:spacing w:line="276" w:lineRule="auto"/>
        <w:jc w:val="both"/>
      </w:pPr>
      <w:r w:rsidRPr="009A613C">
        <w:t>Savjet ima S</w:t>
      </w:r>
      <w:r w:rsidR="00550DAA">
        <w:t>s</w:t>
      </w:r>
      <w:r w:rsidRPr="009A613C">
        <w:t xml:space="preserve">ekretara koji rukovodi prikupljanjem i obradom podataka i pripremom izvještaja nadležnih organa, kao i druge stručne poslove. Sve institucije koje dostavljaju izvještaje </w:t>
      </w:r>
      <w:r w:rsidR="00550DAA">
        <w:t>s</w:t>
      </w:r>
      <w:r w:rsidRPr="009A613C">
        <w:t>ekretaru, imenovaće kontakt osobe odgovorne za prikupljanje podataka u okviru svoje institucije, kao i za saradnju sa Sekretarom u procesu obrade podataka i izrade izvještaja. Zamjenik člana Savjeta može istovremeno biti i kontakt tačka.</w:t>
      </w:r>
    </w:p>
    <w:p w14:paraId="57D67251" w14:textId="580A8978" w:rsidR="009C5A3C" w:rsidRPr="009A613C" w:rsidRDefault="009C5A3C" w:rsidP="002670E4">
      <w:pPr>
        <w:spacing w:line="276" w:lineRule="auto"/>
        <w:jc w:val="both"/>
      </w:pPr>
      <w:r w:rsidRPr="009A613C">
        <w:t xml:space="preserve">Administrativno-tehničku podršku radu Savjeta pruža Ministarstvo pravde. </w:t>
      </w:r>
    </w:p>
    <w:p w14:paraId="303508A7" w14:textId="5A8F3E1E" w:rsidR="000438AF" w:rsidRPr="009A613C" w:rsidRDefault="000438AF" w:rsidP="002670E4">
      <w:pPr>
        <w:spacing w:line="276" w:lineRule="auto"/>
        <w:jc w:val="both"/>
      </w:pPr>
      <w:r w:rsidRPr="009A613C">
        <w:t>Savjet održava sastanke po potrebi</w:t>
      </w:r>
      <w:r w:rsidR="00A25628">
        <w:t>,</w:t>
      </w:r>
      <w:r w:rsidRPr="009A613C">
        <w:t xml:space="preserve"> a najmanje </w:t>
      </w:r>
      <w:r w:rsidR="00C10CFB" w:rsidRPr="00E67A9D">
        <w:t>tri</w:t>
      </w:r>
      <w:r w:rsidRPr="00E67A9D">
        <w:t xml:space="preserve"> puta godišnje. Organizacija i način rada bliže se uređuju Poslovnikom o radu Savjeta koji ovo tijelo usvaja na konstitutivnoj s</w:t>
      </w:r>
      <w:r w:rsidR="00D02FA8" w:rsidRPr="00E67A9D">
        <w:t>j</w:t>
      </w:r>
      <w:r w:rsidRPr="00E67A9D">
        <w:t>ednici</w:t>
      </w:r>
      <w:r w:rsidR="005D2421" w:rsidRPr="00E67A9D">
        <w:t xml:space="preserve">. Osim Poslovnika, Savjet usvaja i jedinstvenu metodologiju izvještavanja i evaluacije rezultata rada usmjerenu na unifikaciju metodološkog pristupa i kvaliteta izvještavanja među institucijama. </w:t>
      </w:r>
      <w:r w:rsidR="00884B48" w:rsidRPr="00E67A9D">
        <w:t xml:space="preserve">Metodologija mora obuhvatiti i mehanizam ranog uzbunjivanja u slučaju kašnjenja u sprovođenju reformi. </w:t>
      </w:r>
      <w:r w:rsidR="005D2421" w:rsidRPr="00E67A9D">
        <w:t>Po potrebi, Savjet i Ministarstvo će se starati o organizaciji obuka usmjerenih na osnaživanje analitičkih kapaciteta institucija</w:t>
      </w:r>
      <w:r w:rsidR="005D2421">
        <w:t>.</w:t>
      </w:r>
    </w:p>
    <w:p w14:paraId="46A9A63D" w14:textId="07101433" w:rsidR="000438AF" w:rsidRPr="009A613C" w:rsidRDefault="000438AF" w:rsidP="002670E4">
      <w:pPr>
        <w:spacing w:line="276" w:lineRule="auto"/>
        <w:jc w:val="both"/>
      </w:pPr>
      <w:r w:rsidRPr="009A613C">
        <w:lastRenderedPageBreak/>
        <w:t xml:space="preserve">Godišnje izvještavanje je potrebno </w:t>
      </w:r>
      <w:r w:rsidR="00AC5DD4">
        <w:t>sprovesti</w:t>
      </w:r>
      <w:r w:rsidRPr="009A613C">
        <w:t xml:space="preserve"> u skladu sa Metodologijom razvijanja politika, izrade i praćenja sprovođenja strateških dokumenata, </w:t>
      </w:r>
      <w:r w:rsidR="00AC5DD4">
        <w:t>a na osnovu</w:t>
      </w:r>
      <w:r w:rsidRPr="009A613C">
        <w:t xml:space="preserve"> indikatora. Na kraju druge godine od početka sprovođenja S</w:t>
      </w:r>
      <w:r w:rsidR="00A25628">
        <w:t>trategije</w:t>
      </w:r>
      <w:r w:rsidRPr="009A613C">
        <w:t>, koja se poklapa sa krajem dvogodišnjeg Akcionog plana, potrebno je uraditi Izvještaj o realizaciji AP na obrascu koji je propisan Metodologijom.</w:t>
      </w:r>
      <w:r w:rsidR="002670E4" w:rsidRPr="009A613C">
        <w:t xml:space="preserve"> Rezultati </w:t>
      </w:r>
      <w:r w:rsidR="00236941">
        <w:t>procjene uspješnosti Strategije</w:t>
      </w:r>
      <w:r w:rsidR="002670E4" w:rsidRPr="009A613C">
        <w:t xml:space="preserve"> bi trebalo da posluže kao smjernica za izradu novog dvogodišnjeg Akcionog plana. </w:t>
      </w:r>
    </w:p>
    <w:p w14:paraId="5AB91C3F" w14:textId="11A2839E" w:rsidR="000438AF" w:rsidRPr="009A613C" w:rsidRDefault="000438AF" w:rsidP="002670E4">
      <w:pPr>
        <w:spacing w:line="276" w:lineRule="auto"/>
        <w:jc w:val="both"/>
      </w:pPr>
      <w:r w:rsidRPr="009A613C">
        <w:t>Nakon okončanja implementacije Strategije, izvršiće se njena eksterna evaluacija od strane nezavisnog eksperta, čiji će rezultati biti sastavni dio završnog izvještaja o implementaciji Strategije, koji de biti dostavljeni Vladi Crne Gore.</w:t>
      </w:r>
    </w:p>
    <w:p w14:paraId="63BCE0AB" w14:textId="77777777" w:rsidR="00253EE0" w:rsidRPr="009A613C" w:rsidRDefault="00253EE0" w:rsidP="00B35331">
      <w:pPr>
        <w:jc w:val="both"/>
      </w:pPr>
    </w:p>
    <w:p w14:paraId="3EC140BF" w14:textId="266A1E3D" w:rsidR="006D4E48" w:rsidRPr="009A613C" w:rsidRDefault="006D4E48" w:rsidP="0037592F">
      <w:pPr>
        <w:pStyle w:val="Heading1"/>
        <w:spacing w:after="240"/>
        <w:jc w:val="center"/>
      </w:pPr>
      <w:bookmarkStart w:id="52" w:name="_Toc156937980"/>
      <w:r w:rsidRPr="009A613C">
        <w:t>V INFORMACIJE O SPROVEDENIM KONSULTACIJAMA SA ZAINTERESOVANIM STRANAMA</w:t>
      </w:r>
      <w:bookmarkEnd w:id="52"/>
    </w:p>
    <w:p w14:paraId="75F207AE" w14:textId="00E59748" w:rsidR="005251CF" w:rsidRDefault="005251CF" w:rsidP="005251CF">
      <w:pPr>
        <w:jc w:val="both"/>
        <w:rPr>
          <w:rFonts w:cstheme="minorHAnsi"/>
          <w:lang w:eastAsia="en-GB"/>
        </w:rPr>
      </w:pPr>
      <w:r>
        <w:rPr>
          <w:rFonts w:cstheme="minorHAnsi"/>
          <w:lang w:eastAsia="en-GB"/>
        </w:rPr>
        <w:t xml:space="preserve">Shodno Uredbi </w:t>
      </w:r>
      <w:r w:rsidR="0001603B" w:rsidRPr="0001603B">
        <w:rPr>
          <w:rFonts w:cstheme="minorHAnsi"/>
          <w:lang w:eastAsia="en-GB"/>
        </w:rPr>
        <w:t>o izboru predstavnika nevladinih organizacija u radna tijela organa državne uprave i sprovođenju javne rasprave u pripremi zakona i strategija</w:t>
      </w:r>
      <w:r>
        <w:rPr>
          <w:rFonts w:cstheme="minorHAnsi"/>
          <w:lang w:eastAsia="en-GB"/>
        </w:rPr>
        <w:t xml:space="preserve">, poštujući princip transparentnosti, Ministarstvo pravde je dana 26.05.2023. godine objavilo Javni poziv za konsultovanje zainteresovane javnosti za izradu Strategije reforme pravosuđa 2024-2027 sa Akcionim planom za period 2024-2025. </w:t>
      </w:r>
      <w:r w:rsidR="0001603B">
        <w:rPr>
          <w:rFonts w:cstheme="minorHAnsi"/>
          <w:lang w:eastAsia="en-GB"/>
        </w:rPr>
        <w:t xml:space="preserve"> </w:t>
      </w:r>
    </w:p>
    <w:p w14:paraId="611D975E" w14:textId="10048BE1" w:rsidR="005251CF" w:rsidRDefault="005251CF" w:rsidP="005251CF">
      <w:pPr>
        <w:jc w:val="both"/>
      </w:pPr>
      <w:r>
        <w:rPr>
          <w:rFonts w:cstheme="minorHAnsi"/>
          <w:lang w:eastAsia="en-GB"/>
        </w:rPr>
        <w:t xml:space="preserve">U periodu određenom za konsultovanje zainteresovane javnosti (od 26.05 do 12.06.2023. godine) </w:t>
      </w:r>
      <w:r w:rsidR="000820C5">
        <w:rPr>
          <w:rFonts w:cstheme="minorHAnsi"/>
          <w:lang w:eastAsia="en-GB"/>
        </w:rPr>
        <w:t xml:space="preserve">pristigao je jedan prilog, a </w:t>
      </w:r>
      <w:r>
        <w:rPr>
          <w:rFonts w:cstheme="minorHAnsi"/>
          <w:lang w:eastAsia="en-GB"/>
        </w:rPr>
        <w:t xml:space="preserve">Ministarstvo pravde </w:t>
      </w:r>
      <w:r w:rsidR="000820C5">
        <w:rPr>
          <w:rFonts w:cstheme="minorHAnsi"/>
          <w:lang w:eastAsia="en-GB"/>
        </w:rPr>
        <w:t xml:space="preserve">je </w:t>
      </w:r>
      <w:r>
        <w:rPr>
          <w:rFonts w:cstheme="minorHAnsi"/>
          <w:lang w:eastAsia="en-GB"/>
        </w:rPr>
        <w:t xml:space="preserve">sačinilo Izvještaj o obavljenom konsultovanju zainteresovane javnosti za izradu Strategije reforme pravosuđa 2024-2027 sa Akcionim planom za period 2024-2025, i objavilo isti na svojoj internet stranici. </w:t>
      </w:r>
    </w:p>
    <w:p w14:paraId="4744E669" w14:textId="21BFE76C" w:rsidR="005251CF" w:rsidRDefault="005251CF" w:rsidP="005251CF">
      <w:pPr>
        <w:jc w:val="both"/>
      </w:pPr>
      <w:r>
        <w:t>Ministarstvo pravde redovno je obavještavalo javnost putem svoje internet stranice o svim aktivnostima u vezi izrade Nacrta strategije</w:t>
      </w:r>
      <w:r w:rsidR="001F11AD">
        <w:t xml:space="preserve"> i akcionog plana</w:t>
      </w:r>
      <w:r>
        <w:t>; datumima održavanja sastanaka, kao i zaključcima koji</w:t>
      </w:r>
      <w:r w:rsidR="001F11AD">
        <w:t xml:space="preserve">e je Radna grupa donijela </w:t>
      </w:r>
      <w:r>
        <w:t>na predmetnim sastancima.</w:t>
      </w:r>
    </w:p>
    <w:p w14:paraId="37E05FE3" w14:textId="4E7ECE0F" w:rsidR="00845E33" w:rsidRDefault="00845E33" w:rsidP="00C65614">
      <w:pPr>
        <w:spacing w:line="276" w:lineRule="auto"/>
        <w:jc w:val="both"/>
        <w:rPr>
          <w:rFonts w:cstheme="minorHAnsi"/>
          <w:lang w:eastAsia="en-GB"/>
        </w:rPr>
      </w:pPr>
      <w:r>
        <w:t xml:space="preserve">Usvajanju ove strategije prethodilo je i sprovođenje javne rasprave, u skladu sa </w:t>
      </w:r>
      <w:r w:rsidR="0090597E">
        <w:t xml:space="preserve">Zakonom o državnoj upravni i </w:t>
      </w:r>
      <w:r w:rsidRPr="00845E33">
        <w:t>Uredb</w:t>
      </w:r>
      <w:r>
        <w:t>om</w:t>
      </w:r>
      <w:r w:rsidRPr="00845E33">
        <w:t xml:space="preserve"> o izboru predstavnika nevladinih organizacija u radna tijela organa državne uprave i sprovođenju javne rasprave u pripremi zakona i strategija</w:t>
      </w:r>
      <w:r>
        <w:t xml:space="preserve">. Javna rasprava povodom Strategije trajala je od </w:t>
      </w:r>
      <w:r>
        <w:rPr>
          <w:highlight w:val="yellow"/>
        </w:rPr>
        <w:t>xx</w:t>
      </w:r>
      <w:r>
        <w:t xml:space="preserve"> januara 2024. godine do </w:t>
      </w:r>
      <w:r>
        <w:rPr>
          <w:highlight w:val="yellow"/>
        </w:rPr>
        <w:t>xx</w:t>
      </w:r>
      <w:r>
        <w:t xml:space="preserve">. februara 2024. godine. Javna rasprava je održana u skladu sa usvojenim Programom javne rasprave, u formi dostave pisanih prijedloga, sugestija i primjedbi. U okviru javne rasprave održan je i jedan okrugli sto </w:t>
      </w:r>
      <w:r w:rsidR="00B43FFB">
        <w:t>31. januara</w:t>
      </w:r>
      <w:r>
        <w:t xml:space="preserve"> 2024. godine u Podgorici. Tokom javne rasprave, pisanim putem je pristiglo </w:t>
      </w:r>
      <w:r>
        <w:rPr>
          <w:highlight w:val="yellow"/>
        </w:rPr>
        <w:t>xxx</w:t>
      </w:r>
      <w:r>
        <w:t xml:space="preserve"> dopisa sa prijedlozima i sugestijama, posredstvom naznačene adrese elektronske pošte, od kojih su sve sugestije i primjedbe koje su doprinosile kvalitativnom uređivanju teksta i sadržale konkretne prijedloge, odnosno prijedloge koji mogu biti sadržani u ovom tipu planskog dokumenta, prihvaćene i uvrštene u tekst ove strategije i pratećeg Akcionog plana.</w:t>
      </w:r>
    </w:p>
    <w:p w14:paraId="39482E40" w14:textId="509C94AB" w:rsidR="005251CF" w:rsidRDefault="005251CF" w:rsidP="005251CF">
      <w:pPr>
        <w:jc w:val="both"/>
      </w:pPr>
      <w:r>
        <w:t>Detaljan izveštaj sa javne rasprave, sa tabelarnim pregledom pristiglih komentara i opisanim stepenom i načinom njihove implementacije u radni tekst, takođe su objavljeni na internet stranici Ministarstva pravde, čime je konsultativni proces u cjelosti, od obrazovanja radne grupe za izradu ove strategije, do njenog upućivanja u proceduru usvajanja, učinjen u potpunosti transparentnim.</w:t>
      </w:r>
      <w:r w:rsidR="00845E33">
        <w:t xml:space="preserve"> </w:t>
      </w:r>
    </w:p>
    <w:p w14:paraId="001A8408" w14:textId="1447D211" w:rsidR="008D6C83" w:rsidRPr="009A613C" w:rsidRDefault="00F25100" w:rsidP="00F25100">
      <w:r>
        <w:br w:type="page"/>
      </w:r>
    </w:p>
    <w:p w14:paraId="734EBF57" w14:textId="1835D12F" w:rsidR="00976C72" w:rsidRPr="009A613C" w:rsidRDefault="00976C72" w:rsidP="00976C72">
      <w:pPr>
        <w:pStyle w:val="Heading1"/>
      </w:pPr>
      <w:bookmarkStart w:id="53" w:name="_Toc156937981"/>
      <w:r w:rsidRPr="009A613C">
        <w:lastRenderedPageBreak/>
        <w:t>VI PROCJENA FINANSIJSKIH SREDSTAVA POTREBNIH ZA SPROVOĐENJE STRATEGIJE</w:t>
      </w:r>
      <w:bookmarkEnd w:id="53"/>
    </w:p>
    <w:p w14:paraId="2E2F9247" w14:textId="77777777" w:rsidR="00814367" w:rsidRDefault="00814367" w:rsidP="00814367"/>
    <w:p w14:paraId="5151DDBF" w14:textId="3AC0A8F4" w:rsidR="007C2126" w:rsidRPr="009A613C" w:rsidRDefault="007C2126" w:rsidP="00814367">
      <w:r w:rsidRPr="007C2126">
        <w:rPr>
          <w:highlight w:val="yellow"/>
        </w:rPr>
        <w:t>: dodati podatke:</w:t>
      </w:r>
    </w:p>
    <w:p w14:paraId="5C805349" w14:textId="41187E93" w:rsidR="00976C72" w:rsidRPr="009A613C" w:rsidRDefault="00C02223" w:rsidP="0037592F">
      <w:pPr>
        <w:pStyle w:val="Heading1"/>
        <w:spacing w:after="240"/>
        <w:jc w:val="center"/>
      </w:pPr>
      <w:bookmarkStart w:id="54" w:name="_Toc156937982"/>
      <w:r>
        <w:t>VII</w:t>
      </w:r>
      <w:r w:rsidR="00976C72" w:rsidRPr="009A613C">
        <w:t xml:space="preserve"> AKCIONI PLAN</w:t>
      </w:r>
      <w:bookmarkEnd w:id="54"/>
    </w:p>
    <w:p w14:paraId="583D5CDA" w14:textId="77777777" w:rsidR="001321B0" w:rsidRPr="009A613C" w:rsidRDefault="001321B0" w:rsidP="001321B0">
      <w:r w:rsidRPr="009A613C">
        <w:t>Akcioni plan za primjenu ove strategije je njen sastavni dio.</w:t>
      </w:r>
    </w:p>
    <w:p w14:paraId="1F6A421A" w14:textId="1DBC7D63" w:rsidR="00071697" w:rsidRPr="009A613C" w:rsidRDefault="00071697" w:rsidP="00990094">
      <w:pPr>
        <w:jc w:val="both"/>
      </w:pPr>
      <w:r w:rsidRPr="009A613C">
        <w:t xml:space="preserve">Akcionim planom se, u skladu sa </w:t>
      </w:r>
      <w:r w:rsidR="001321B0">
        <w:t xml:space="preserve">strateškim i operativnim </w:t>
      </w:r>
      <w:r w:rsidRPr="009A613C">
        <w:t>ciljevima iz ove strategije, definišu aktivnosti kroz koje se sprovodi svak</w:t>
      </w:r>
      <w:r w:rsidR="001321B0">
        <w:t>i</w:t>
      </w:r>
      <w:r w:rsidRPr="009A613C">
        <w:t xml:space="preserve"> od </w:t>
      </w:r>
      <w:r w:rsidR="001321B0">
        <w:t>ciljeva</w:t>
      </w:r>
      <w:r w:rsidRPr="009A613C">
        <w:t>, institucije</w:t>
      </w:r>
      <w:r w:rsidR="00990094" w:rsidRPr="009A613C">
        <w:t xml:space="preserve"> odgovorne za njihovo sprovođenje</w:t>
      </w:r>
      <w:r w:rsidRPr="009A613C">
        <w:t>, pokazatelji rezultata (indikatori), rokovi, resursi i njihovi izvori.</w:t>
      </w:r>
    </w:p>
    <w:p w14:paraId="684AB48E" w14:textId="35340BDB" w:rsidR="00071697" w:rsidRPr="009A613C" w:rsidRDefault="00071697" w:rsidP="00F5656C">
      <w:pPr>
        <w:jc w:val="both"/>
      </w:pPr>
      <w:r w:rsidRPr="009A613C">
        <w:t>Imajući u vidu potrebu izrade detaljne budžetske projekcije za period od 202</w:t>
      </w:r>
      <w:r w:rsidR="001321B0">
        <w:t>6</w:t>
      </w:r>
      <w:r w:rsidRPr="009A613C">
        <w:t>. do 202</w:t>
      </w:r>
      <w:r w:rsidR="001321B0">
        <w:t>7</w:t>
      </w:r>
      <w:r w:rsidRPr="009A613C">
        <w:t xml:space="preserve">. godine </w:t>
      </w:r>
      <w:r w:rsidRPr="00ED323C">
        <w:t>u drugoj polovini 202</w:t>
      </w:r>
      <w:r w:rsidR="00990094" w:rsidRPr="00ED323C">
        <w:t>5</w:t>
      </w:r>
      <w:r w:rsidRPr="00ED323C">
        <w:t>. godine</w:t>
      </w:r>
      <w:r w:rsidRPr="009A613C">
        <w:t xml:space="preserve"> biće </w:t>
      </w:r>
      <w:r w:rsidR="00CC3A11">
        <w:t xml:space="preserve">sagledani rezultati sprovođenja reformi tokom 2024. i 2025. godine kao osnova za izradu </w:t>
      </w:r>
      <w:r w:rsidRPr="009A613C">
        <w:t>Akcionog plana</w:t>
      </w:r>
      <w:r w:rsidR="00CC3A11">
        <w:t xml:space="preserve"> za period 2026-2027.</w:t>
      </w:r>
      <w:r w:rsidRPr="009A613C">
        <w:t xml:space="preserve"> godine</w:t>
      </w:r>
      <w:r w:rsidR="00CC3A11">
        <w:t xml:space="preserve"> kao sastavnog dijela ove strategije i instrumenta njenog sprovođenja u predmetnom periodu.</w:t>
      </w:r>
    </w:p>
    <w:p w14:paraId="6694CCFC" w14:textId="5ED48505" w:rsidR="00976C72" w:rsidRPr="009A613C" w:rsidRDefault="00C02223" w:rsidP="0037592F">
      <w:pPr>
        <w:pStyle w:val="Heading1"/>
        <w:spacing w:after="240"/>
        <w:jc w:val="center"/>
      </w:pPr>
      <w:bookmarkStart w:id="55" w:name="_Toc156937983"/>
      <w:r>
        <w:t>VIII</w:t>
      </w:r>
      <w:r w:rsidR="00976C72" w:rsidRPr="009A613C">
        <w:t xml:space="preserve"> OBJAVLJIVANJE</w:t>
      </w:r>
      <w:bookmarkEnd w:id="55"/>
    </w:p>
    <w:p w14:paraId="157C6EFE" w14:textId="42717E3C" w:rsidR="00071697" w:rsidRPr="009A613C" w:rsidRDefault="00071697" w:rsidP="00071697">
      <w:r w:rsidRPr="009A613C">
        <w:t>Ov</w:t>
      </w:r>
      <w:r w:rsidR="00FE3D23">
        <w:t>a</w:t>
      </w:r>
      <w:r w:rsidRPr="009A613C">
        <w:t xml:space="preserve"> strategij</w:t>
      </w:r>
      <w:r w:rsidR="00FE3D23">
        <w:t>a</w:t>
      </w:r>
      <w:r w:rsidRPr="009A613C">
        <w:t xml:space="preserve"> i Akcioni plan </w:t>
      </w:r>
      <w:r w:rsidR="00FE3D23">
        <w:t xml:space="preserve">će se </w:t>
      </w:r>
      <w:r w:rsidRPr="009A613C">
        <w:t>objaviti na internet stranici Vlade</w:t>
      </w:r>
      <w:r w:rsidR="00880A3A">
        <w:t xml:space="preserve"> </w:t>
      </w:r>
      <w:r w:rsidRPr="009A613C">
        <w:t>i na internet stranici Ministarstva pravde u roku od sedam radnih dana od dana usvajanja Strategije i Akcionog plana.</w:t>
      </w:r>
    </w:p>
    <w:p w14:paraId="6718CC19" w14:textId="3D5ADA63" w:rsidR="00F10A68" w:rsidRPr="009A613C" w:rsidRDefault="00F10A68">
      <w:r w:rsidRPr="009A613C">
        <w:br w:type="page"/>
      </w:r>
    </w:p>
    <w:p w14:paraId="4F0E5881" w14:textId="77777777" w:rsidR="00F10A68" w:rsidRPr="009A613C" w:rsidRDefault="00F10A68" w:rsidP="00F10A68">
      <w:pPr>
        <w:pStyle w:val="Heading1"/>
      </w:pPr>
      <w:bookmarkStart w:id="56" w:name="_Toc156937984"/>
      <w:r w:rsidRPr="009A613C">
        <w:lastRenderedPageBreak/>
        <w:t>ANNEX I</w:t>
      </w:r>
      <w:bookmarkEnd w:id="56"/>
      <w:r w:rsidRPr="009A613C">
        <w:t xml:space="preserve"> </w:t>
      </w:r>
    </w:p>
    <w:p w14:paraId="6178D2BE" w14:textId="71471570" w:rsidR="00F10A68" w:rsidRPr="009A613C" w:rsidRDefault="00F10A68" w:rsidP="00F10A68">
      <w:pPr>
        <w:pStyle w:val="Heading1"/>
      </w:pPr>
      <w:bookmarkStart w:id="57" w:name="_Toc156937985"/>
      <w:r w:rsidRPr="009A613C">
        <w:t>Izvori i literatura</w:t>
      </w:r>
      <w:bookmarkEnd w:id="57"/>
    </w:p>
    <w:p w14:paraId="28C3D01B" w14:textId="77777777" w:rsidR="00F10A68" w:rsidRPr="009A613C" w:rsidRDefault="00F10A68" w:rsidP="00F10A68"/>
    <w:p w14:paraId="1F6483F0" w14:textId="4D39E6B5" w:rsidR="00F10A68" w:rsidRPr="00411742" w:rsidRDefault="00F10A68">
      <w:pPr>
        <w:pStyle w:val="ListParagraph"/>
        <w:numPr>
          <w:ilvl w:val="0"/>
          <w:numId w:val="7"/>
        </w:numPr>
        <w:spacing w:after="0" w:line="276" w:lineRule="auto"/>
        <w:jc w:val="both"/>
      </w:pPr>
      <w:r w:rsidRPr="00411742">
        <w:rPr>
          <w:rFonts w:cstheme="minorHAnsi"/>
        </w:rPr>
        <w:t>Akcija za ljudska prava</w:t>
      </w:r>
      <w:r w:rsidRPr="00411742">
        <w:t xml:space="preserve"> (2022) Analiza postupaka izbora, napredovanja i utvrđivanja odgovornosti sudija u Crnoj Gori u 2022, Podgorica.</w:t>
      </w:r>
    </w:p>
    <w:p w14:paraId="044B2954" w14:textId="65DE620D"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Akcioni plan plan za Poglavlje 23 - Pravosuđe i temeljna prava, Vlada Crne Gore, 2013</w:t>
      </w:r>
    </w:p>
    <w:p w14:paraId="527D30F0"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Akcioni plan za Poglavlje 23- Pravosuđe i temeljna prava, Vlada Crne Gore, 2015</w:t>
      </w:r>
    </w:p>
    <w:p w14:paraId="5231CFB8"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Akcioni plan za implementaciju Strategije reforme pravosuđa 2019-2020. godine, Ministarstvo pravde, 2019</w:t>
      </w:r>
    </w:p>
    <w:p w14:paraId="72E4E4FE" w14:textId="3DE0727E"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Akcioni plan za implementaciju Strategije reforme pravosuđa 2021-2022. godine, Ministarstvo pravde, 2021</w:t>
      </w:r>
    </w:p>
    <w:p w14:paraId="6E25619D" w14:textId="69AC31EF"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Akcioni plan za implementaciju Strategije reforme pravosuđa 2014-2018 (za period 2017-2018. godine), Ministarstvo pravde, Podgorica, 2017</w:t>
      </w:r>
    </w:p>
    <w:p w14:paraId="322C5F0A"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CDL-AD(2023)011 Montenegro - Follow-up Opinion to the opinion on the draft amendments to the Law on the Judicial Council and Judges, adopted by the Venice Commission at its 134th Plenary Session (Venice, 10-11 March 2023) ; </w:t>
      </w:r>
    </w:p>
    <w:p w14:paraId="6B46CD09"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CDL-REF(2023)016  Montenegro - Law on the Judicial Council and Judges with revised draft amendments; </w:t>
      </w:r>
    </w:p>
    <w:p w14:paraId="1634BA46"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CDL-AD(2022)050 Montenegro - Opinion on the draft amendments to the Law on the Judicial Council and Judges, adopted by the Venice Commission at its 133rd Plenary Session (Venice, 16-17 December 2022); </w:t>
      </w:r>
    </w:p>
    <w:p w14:paraId="7FDAC766"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CDL-AD(2021)030  English  Montenegro - Urgent Opinion on the revised draft amendments to the Law on the State Prosecution Service, issued pursuant to Article 14a of the Venice Commission’s Rules of Procedure on 10 May 2021, endorsed by the Venice Commission at its 127th Plenary Session (Venice and online, 2-3 July 2021); </w:t>
      </w:r>
    </w:p>
    <w:p w14:paraId="07208833"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CDL-PI(2021)008 Montenegro - Urgent Opinion on the revised draft amendments to the Law on the State Prosecution Service, issued pursuant to Article 14a of the Venice Commission’s Rules of Procedure; </w:t>
      </w:r>
    </w:p>
    <w:p w14:paraId="0615AEA0"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CDL-REF(2021)040 Montenegro - Revised draft amendments to the Law on the State Prosecution Service (Consolidated version).  </w:t>
      </w:r>
    </w:p>
    <w:p w14:paraId="08D8D60B"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CDL-AD(2021)012 Montenegro - Opinion on the draft amendments to the Law on the State Prosecution Service and the draft law on the Prosecutor’s Office for organised crime and corruption, adopted by the Venice Commission at its 126 plenary session (online, 19-20 March 2021) ; </w:t>
      </w:r>
    </w:p>
    <w:p w14:paraId="01981407"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CDL(2021)016 Montenegro - Draft opinion on the draft amendments to the Law on the State Prosecution Service and the draft law on the Prosecutor’s Office for organised crime and corruption ; </w:t>
      </w:r>
    </w:p>
    <w:p w14:paraId="42451494"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CDL-REF(2021)028 Montenegro - Draft amendments to the legislation on the prosecution service (the Law on the State Prosecution Service and the Law on the Special State Prosecutor’s Office);  </w:t>
      </w:r>
    </w:p>
    <w:p w14:paraId="6F3348E8" w14:textId="77777777" w:rsidR="00F10A68" w:rsidRPr="009A613C"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lastRenderedPageBreak/>
        <w:t xml:space="preserve">CDL-REF(2018)047 Monténégro - Law on Admendments to the Law on the Judicial Council and Juges ; </w:t>
      </w:r>
    </w:p>
    <w:p w14:paraId="1F163643" w14:textId="4B3BE845" w:rsidR="00F10A68"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 xml:space="preserve">CDL-AD(2018)015 Montenegro - Opinion on the draft law on amendments to the law on the Judicial Council and Judges, adopted by the Venice Commission at its 115th Plenary Session (Venice, 22-23 June 2018)  </w:t>
      </w:r>
    </w:p>
    <w:p w14:paraId="65C5A02C" w14:textId="699EA980" w:rsidR="008E2558" w:rsidRPr="00F5656C" w:rsidRDefault="008E2558">
      <w:pPr>
        <w:pStyle w:val="ListParagraph"/>
        <w:numPr>
          <w:ilvl w:val="0"/>
          <w:numId w:val="7"/>
        </w:numPr>
        <w:spacing w:after="200" w:line="276" w:lineRule="auto"/>
        <w:jc w:val="both"/>
        <w:rPr>
          <w:rStyle w:val="Hyperlink"/>
          <w:rFonts w:ascii="Calibri" w:hAnsi="Calibri" w:cs="Calibri"/>
          <w:color w:val="auto"/>
          <w:u w:val="none"/>
        </w:rPr>
      </w:pPr>
      <w:r>
        <w:t xml:space="preserve">CEPEJ Evaluation report , 2022 Evaluation cycle, (2020 data), </w:t>
      </w:r>
      <w:hyperlink r:id="rId16" w:history="1">
        <w:r w:rsidRPr="001A1A34">
          <w:rPr>
            <w:rStyle w:val="Hyperlink"/>
          </w:rPr>
          <w:t>https://www.coe.int/en/web/cepej/special-file-report-european-judicial-systems-cepej-evaluation-report-2022-evaluation-cycle-2020-data-</w:t>
        </w:r>
      </w:hyperlink>
    </w:p>
    <w:p w14:paraId="372BBA50" w14:textId="77777777" w:rsidR="0042559D" w:rsidRPr="00ED323C" w:rsidRDefault="0072347F" w:rsidP="0042559D">
      <w:pPr>
        <w:pStyle w:val="ListParagraph"/>
        <w:numPr>
          <w:ilvl w:val="0"/>
          <w:numId w:val="7"/>
        </w:numPr>
        <w:spacing w:after="200" w:line="276" w:lineRule="auto"/>
        <w:jc w:val="both"/>
        <w:rPr>
          <w:rFonts w:ascii="Calibri" w:hAnsi="Calibri" w:cs="Calibri"/>
        </w:rPr>
      </w:pPr>
      <w:r w:rsidRPr="00F5656C">
        <w:t xml:space="preserve">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17" w:history="1">
        <w:r w:rsidRPr="00F5656C">
          <w:rPr>
            <w:rStyle w:val="Hyperlink"/>
          </w:rPr>
          <w:t>https://op.europa.eu/en/publication-detail/-/publication/a9b0d6b3-4b02-11ed-92ed-01aa75ed71a1/language-fr</w:t>
        </w:r>
      </w:hyperlink>
      <w:r w:rsidRPr="00F5656C">
        <w:t>, pristupljeno 12.5.2023. godine</w:t>
      </w:r>
    </w:p>
    <w:p w14:paraId="114C63FE" w14:textId="039A6EAB" w:rsidR="0042559D" w:rsidRPr="00ED323C" w:rsidRDefault="0042559D" w:rsidP="008D4BEC">
      <w:pPr>
        <w:pStyle w:val="ListParagraph"/>
        <w:numPr>
          <w:ilvl w:val="0"/>
          <w:numId w:val="7"/>
        </w:numPr>
        <w:spacing w:after="200" w:line="276" w:lineRule="auto"/>
        <w:jc w:val="both"/>
        <w:rPr>
          <w:rStyle w:val="Hyperlink"/>
          <w:rFonts w:ascii="Calibri" w:hAnsi="Calibri" w:cs="Calibri"/>
          <w:color w:val="auto"/>
          <w:sz w:val="24"/>
          <w:szCs w:val="24"/>
          <w:u w:val="none"/>
        </w:rPr>
      </w:pPr>
      <w:r w:rsidRPr="00857707">
        <w:t xml:space="preserve">COMMISSION STAFF WORKING DOCUMENT Montenegro 2023 Report Accompanying the document Communication from the Commission to the European Parliament, the Council, the European Economic and Social Committee and the Committee of the Regions 2023 Communication on EU Enlargement policy, dostupno na: </w:t>
      </w:r>
      <w:hyperlink r:id="rId18" w:history="1">
        <w:r w:rsidRPr="00ED323C">
          <w:rPr>
            <w:rStyle w:val="Hyperlink"/>
          </w:rPr>
          <w:t>https://neighbourhood-enlargement.ec.europa.eu/system/files/2023-11/SWD_2023_694%20Montenegro%20report.pdf</w:t>
        </w:r>
      </w:hyperlink>
      <w:r w:rsidRPr="00857707">
        <w:t>, pristupljeno 2.12.2023. godine</w:t>
      </w:r>
    </w:p>
    <w:p w14:paraId="21A469B5" w14:textId="711D4B10" w:rsidR="00E052F0" w:rsidRPr="00F5656C" w:rsidRDefault="00E052F0">
      <w:pPr>
        <w:pStyle w:val="ListParagraph"/>
        <w:numPr>
          <w:ilvl w:val="0"/>
          <w:numId w:val="7"/>
        </w:numPr>
        <w:spacing w:after="200" w:line="276" w:lineRule="auto"/>
        <w:jc w:val="both"/>
        <w:rPr>
          <w:rFonts w:ascii="Calibri" w:hAnsi="Calibri" w:cs="Calibri"/>
          <w:sz w:val="24"/>
          <w:szCs w:val="24"/>
        </w:rPr>
      </w:pPr>
      <w:r w:rsidRPr="00F5656C">
        <w:rPr>
          <w:lang w:val="it-IT"/>
        </w:rPr>
        <w:t xml:space="preserve">Crna Gora, Ministarstvo Pravde, Direktorat za Pravosuđe, Direkcija za pravosudni nadzor (2023) Analiza nadzora rada notara (Za 2022. </w:t>
      </w:r>
      <w:r w:rsidRPr="00F5656C">
        <w:t>Godinu)</w:t>
      </w:r>
    </w:p>
    <w:p w14:paraId="61A3D939"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Godišnji izvještaj o sprovođenju Akcionog plana za implementaciju Strategije reforme pravosuđa 2019-2022, za 2019. godinu, Savjet za praćenje sprovođenja Strategije reforme pravosuđa 2019-2022. godine, Vlada Crne Gore, Podgorica, 2020</w:t>
      </w:r>
    </w:p>
    <w:p w14:paraId="65D14CCD"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Godišnji izvještaj o sprovođenju Akcionog plana za implementaciju Strategije reforme pravosuđa 2019-2022, za  2020. godinu, Savjet za praćenje sprovođenja Strategije reforme pravosuđa 2019-2022. godine, Vlada Crne Gore, Podgorica, 2021</w:t>
      </w:r>
    </w:p>
    <w:p w14:paraId="297C404C"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Godišnji izvještaj o sprovođenju Akcionog plana za implementaciju Strategije reforme pravosuđa 2019-2022, za  2021. godinu, Savjet za praćenje sprovođenja Strategije reforme pravosuđa 2019-2022. godine, Vlada Crne Gore, Podgorica, 2022</w:t>
      </w:r>
    </w:p>
    <w:p w14:paraId="1EBB65B3" w14:textId="77777777" w:rsidR="00F10A68" w:rsidRDefault="00F10A68">
      <w:pPr>
        <w:pStyle w:val="ListParagraph"/>
        <w:numPr>
          <w:ilvl w:val="0"/>
          <w:numId w:val="7"/>
        </w:numPr>
        <w:spacing w:after="200" w:line="276" w:lineRule="auto"/>
        <w:jc w:val="both"/>
        <w:rPr>
          <w:rFonts w:ascii="Calibri" w:hAnsi="Calibri" w:cs="Calibri"/>
        </w:rPr>
      </w:pPr>
      <w:r w:rsidRPr="009A613C">
        <w:rPr>
          <w:rFonts w:ascii="Calibri" w:hAnsi="Calibri" w:cs="Calibri"/>
        </w:rPr>
        <w:t>Godišnji izvještaj o radu Sudskog savjeta i ukupnom stanju u sudstvu za 2022. godinu, Sudski savjet, Podgorica, 2023</w:t>
      </w:r>
    </w:p>
    <w:p w14:paraId="125DBF16" w14:textId="31787115" w:rsidR="005C6F19" w:rsidRPr="005727C5" w:rsidRDefault="005C6F19">
      <w:pPr>
        <w:pStyle w:val="ListParagraph"/>
        <w:numPr>
          <w:ilvl w:val="0"/>
          <w:numId w:val="7"/>
        </w:numPr>
        <w:spacing w:after="200" w:line="276" w:lineRule="auto"/>
        <w:jc w:val="both"/>
        <w:rPr>
          <w:rFonts w:ascii="Calibri" w:hAnsi="Calibri" w:cs="Calibri"/>
        </w:rPr>
      </w:pPr>
      <w:r>
        <w:t>GRECO, Peti krug evaluacije, Spre</w:t>
      </w:r>
      <w:r w:rsidRPr="00B31278">
        <w:t>č</w:t>
      </w:r>
      <w:r>
        <w:t>avanje</w:t>
      </w:r>
      <w:r w:rsidRPr="00B31278">
        <w:t xml:space="preserve"> </w:t>
      </w:r>
      <w:r>
        <w:t>korupcije</w:t>
      </w:r>
      <w:r w:rsidRPr="00B31278">
        <w:t xml:space="preserve"> </w:t>
      </w:r>
      <w:r>
        <w:t>i</w:t>
      </w:r>
      <w:r w:rsidRPr="00B31278">
        <w:t xml:space="preserve"> </w:t>
      </w:r>
      <w:r>
        <w:t>unapre</w:t>
      </w:r>
      <w:r w:rsidRPr="00B31278">
        <w:t>đ</w:t>
      </w:r>
      <w:r>
        <w:t>ivanje</w:t>
      </w:r>
      <w:r w:rsidRPr="00B31278">
        <w:t xml:space="preserve"> </w:t>
      </w:r>
      <w:r>
        <w:t>integriteta</w:t>
      </w:r>
      <w:r w:rsidRPr="00B31278">
        <w:t xml:space="preserve"> </w:t>
      </w:r>
      <w:r>
        <w:t>u</w:t>
      </w:r>
      <w:r w:rsidRPr="00B31278">
        <w:t xml:space="preserve"> </w:t>
      </w:r>
      <w:r>
        <w:t>okviru</w:t>
      </w:r>
      <w:r w:rsidRPr="00B31278">
        <w:t xml:space="preserve"> </w:t>
      </w:r>
      <w:r>
        <w:t>organa</w:t>
      </w:r>
      <w:r w:rsidRPr="00B31278">
        <w:t xml:space="preserve"> </w:t>
      </w:r>
      <w:r>
        <w:t>centralne</w:t>
      </w:r>
      <w:r w:rsidRPr="00B31278">
        <w:t xml:space="preserve"> </w:t>
      </w:r>
      <w:r>
        <w:t>vlasti</w:t>
      </w:r>
      <w:r w:rsidRPr="00B31278">
        <w:t xml:space="preserve"> (</w:t>
      </w:r>
      <w:r>
        <w:t>na</w:t>
      </w:r>
      <w:r w:rsidRPr="00B31278">
        <w:t xml:space="preserve"> </w:t>
      </w:r>
      <w:r>
        <w:t>najvi</w:t>
      </w:r>
      <w:r w:rsidRPr="00B31278">
        <w:t>š</w:t>
      </w:r>
      <w:r>
        <w:t>im</w:t>
      </w:r>
      <w:r w:rsidRPr="00B31278">
        <w:t xml:space="preserve"> </w:t>
      </w:r>
      <w:r>
        <w:t>izvr</w:t>
      </w:r>
      <w:r w:rsidRPr="00B31278">
        <w:t>š</w:t>
      </w:r>
      <w:r>
        <w:t>nim</w:t>
      </w:r>
      <w:r w:rsidRPr="00B31278">
        <w:t xml:space="preserve"> </w:t>
      </w:r>
      <w:r>
        <w:t>funkcijama</w:t>
      </w:r>
      <w:r w:rsidRPr="00B31278">
        <w:t xml:space="preserve">) </w:t>
      </w:r>
      <w:r>
        <w:t>i</w:t>
      </w:r>
      <w:r w:rsidRPr="00B31278">
        <w:t xml:space="preserve"> </w:t>
      </w:r>
      <w:r>
        <w:t>agencija</w:t>
      </w:r>
      <w:r w:rsidRPr="00B31278">
        <w:t xml:space="preserve"> </w:t>
      </w:r>
      <w:r>
        <w:t>za</w:t>
      </w:r>
      <w:r w:rsidRPr="00B31278">
        <w:t xml:space="preserve"> </w:t>
      </w:r>
      <w:r>
        <w:t>sprovo</w:t>
      </w:r>
      <w:r w:rsidRPr="00B31278">
        <w:t>đ</w:t>
      </w:r>
      <w:r>
        <w:t>enje</w:t>
      </w:r>
      <w:r w:rsidRPr="00B31278">
        <w:t xml:space="preserve"> </w:t>
      </w:r>
      <w:r>
        <w:t xml:space="preserve">zakona, Izveštaj o evaluaciji, </w:t>
      </w:r>
      <w:hyperlink r:id="rId19" w:history="1">
        <w:r w:rsidRPr="001A1A34">
          <w:rPr>
            <w:rStyle w:val="Hyperlink"/>
          </w:rPr>
          <w:t>https://rm.coe.int/fifth-evaluation-round-preventing-corruption-and-promoting-integrity-i/1680a8a108</w:t>
        </w:r>
      </w:hyperlink>
    </w:p>
    <w:p w14:paraId="4A126737" w14:textId="3F0E76C2" w:rsidR="005727C5" w:rsidRPr="009B3330" w:rsidRDefault="005727C5">
      <w:pPr>
        <w:pStyle w:val="ListParagraph"/>
        <w:numPr>
          <w:ilvl w:val="0"/>
          <w:numId w:val="7"/>
        </w:numPr>
        <w:spacing w:after="200" w:line="276" w:lineRule="auto"/>
        <w:jc w:val="both"/>
        <w:rPr>
          <w:rFonts w:ascii="Calibri" w:hAnsi="Calibri" w:cs="Calibri"/>
        </w:rPr>
      </w:pPr>
      <w:r>
        <w:t xml:space="preserve">GRETA 2021, Evaluation Report Montenegro, Third Evaluation Round, Access to justice and effective remedies for victims of trafficking in human beings,  </w:t>
      </w:r>
      <w:hyperlink r:id="rId20" w:history="1">
        <w:r w:rsidRPr="001A1A34">
          <w:rPr>
            <w:rStyle w:val="Hyperlink"/>
          </w:rPr>
          <w:t>https://rm.coe.int/evaluation-report-on-the-implementation-of-the-council-of-europe-conve/1680a2aefc</w:t>
        </w:r>
      </w:hyperlink>
    </w:p>
    <w:p w14:paraId="146CFB6A" w14:textId="5F2F0702" w:rsidR="009B3330" w:rsidRPr="009A613C" w:rsidRDefault="009B3330">
      <w:pPr>
        <w:pStyle w:val="ListParagraph"/>
        <w:numPr>
          <w:ilvl w:val="0"/>
          <w:numId w:val="7"/>
        </w:numPr>
        <w:spacing w:after="200" w:line="276" w:lineRule="auto"/>
        <w:jc w:val="both"/>
        <w:rPr>
          <w:rFonts w:ascii="Calibri" w:hAnsi="Calibri" w:cs="Calibri"/>
        </w:rPr>
      </w:pPr>
      <w:r>
        <w:rPr>
          <w:rFonts w:ascii="Calibri" w:hAnsi="Calibri" w:cs="Calibri"/>
        </w:rPr>
        <w:lastRenderedPageBreak/>
        <w:t xml:space="preserve">GREVIO Baseline Evaluation Report </w:t>
      </w:r>
      <w:r>
        <w:t xml:space="preserve">on legislative and other measures giving effect to the provisions of the Council of Europe Convention on Preventing and Combating Violence against Women and Domestic Violence (Istanbul Convention) </w:t>
      </w:r>
      <w:r>
        <w:rPr>
          <w:rFonts w:ascii="Calibri" w:hAnsi="Calibri" w:cs="Calibri"/>
        </w:rPr>
        <w:t>Montenegro, 2018</w:t>
      </w:r>
    </w:p>
    <w:p w14:paraId="0EF81DE0" w14:textId="596F2808"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Istraživanje javnog mnjenja o percepciji nezavisnosti i integriteta pravosuđa u Crnoj Gori, CEMI, Podgorica, 2023</w:t>
      </w:r>
    </w:p>
    <w:p w14:paraId="27CB5496"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Dinamički plan aktivnosti koje vode do ispunjenja privremenih mjerila u poglavlju 23 – Pravosuđe i temeljna prava, Radna grupa za pripremu i vođenje pregovora iz oblasti pravne tekovine koja se odnosi na pregovaračko poglavlje 23, Pravosuđe i temeljna prava, 2021</w:t>
      </w:r>
    </w:p>
    <w:p w14:paraId="2D2844F4"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J. Bulatović, Priručnik za evaluaciju strateških dokumenata, Generalni sekretarijat Vlade Crne Gore, Podgorica, 2022</w:t>
      </w:r>
    </w:p>
    <w:p w14:paraId="7CEA0560" w14:textId="44C33453"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J. Zvizdojević, Smjernice za pripremu strateških dokumenata, Generalni sekretarijat Vlade Crne Gore, Podgorica, 2022</w:t>
      </w:r>
    </w:p>
    <w:p w14:paraId="38DD4011" w14:textId="77777777" w:rsidR="00F10A68" w:rsidRDefault="00F10A68">
      <w:pPr>
        <w:pStyle w:val="ListParagraph"/>
        <w:numPr>
          <w:ilvl w:val="0"/>
          <w:numId w:val="7"/>
        </w:numPr>
        <w:spacing w:after="200" w:line="276" w:lineRule="auto"/>
        <w:jc w:val="both"/>
        <w:rPr>
          <w:rFonts w:cstheme="minorHAnsi"/>
        </w:rPr>
      </w:pPr>
      <w:r w:rsidRPr="009A613C">
        <w:rPr>
          <w:rFonts w:cstheme="minorHAnsi"/>
        </w:rPr>
        <w:t>Janashia, N. &amp; Elezović, S. (2022) Rodna ravnopravnost u sudstvu u Crnoj Gori, Savjet Evrope, Podgorica</w:t>
      </w:r>
    </w:p>
    <w:p w14:paraId="6695DE60" w14:textId="1E81076E" w:rsidR="00D460E1" w:rsidRDefault="00D460E1">
      <w:pPr>
        <w:pStyle w:val="ListParagraph"/>
        <w:numPr>
          <w:ilvl w:val="0"/>
          <w:numId w:val="7"/>
        </w:numPr>
        <w:spacing w:after="200" w:line="276" w:lineRule="auto"/>
        <w:jc w:val="both"/>
        <w:rPr>
          <w:rFonts w:cstheme="minorHAnsi"/>
        </w:rPr>
      </w:pPr>
      <w:r w:rsidRPr="009A613C">
        <w:rPr>
          <w:rFonts w:cstheme="minorHAnsi"/>
        </w:rPr>
        <w:t>Kisjelica, D. (2023) Analiza primjene Zakona o zaštiti prava na suđenje u razumnom roku za period 2017 – 2022, Akcija za ljudska prava i Centar za monitoring i istraživanja, Podgorica.</w:t>
      </w:r>
    </w:p>
    <w:p w14:paraId="6F5850EB" w14:textId="6F46B177" w:rsidR="00F52A08" w:rsidRPr="009A613C" w:rsidRDefault="00F52A08">
      <w:pPr>
        <w:pStyle w:val="ListParagraph"/>
        <w:numPr>
          <w:ilvl w:val="0"/>
          <w:numId w:val="7"/>
        </w:numPr>
        <w:spacing w:after="200" w:line="276" w:lineRule="auto"/>
        <w:jc w:val="both"/>
        <w:rPr>
          <w:rFonts w:cstheme="minorHAnsi"/>
        </w:rPr>
      </w:pPr>
      <w:r>
        <w:rPr>
          <w:lang w:val="sr-Latn-RS"/>
        </w:rPr>
        <w:t>Kolaković-Bojović, M. (2018) Organizacija pravosuđa u Republici Srbiji- reformski okvir i EU standardi, Institut za kriminološka i sociološka istraživanja, Beograd.</w:t>
      </w:r>
    </w:p>
    <w:p w14:paraId="13B1A4E7" w14:textId="3E77F388" w:rsidR="00F10A68" w:rsidRDefault="00F10A68">
      <w:pPr>
        <w:pStyle w:val="ListParagraph"/>
        <w:numPr>
          <w:ilvl w:val="0"/>
          <w:numId w:val="7"/>
        </w:numPr>
        <w:spacing w:after="200" w:line="276" w:lineRule="auto"/>
        <w:jc w:val="both"/>
        <w:rPr>
          <w:rFonts w:cstheme="minorHAnsi"/>
        </w:rPr>
      </w:pPr>
      <w:r w:rsidRPr="009A613C">
        <w:rPr>
          <w:rFonts w:cstheme="minorHAnsi"/>
        </w:rPr>
        <w:t>Metodologija razvijanja politika, izrade i praćenja sprovođenja strateških dokumenata, Generalni sekretarijat Vlade Crne Gore, Podgorica, 2018</w:t>
      </w:r>
      <w:r w:rsidR="00F52A08">
        <w:rPr>
          <w:rFonts w:cstheme="minorHAnsi"/>
        </w:rPr>
        <w:t>.</w:t>
      </w:r>
    </w:p>
    <w:p w14:paraId="6B24B242" w14:textId="79D76E7B" w:rsidR="00204B2C" w:rsidRDefault="00204B2C">
      <w:pPr>
        <w:pStyle w:val="ListParagraph"/>
        <w:numPr>
          <w:ilvl w:val="0"/>
          <w:numId w:val="7"/>
        </w:numPr>
        <w:spacing w:after="200" w:line="276" w:lineRule="auto"/>
        <w:jc w:val="both"/>
        <w:rPr>
          <w:rFonts w:cstheme="minorHAnsi"/>
        </w:rPr>
      </w:pPr>
      <w:r w:rsidRPr="009A613C">
        <w:t xml:space="preserve">Ministarstvo pravde (2022) </w:t>
      </w:r>
      <w:r w:rsidRPr="009A613C">
        <w:rPr>
          <w:rFonts w:cs="Calibri"/>
          <w14:ligatures w14:val="standardContextual"/>
        </w:rPr>
        <w:t>Analiza funkcionisanja sistema izvršenja sudskih odluka 2022. godine</w:t>
      </w:r>
    </w:p>
    <w:p w14:paraId="28086B97" w14:textId="66145832" w:rsidR="00C50B01" w:rsidRDefault="00C50B01">
      <w:pPr>
        <w:pStyle w:val="ListParagraph"/>
        <w:numPr>
          <w:ilvl w:val="0"/>
          <w:numId w:val="7"/>
        </w:numPr>
        <w:spacing w:after="200" w:line="276" w:lineRule="auto"/>
        <w:jc w:val="both"/>
        <w:rPr>
          <w:rFonts w:cstheme="minorHAnsi"/>
        </w:rPr>
      </w:pPr>
      <w:r>
        <w:t xml:space="preserve">MONEYVAL 4th round of mutual evaluation of Montenegro, </w:t>
      </w:r>
      <w:hyperlink r:id="rId21" w:history="1">
        <w:r w:rsidRPr="001A1A34">
          <w:rPr>
            <w:rStyle w:val="Hyperlink"/>
          </w:rPr>
          <w:t>https://rm.coe.int/moneyval-2019-31rev-mgr-4thfollowuprep/16809e6485</w:t>
        </w:r>
      </w:hyperlink>
      <w:r>
        <w:t>, 2020</w:t>
      </w:r>
    </w:p>
    <w:p w14:paraId="0FC1AEC8" w14:textId="096765E7" w:rsidR="008C183F" w:rsidRPr="00BC7F1D" w:rsidRDefault="008C183F">
      <w:pPr>
        <w:pStyle w:val="ListParagraph"/>
        <w:numPr>
          <w:ilvl w:val="0"/>
          <w:numId w:val="7"/>
        </w:numPr>
        <w:spacing w:after="200" w:line="276" w:lineRule="auto"/>
        <w:jc w:val="both"/>
        <w:rPr>
          <w:rFonts w:cstheme="minorHAnsi"/>
        </w:rPr>
      </w:pPr>
      <w:r>
        <w:t>Nacionalna strategija rodne ravnopravnosti 2021-2025</w:t>
      </w:r>
    </w:p>
    <w:p w14:paraId="0DA7912C" w14:textId="0178F4D3" w:rsidR="00F10A68" w:rsidRPr="005251CF" w:rsidRDefault="00BC7F1D" w:rsidP="00C65614">
      <w:pPr>
        <w:pStyle w:val="ListParagraph"/>
        <w:numPr>
          <w:ilvl w:val="0"/>
          <w:numId w:val="7"/>
        </w:numPr>
        <w:spacing w:after="200" w:line="276" w:lineRule="auto"/>
        <w:jc w:val="both"/>
        <w:rPr>
          <w:rFonts w:cstheme="minorHAnsi"/>
        </w:rPr>
      </w:pPr>
      <w:r w:rsidRPr="00BC7F1D">
        <w:t>Nacionalna strategija održivog razvoja do 2030</w:t>
      </w:r>
      <w:r>
        <w:t>. godine</w:t>
      </w:r>
    </w:p>
    <w:p w14:paraId="7078F084"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Program pristupanja Crne Gore Evropskoj uniji 2023–2024, Ministarstvo evropskih poslova, Podgorica, 2023</w:t>
      </w:r>
    </w:p>
    <w:p w14:paraId="1BE10674"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Program pristupanja Crne Gore Evropskoj uniji 2022 – 2023, Ministarstvo evropskih poslova, Podgorica, 2022</w:t>
      </w:r>
    </w:p>
    <w:p w14:paraId="7501FF1D" w14:textId="77777777"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Program rada Vlade Crne Gore za 2023. godinu, Vlada Crne Gore, Podgorica, 2023</w:t>
      </w:r>
    </w:p>
    <w:p w14:paraId="7E4F1068" w14:textId="40A780B9" w:rsidR="00F10A68" w:rsidRPr="008C183F" w:rsidRDefault="00F10A68">
      <w:pPr>
        <w:pStyle w:val="ListParagraph"/>
        <w:numPr>
          <w:ilvl w:val="0"/>
          <w:numId w:val="7"/>
        </w:numPr>
        <w:spacing w:after="200" w:line="276" w:lineRule="auto"/>
        <w:jc w:val="both"/>
        <w:rPr>
          <w:rFonts w:cstheme="minorHAnsi"/>
        </w:rPr>
      </w:pPr>
      <w:r w:rsidRPr="009A613C">
        <w:rPr>
          <w:rFonts w:ascii="Calibri" w:hAnsi="Calibri" w:cs="Calibri"/>
        </w:rPr>
        <w:t>Program rada Vlade Crne Gore za 2019. godinu, Vlada Crne Gore, Podgorica, 2019</w:t>
      </w:r>
    </w:p>
    <w:p w14:paraId="5EACF7F1" w14:textId="60749D04" w:rsidR="008C183F" w:rsidRPr="00EB34E2" w:rsidRDefault="008C183F">
      <w:pPr>
        <w:pStyle w:val="ListParagraph"/>
        <w:numPr>
          <w:ilvl w:val="0"/>
          <w:numId w:val="7"/>
        </w:numPr>
        <w:spacing w:after="200" w:line="276" w:lineRule="auto"/>
        <w:jc w:val="both"/>
        <w:rPr>
          <w:rFonts w:cstheme="minorHAnsi"/>
        </w:rPr>
      </w:pPr>
      <w:r>
        <w:t>Program razvoja informaciono-komunikacionih tehnologija pravosuđa 2021-2023</w:t>
      </w:r>
    </w:p>
    <w:p w14:paraId="51F7063C" w14:textId="4876970A" w:rsidR="00EB34E2" w:rsidRPr="00EB34E2" w:rsidRDefault="00EB34E2">
      <w:pPr>
        <w:pStyle w:val="ListParagraph"/>
        <w:numPr>
          <w:ilvl w:val="0"/>
          <w:numId w:val="7"/>
        </w:numPr>
        <w:spacing w:after="0" w:line="240" w:lineRule="auto"/>
        <w:jc w:val="both"/>
      </w:pPr>
      <w:r w:rsidRPr="009A613C">
        <w:t>Stawa, G. (2022) Analiza potrebe za racionalizacijom mreže pravosudnih organa, s pregledom postojećeg stanja i preporukama za dalji rad (Verzija 2.0), Podrška Evropske unije vladavini prava u Crnoj Gori (EUROL 3)</w:t>
      </w:r>
    </w:p>
    <w:p w14:paraId="6159710D" w14:textId="77777777" w:rsidR="00CF4B19" w:rsidRDefault="00F10A68">
      <w:pPr>
        <w:pStyle w:val="ListParagraph"/>
        <w:numPr>
          <w:ilvl w:val="0"/>
          <w:numId w:val="7"/>
        </w:numPr>
        <w:spacing w:after="200" w:line="276" w:lineRule="auto"/>
        <w:jc w:val="both"/>
        <w:rPr>
          <w:rFonts w:cstheme="minorHAnsi"/>
        </w:rPr>
      </w:pPr>
      <w:r w:rsidRPr="009A613C">
        <w:rPr>
          <w:rFonts w:cstheme="minorHAnsi"/>
        </w:rPr>
        <w:t>Strategija reforme pravosuđa 2019-2022. godine, Ministarstvo pravde, 2019</w:t>
      </w:r>
    </w:p>
    <w:p w14:paraId="6ED3A944" w14:textId="77777777" w:rsidR="000D764A" w:rsidRPr="000D764A" w:rsidRDefault="008C183F">
      <w:pPr>
        <w:pStyle w:val="ListParagraph"/>
        <w:numPr>
          <w:ilvl w:val="0"/>
          <w:numId w:val="7"/>
        </w:numPr>
        <w:spacing w:after="200" w:line="276" w:lineRule="auto"/>
        <w:jc w:val="both"/>
        <w:rPr>
          <w:rFonts w:cstheme="minorHAnsi"/>
        </w:rPr>
      </w:pPr>
      <w:r w:rsidRPr="008C183F">
        <w:rPr>
          <w:lang w:val="fr-FR"/>
        </w:rPr>
        <w:t>Strategija digitalne transformacije Crne Gore 2022-2026</w:t>
      </w:r>
    </w:p>
    <w:p w14:paraId="7F9A969D" w14:textId="77777777" w:rsidR="000D764A" w:rsidRPr="000D764A" w:rsidRDefault="000D764A">
      <w:pPr>
        <w:pStyle w:val="ListParagraph"/>
        <w:numPr>
          <w:ilvl w:val="0"/>
          <w:numId w:val="7"/>
        </w:numPr>
        <w:spacing w:after="200" w:line="276" w:lineRule="auto"/>
        <w:jc w:val="both"/>
        <w:rPr>
          <w:rFonts w:cstheme="minorHAnsi"/>
        </w:rPr>
      </w:pPr>
      <w:r w:rsidRPr="006C7D0C">
        <w:rPr>
          <w:lang w:val="it-IT"/>
        </w:rPr>
        <w:t>Strategija</w:t>
      </w:r>
      <w:r w:rsidRPr="000D764A">
        <w:t xml:space="preserve"> </w:t>
      </w:r>
      <w:r w:rsidRPr="006C7D0C">
        <w:rPr>
          <w:lang w:val="it-IT"/>
        </w:rPr>
        <w:t>za</w:t>
      </w:r>
      <w:r w:rsidRPr="000D764A">
        <w:t xml:space="preserve"> </w:t>
      </w:r>
      <w:r w:rsidRPr="006C7D0C">
        <w:rPr>
          <w:lang w:val="it-IT"/>
        </w:rPr>
        <w:t>borbu</w:t>
      </w:r>
      <w:r w:rsidRPr="000D764A">
        <w:t xml:space="preserve"> </w:t>
      </w:r>
      <w:r w:rsidRPr="006C7D0C">
        <w:rPr>
          <w:lang w:val="it-IT"/>
        </w:rPr>
        <w:t>protiv</w:t>
      </w:r>
      <w:r w:rsidRPr="000D764A">
        <w:t xml:space="preserve"> </w:t>
      </w:r>
      <w:r w:rsidRPr="006C7D0C">
        <w:rPr>
          <w:lang w:val="it-IT"/>
        </w:rPr>
        <w:t>trgovine</w:t>
      </w:r>
      <w:r w:rsidRPr="000D764A">
        <w:t xml:space="preserve"> </w:t>
      </w:r>
      <w:r w:rsidRPr="006C7D0C">
        <w:rPr>
          <w:lang w:val="it-IT"/>
        </w:rPr>
        <w:t>ljudima</w:t>
      </w:r>
      <w:r w:rsidRPr="000D764A">
        <w:t xml:space="preserve"> 2019-2024</w:t>
      </w:r>
    </w:p>
    <w:p w14:paraId="74C51C2F" w14:textId="12B9DE87" w:rsidR="000D764A" w:rsidRPr="000D764A" w:rsidRDefault="000D764A">
      <w:pPr>
        <w:pStyle w:val="ListParagraph"/>
        <w:numPr>
          <w:ilvl w:val="0"/>
          <w:numId w:val="7"/>
        </w:numPr>
        <w:spacing w:after="200" w:line="276" w:lineRule="auto"/>
        <w:jc w:val="both"/>
        <w:rPr>
          <w:rFonts w:cstheme="minorHAnsi"/>
        </w:rPr>
      </w:pPr>
      <w:r w:rsidRPr="000D764A">
        <w:t>Strategija za izvršenje krivičnih sankcija 2023-2026</w:t>
      </w:r>
      <w:r w:rsidRPr="000D764A">
        <w:rPr>
          <w:b/>
          <w:bCs/>
        </w:rPr>
        <w:t xml:space="preserve">, </w:t>
      </w:r>
      <w:hyperlink r:id="rId22" w:history="1">
        <w:r w:rsidRPr="001A1A34">
          <w:rPr>
            <w:rStyle w:val="Hyperlink"/>
          </w:rPr>
          <w:t>https://www.gov.me/dokumenta/7ba33ee1-9c9e-4b32-9afe-c87760d49ed6</w:t>
        </w:r>
      </w:hyperlink>
    </w:p>
    <w:p w14:paraId="45BC164A" w14:textId="79984344" w:rsidR="00CF4B19" w:rsidRPr="00204B2C" w:rsidRDefault="00CF4B19">
      <w:pPr>
        <w:pStyle w:val="ListParagraph"/>
        <w:numPr>
          <w:ilvl w:val="0"/>
          <w:numId w:val="7"/>
        </w:numPr>
        <w:spacing w:after="200" w:line="276" w:lineRule="auto"/>
        <w:jc w:val="both"/>
        <w:rPr>
          <w:rFonts w:cstheme="minorHAnsi"/>
        </w:rPr>
      </w:pPr>
      <w:r w:rsidRPr="00CF4B19">
        <w:lastRenderedPageBreak/>
        <w:t>United Nations Special Rapporteur on the independence of judges and</w:t>
      </w:r>
      <w:r>
        <w:t xml:space="preserve"> </w:t>
      </w:r>
      <w:r w:rsidRPr="00CF4B19">
        <w:t>lawyers</w:t>
      </w:r>
      <w:r>
        <w:t xml:space="preserve"> </w:t>
      </w:r>
      <w:r w:rsidRPr="00CF4B19">
        <w:t>Ms. Margaret SATTERTHWAITE</w:t>
      </w:r>
      <w:r>
        <w:t xml:space="preserve">, </w:t>
      </w:r>
      <w:r w:rsidRPr="00CF4B19">
        <w:t>Preliminary observations on the official visit to Montenegro</w:t>
      </w:r>
      <w:r>
        <w:t xml:space="preserve"> </w:t>
      </w:r>
      <w:r w:rsidRPr="00CF4B19">
        <w:t>(19-26 September 2023)</w:t>
      </w:r>
    </w:p>
    <w:p w14:paraId="7AC6710E" w14:textId="29EC205F" w:rsidR="00204B2C" w:rsidRPr="00204B2C" w:rsidRDefault="00204B2C">
      <w:pPr>
        <w:pStyle w:val="ListParagraph"/>
        <w:numPr>
          <w:ilvl w:val="0"/>
          <w:numId w:val="7"/>
        </w:numPr>
        <w:spacing w:after="200" w:line="276" w:lineRule="auto"/>
        <w:jc w:val="both"/>
        <w:rPr>
          <w:rFonts w:cstheme="minorHAnsi"/>
          <w:sz w:val="24"/>
          <w:szCs w:val="24"/>
        </w:rPr>
      </w:pPr>
      <w:r w:rsidRPr="00204B2C">
        <w:rPr>
          <w:rFonts w:ascii="Calibri" w:hAnsi="Calibri" w:cs="Calibri"/>
          <w14:ligatures w14:val="standardContextual"/>
        </w:rPr>
        <w:t xml:space="preserve">Tmušić, Ž, Abadić, Z, Bogosavljević, J. (2019) </w:t>
      </w:r>
      <w:r w:rsidRPr="00204B2C">
        <w:t>Procjena Infrastrukture pravosudnih organa u Crnoj Gori, EUROL 2, Podgorica</w:t>
      </w:r>
    </w:p>
    <w:p w14:paraId="52AC95B2" w14:textId="5294C510"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Uredba o načinu i postupku izrade, usklađivanja i praćenja sprovođenja strateških dokumenata ("Službeni list CG", br. 54/2018 od 31.7.2018. godine)</w:t>
      </w:r>
    </w:p>
    <w:p w14:paraId="01758297" w14:textId="1D0DF101" w:rsidR="00F10A68" w:rsidRPr="009A613C" w:rsidRDefault="00F10A68">
      <w:pPr>
        <w:pStyle w:val="ListParagraph"/>
        <w:numPr>
          <w:ilvl w:val="0"/>
          <w:numId w:val="7"/>
        </w:numPr>
        <w:spacing w:after="200" w:line="276" w:lineRule="auto"/>
        <w:jc w:val="both"/>
        <w:rPr>
          <w:rFonts w:cstheme="minorHAnsi"/>
        </w:rPr>
      </w:pPr>
      <w:r w:rsidRPr="009A613C">
        <w:rPr>
          <w:rFonts w:cstheme="minorHAnsi"/>
        </w:rPr>
        <w:t>Završni izvještaj o sprovođenju Strategije reforme pravosuđa 2019-2022, Savjet za praćenje sprovođenja Strategije reforme pravosuđa 2019-2022. godine, Vlada Crne Gore, Podgorica, 2023</w:t>
      </w:r>
    </w:p>
    <w:p w14:paraId="1E5A2BB3" w14:textId="77777777" w:rsidR="00F10A68" w:rsidRPr="00F10A68" w:rsidRDefault="00F10A68" w:rsidP="00411742">
      <w:pPr>
        <w:spacing w:after="0" w:line="276" w:lineRule="auto"/>
        <w:ind w:left="360"/>
        <w:jc w:val="both"/>
        <w:rPr>
          <w:sz w:val="20"/>
          <w:szCs w:val="20"/>
        </w:rPr>
      </w:pPr>
    </w:p>
    <w:sectPr w:rsidR="00F10A68" w:rsidRPr="00F10A68" w:rsidSect="00653937">
      <w:headerReference w:type="even" r:id="rId23"/>
      <w:headerReference w:type="default" r:id="rId24"/>
      <w:footerReference w:type="default" r:id="rId25"/>
      <w:headerReference w:type="first" r:id="rId26"/>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A83724" w16cex:dateUtc="2024-01-17T13:52:00Z"/>
  <w16cex:commentExtensible w16cex:durableId="579B5F89" w16cex:dateUtc="2024-01-09T11:00:00Z"/>
  <w16cex:commentExtensible w16cex:durableId="19EE13DB" w16cex:dateUtc="2024-01-09T17:48:00Z"/>
  <w16cex:commentExtensible w16cex:durableId="2B18FAB4" w16cex:dateUtc="2024-01-09T1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1B8C1" w14:textId="77777777" w:rsidR="004367AB" w:rsidRPr="009A613C" w:rsidRDefault="004367AB" w:rsidP="00A8182E">
      <w:pPr>
        <w:spacing w:after="0" w:line="240" w:lineRule="auto"/>
      </w:pPr>
      <w:r w:rsidRPr="009A613C">
        <w:separator/>
      </w:r>
    </w:p>
  </w:endnote>
  <w:endnote w:type="continuationSeparator" w:id="0">
    <w:p w14:paraId="57DE8F94" w14:textId="77777777" w:rsidR="004367AB" w:rsidRPr="009A613C" w:rsidRDefault="004367AB" w:rsidP="00A8182E">
      <w:pPr>
        <w:spacing w:after="0" w:line="240" w:lineRule="auto"/>
      </w:pPr>
      <w:r w:rsidRPr="009A6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 Pro">
    <w:altName w:val="Calibri"/>
    <w:charset w:val="EE"/>
    <w:family w:val="auto"/>
    <w:pitch w:val="default"/>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EE"/>
    <w:family w:val="swiss"/>
    <w:notTrueType/>
    <w:pitch w:val="default"/>
    <w:sig w:usb0="00000005" w:usb1="00000000" w:usb2="00000000" w:usb3="00000000" w:csb0="00000002" w:csb1="00000000"/>
  </w:font>
  <w:font w:name="MyriadPro-Light">
    <w:altName w:val="Calibri"/>
    <w:panose1 w:val="00000000000000000000"/>
    <w:charset w:val="EE"/>
    <w:family w:val="swiss"/>
    <w:notTrueType/>
    <w:pitch w:val="default"/>
    <w:sig w:usb0="00000005" w:usb1="00000000" w:usb2="00000000" w:usb3="00000000" w:csb0="00000002"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84118"/>
      <w:docPartObj>
        <w:docPartGallery w:val="Page Numbers (Bottom of Page)"/>
        <w:docPartUnique/>
      </w:docPartObj>
    </w:sdtPr>
    <w:sdtEndPr/>
    <w:sdtContent>
      <w:p w14:paraId="66F0CAA7" w14:textId="78B7F9EF" w:rsidR="00D16499" w:rsidRPr="009A613C" w:rsidRDefault="00D16499">
        <w:pPr>
          <w:pStyle w:val="Footer"/>
          <w:jc w:val="right"/>
        </w:pPr>
        <w:r w:rsidRPr="009A613C">
          <w:fldChar w:fldCharType="begin"/>
        </w:r>
        <w:r w:rsidRPr="009A613C">
          <w:instrText xml:space="preserve"> PAGE   \* MERGEFORMAT </w:instrText>
        </w:r>
        <w:r w:rsidRPr="009A613C">
          <w:fldChar w:fldCharType="separate"/>
        </w:r>
        <w:r w:rsidR="00462475">
          <w:rPr>
            <w:noProof/>
          </w:rPr>
          <w:t>3</w:t>
        </w:r>
        <w:r w:rsidRPr="009A613C">
          <w:fldChar w:fldCharType="end"/>
        </w:r>
      </w:p>
    </w:sdtContent>
  </w:sdt>
  <w:p w14:paraId="38B35010" w14:textId="77777777" w:rsidR="00D16499" w:rsidRPr="009A613C" w:rsidRDefault="00D16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95E6" w14:textId="77777777" w:rsidR="004367AB" w:rsidRPr="009A613C" w:rsidRDefault="004367AB" w:rsidP="00A8182E">
      <w:pPr>
        <w:spacing w:after="0" w:line="240" w:lineRule="auto"/>
      </w:pPr>
      <w:r w:rsidRPr="009A613C">
        <w:separator/>
      </w:r>
    </w:p>
  </w:footnote>
  <w:footnote w:type="continuationSeparator" w:id="0">
    <w:p w14:paraId="7E5EA2C2" w14:textId="77777777" w:rsidR="004367AB" w:rsidRPr="009A613C" w:rsidRDefault="004367AB" w:rsidP="00A8182E">
      <w:pPr>
        <w:spacing w:after="0" w:line="240" w:lineRule="auto"/>
      </w:pPr>
      <w:r w:rsidRPr="009A613C">
        <w:continuationSeparator/>
      </w:r>
    </w:p>
  </w:footnote>
  <w:footnote w:id="1">
    <w:p w14:paraId="436FD375" w14:textId="77777777" w:rsidR="00D16499" w:rsidRPr="009A613C" w:rsidRDefault="00D16499" w:rsidP="00BA59D5">
      <w:pPr>
        <w:pStyle w:val="FootnoteText"/>
        <w:jc w:val="both"/>
        <w:rPr>
          <w:lang w:val="sr-Latn-ME"/>
        </w:rPr>
      </w:pPr>
      <w:r w:rsidRPr="009A613C">
        <w:rPr>
          <w:rStyle w:val="FootnoteReference"/>
          <w:lang w:val="sr-Latn-ME"/>
        </w:rPr>
        <w:footnoteRef/>
      </w:r>
      <w:r w:rsidRPr="009A613C">
        <w:rPr>
          <w:lang w:val="sr-Latn-ME"/>
        </w:rPr>
        <w:t xml:space="preserve"> Vidjeti relevantne verzije akcionih planova za Poglavlje 23 :  Akcioni plan za Poglavlje 23- Pravosuđe i temeljna prava (2013), dostupno na : </w:t>
      </w:r>
      <w:hyperlink r:id="rId1" w:history="1">
        <w:r w:rsidRPr="009A613C">
          <w:rPr>
            <w:rStyle w:val="Hyperlink"/>
            <w:lang w:val="sr-Latn-ME"/>
          </w:rPr>
          <w:t>https://www.gov.me/dokumenta/fab71e67-b278-42cf-89c5-ac69741d82b1</w:t>
        </w:r>
      </w:hyperlink>
      <w:r w:rsidRPr="009A613C">
        <w:rPr>
          <w:lang w:val="sr-Latn-ME"/>
        </w:rPr>
        <w:t xml:space="preserve">, Akcioni plan za Poglavlje 23- Pravosuđe i temeljna prava (2015), dostupno na : </w:t>
      </w:r>
      <w:hyperlink r:id="rId2" w:history="1">
        <w:r w:rsidRPr="009A613C">
          <w:rPr>
            <w:rStyle w:val="Hyperlink"/>
            <w:lang w:val="sr-Latn-ME"/>
          </w:rPr>
          <w:t>https://www.eu.me/wpfd_file/akcioni-plan-za-poglavlje-23-pravosudje-i-temeljna-prava/</w:t>
        </w:r>
      </w:hyperlink>
      <w:r w:rsidRPr="009A613C">
        <w:rPr>
          <w:lang w:val="sr-Latn-ME"/>
        </w:rPr>
        <w:t xml:space="preserve">, Dinamički plan aktivnosti koje vode do ispunjenja privremenih mjerila u poglavlju 23 – Pravosuđe i temeljna prava, dostupno na: </w:t>
      </w:r>
      <w:hyperlink r:id="rId3" w:history="1">
        <w:r w:rsidRPr="009A613C">
          <w:rPr>
            <w:rStyle w:val="Hyperlink"/>
            <w:lang w:val="sr-Latn-ME"/>
          </w:rPr>
          <w:t>https://www.gov.me/biblioteka?page=1&amp;sort=published_at&amp;q=23&amp;dt=7</w:t>
        </w:r>
      </w:hyperlink>
      <w:r w:rsidRPr="009A613C">
        <w:rPr>
          <w:lang w:val="sr-Latn-ME"/>
        </w:rPr>
        <w:t>, pristupljeno 9.5.2023. godine.</w:t>
      </w:r>
    </w:p>
  </w:footnote>
  <w:footnote w:id="2">
    <w:p w14:paraId="135D0307" w14:textId="6F43797E" w:rsidR="00D16499" w:rsidRPr="006C7D0C" w:rsidRDefault="00D16499">
      <w:pPr>
        <w:pStyle w:val="FootnoteText"/>
        <w:rPr>
          <w:lang w:val="it-IT"/>
        </w:rPr>
      </w:pPr>
      <w:r>
        <w:rPr>
          <w:rStyle w:val="FootnoteReference"/>
        </w:rPr>
        <w:footnoteRef/>
      </w:r>
      <w:r w:rsidRPr="006C7D0C">
        <w:rPr>
          <w:lang w:val="it-IT"/>
        </w:rPr>
        <w:t xml:space="preserve"> Nacionalna strategija održivog razvoja do 2030. godine, </w:t>
      </w:r>
      <w:hyperlink r:id="rId4" w:history="1">
        <w:r w:rsidRPr="006C7D0C">
          <w:rPr>
            <w:rStyle w:val="Hyperlink"/>
            <w:lang w:val="it-IT"/>
          </w:rPr>
          <w:t>https://www.gov.me/dokumenta/6852d215-af43-4671-b940-cbd0525896c1</w:t>
        </w:r>
      </w:hyperlink>
      <w:r w:rsidRPr="006C7D0C">
        <w:rPr>
          <w:lang w:val="it-IT"/>
        </w:rPr>
        <w:t xml:space="preserve">  </w:t>
      </w:r>
    </w:p>
  </w:footnote>
  <w:footnote w:id="3">
    <w:p w14:paraId="13825EBF" w14:textId="01601949" w:rsidR="00D16499" w:rsidRPr="000D764A" w:rsidRDefault="00D16499" w:rsidP="00EE0F2C">
      <w:pPr>
        <w:pStyle w:val="FootnoteText"/>
        <w:jc w:val="both"/>
        <w:rPr>
          <w:lang w:val="sr-Latn-ME"/>
        </w:rPr>
      </w:pPr>
      <w:r>
        <w:rPr>
          <w:rStyle w:val="FootnoteReference"/>
        </w:rPr>
        <w:footnoteRef/>
      </w:r>
      <w:r w:rsidRPr="000D764A">
        <w:rPr>
          <w:lang w:val="sr-Latn-ME"/>
        </w:rPr>
        <w:t xml:space="preserve"> </w:t>
      </w:r>
      <w:r w:rsidRPr="006C7D0C">
        <w:rPr>
          <w:lang w:val="it-IT"/>
        </w:rPr>
        <w:t xml:space="preserve">Strategija za borbu protiv trgovine ljudima 2019-2024, </w:t>
      </w:r>
      <w:hyperlink r:id="rId5" w:history="1">
        <w:r w:rsidRPr="006C7D0C">
          <w:rPr>
            <w:rStyle w:val="Hyperlink"/>
            <w:lang w:val="it-IT"/>
          </w:rPr>
          <w:t>https://www.gov.me/dokumenta/ffaddb5a-c40e-4ab2-ad5d-3606cfca4a97</w:t>
        </w:r>
      </w:hyperlink>
      <w:r w:rsidRPr="006C7D0C">
        <w:rPr>
          <w:lang w:val="it-IT"/>
        </w:rPr>
        <w:t xml:space="preserve"> </w:t>
      </w:r>
    </w:p>
  </w:footnote>
  <w:footnote w:id="4">
    <w:p w14:paraId="244E62F7" w14:textId="324E55C0" w:rsidR="00D16499" w:rsidRPr="000D764A" w:rsidRDefault="00D16499" w:rsidP="00EE0F2C">
      <w:pPr>
        <w:pStyle w:val="FootnoteText"/>
        <w:jc w:val="both"/>
        <w:rPr>
          <w:lang w:val="sr-Latn-ME"/>
        </w:rPr>
      </w:pPr>
      <w:r>
        <w:rPr>
          <w:rStyle w:val="FootnoteReference"/>
        </w:rPr>
        <w:footnoteRef/>
      </w:r>
      <w:r w:rsidRPr="000D764A">
        <w:rPr>
          <w:lang w:val="sr-Latn-ME"/>
        </w:rPr>
        <w:t xml:space="preserve"> </w:t>
      </w:r>
      <w:r w:rsidRPr="000D764A">
        <w:t>Strategija</w:t>
      </w:r>
      <w:r w:rsidRPr="000D764A">
        <w:rPr>
          <w:lang w:val="sr-Latn-ME"/>
        </w:rPr>
        <w:t xml:space="preserve"> </w:t>
      </w:r>
      <w:r w:rsidRPr="000D764A">
        <w:t>za</w:t>
      </w:r>
      <w:r w:rsidRPr="000D764A">
        <w:rPr>
          <w:lang w:val="sr-Latn-ME"/>
        </w:rPr>
        <w:t xml:space="preserve"> </w:t>
      </w:r>
      <w:r w:rsidRPr="000D764A">
        <w:t>izvr</w:t>
      </w:r>
      <w:r w:rsidRPr="000D764A">
        <w:rPr>
          <w:lang w:val="sr-Latn-ME"/>
        </w:rPr>
        <w:t>š</w:t>
      </w:r>
      <w:r w:rsidRPr="000D764A">
        <w:t>enje</w:t>
      </w:r>
      <w:r w:rsidRPr="000D764A">
        <w:rPr>
          <w:lang w:val="sr-Latn-ME"/>
        </w:rPr>
        <w:t xml:space="preserve"> </w:t>
      </w:r>
      <w:r w:rsidRPr="000D764A">
        <w:t>krivi</w:t>
      </w:r>
      <w:r w:rsidRPr="000D764A">
        <w:rPr>
          <w:lang w:val="sr-Latn-ME"/>
        </w:rPr>
        <w:t>č</w:t>
      </w:r>
      <w:r w:rsidRPr="000D764A">
        <w:t>nih</w:t>
      </w:r>
      <w:r w:rsidRPr="000D764A">
        <w:rPr>
          <w:lang w:val="sr-Latn-ME"/>
        </w:rPr>
        <w:t xml:space="preserve"> </w:t>
      </w:r>
      <w:r w:rsidRPr="000D764A">
        <w:t>sankcija</w:t>
      </w:r>
      <w:r w:rsidRPr="000D764A">
        <w:rPr>
          <w:lang w:val="sr-Latn-ME"/>
        </w:rPr>
        <w:t xml:space="preserve"> 2023-2026</w:t>
      </w:r>
      <w:r w:rsidRPr="000D764A">
        <w:rPr>
          <w:b/>
          <w:bCs/>
          <w:lang w:val="sr-Latn-ME"/>
        </w:rPr>
        <w:t xml:space="preserve">, </w:t>
      </w:r>
      <w:hyperlink r:id="rId6" w:history="1">
        <w:r w:rsidRPr="001A1A34">
          <w:rPr>
            <w:rStyle w:val="Hyperlink"/>
          </w:rPr>
          <w:t>https</w:t>
        </w:r>
        <w:r w:rsidRPr="001A1A34">
          <w:rPr>
            <w:rStyle w:val="Hyperlink"/>
            <w:lang w:val="sr-Latn-ME"/>
          </w:rPr>
          <w:t>://</w:t>
        </w:r>
        <w:r w:rsidRPr="001A1A34">
          <w:rPr>
            <w:rStyle w:val="Hyperlink"/>
          </w:rPr>
          <w:t>www</w:t>
        </w:r>
        <w:r w:rsidRPr="001A1A34">
          <w:rPr>
            <w:rStyle w:val="Hyperlink"/>
            <w:lang w:val="sr-Latn-ME"/>
          </w:rPr>
          <w:t>.</w:t>
        </w:r>
        <w:r w:rsidRPr="001A1A34">
          <w:rPr>
            <w:rStyle w:val="Hyperlink"/>
          </w:rPr>
          <w:t>gov</w:t>
        </w:r>
        <w:r w:rsidRPr="001A1A34">
          <w:rPr>
            <w:rStyle w:val="Hyperlink"/>
            <w:lang w:val="sr-Latn-ME"/>
          </w:rPr>
          <w:t>.</w:t>
        </w:r>
        <w:r w:rsidRPr="001A1A34">
          <w:rPr>
            <w:rStyle w:val="Hyperlink"/>
          </w:rPr>
          <w:t>me</w:t>
        </w:r>
        <w:r w:rsidRPr="001A1A34">
          <w:rPr>
            <w:rStyle w:val="Hyperlink"/>
            <w:lang w:val="sr-Latn-ME"/>
          </w:rPr>
          <w:t>/</w:t>
        </w:r>
        <w:r w:rsidRPr="001A1A34">
          <w:rPr>
            <w:rStyle w:val="Hyperlink"/>
          </w:rPr>
          <w:t>dokumenta</w:t>
        </w:r>
        <w:r w:rsidRPr="001A1A34">
          <w:rPr>
            <w:rStyle w:val="Hyperlink"/>
            <w:lang w:val="sr-Latn-ME"/>
          </w:rPr>
          <w:t>/7</w:t>
        </w:r>
        <w:r w:rsidRPr="001A1A34">
          <w:rPr>
            <w:rStyle w:val="Hyperlink"/>
          </w:rPr>
          <w:t>ba</w:t>
        </w:r>
        <w:r w:rsidRPr="001A1A34">
          <w:rPr>
            <w:rStyle w:val="Hyperlink"/>
            <w:lang w:val="sr-Latn-ME"/>
          </w:rPr>
          <w:t>33</w:t>
        </w:r>
        <w:r w:rsidRPr="001A1A34">
          <w:rPr>
            <w:rStyle w:val="Hyperlink"/>
          </w:rPr>
          <w:t>ee</w:t>
        </w:r>
        <w:r w:rsidRPr="001A1A34">
          <w:rPr>
            <w:rStyle w:val="Hyperlink"/>
            <w:lang w:val="sr-Latn-ME"/>
          </w:rPr>
          <w:t>1-9</w:t>
        </w:r>
        <w:r w:rsidRPr="001A1A34">
          <w:rPr>
            <w:rStyle w:val="Hyperlink"/>
          </w:rPr>
          <w:t>c</w:t>
        </w:r>
        <w:r w:rsidRPr="001A1A34">
          <w:rPr>
            <w:rStyle w:val="Hyperlink"/>
            <w:lang w:val="sr-Latn-ME"/>
          </w:rPr>
          <w:t>9</w:t>
        </w:r>
        <w:r w:rsidRPr="001A1A34">
          <w:rPr>
            <w:rStyle w:val="Hyperlink"/>
          </w:rPr>
          <w:t>e</w:t>
        </w:r>
        <w:r w:rsidRPr="001A1A34">
          <w:rPr>
            <w:rStyle w:val="Hyperlink"/>
            <w:lang w:val="sr-Latn-ME"/>
          </w:rPr>
          <w:t>-4</w:t>
        </w:r>
        <w:r w:rsidRPr="001A1A34">
          <w:rPr>
            <w:rStyle w:val="Hyperlink"/>
          </w:rPr>
          <w:t>b</w:t>
        </w:r>
        <w:r w:rsidRPr="001A1A34">
          <w:rPr>
            <w:rStyle w:val="Hyperlink"/>
            <w:lang w:val="sr-Latn-ME"/>
          </w:rPr>
          <w:t>32-9</w:t>
        </w:r>
        <w:r w:rsidRPr="001A1A34">
          <w:rPr>
            <w:rStyle w:val="Hyperlink"/>
          </w:rPr>
          <w:t>afe</w:t>
        </w:r>
        <w:r w:rsidRPr="001A1A34">
          <w:rPr>
            <w:rStyle w:val="Hyperlink"/>
            <w:lang w:val="sr-Latn-ME"/>
          </w:rPr>
          <w:t>-</w:t>
        </w:r>
        <w:r w:rsidRPr="001A1A34">
          <w:rPr>
            <w:rStyle w:val="Hyperlink"/>
          </w:rPr>
          <w:t>c</w:t>
        </w:r>
        <w:r w:rsidRPr="001A1A34">
          <w:rPr>
            <w:rStyle w:val="Hyperlink"/>
            <w:lang w:val="sr-Latn-ME"/>
          </w:rPr>
          <w:t>87760</w:t>
        </w:r>
        <w:r w:rsidRPr="001A1A34">
          <w:rPr>
            <w:rStyle w:val="Hyperlink"/>
          </w:rPr>
          <w:t>d</w:t>
        </w:r>
        <w:r w:rsidRPr="001A1A34">
          <w:rPr>
            <w:rStyle w:val="Hyperlink"/>
            <w:lang w:val="sr-Latn-ME"/>
          </w:rPr>
          <w:t>49</w:t>
        </w:r>
        <w:r w:rsidRPr="001A1A34">
          <w:rPr>
            <w:rStyle w:val="Hyperlink"/>
          </w:rPr>
          <w:t>ed</w:t>
        </w:r>
        <w:r w:rsidRPr="001A1A34">
          <w:rPr>
            <w:rStyle w:val="Hyperlink"/>
            <w:lang w:val="sr-Latn-ME"/>
          </w:rPr>
          <w:t>6</w:t>
        </w:r>
      </w:hyperlink>
      <w:r>
        <w:rPr>
          <w:lang w:val="sr-Latn-ME"/>
        </w:rPr>
        <w:t xml:space="preserve"> </w:t>
      </w:r>
    </w:p>
  </w:footnote>
  <w:footnote w:id="5">
    <w:p w14:paraId="44874250" w14:textId="5F848DD2" w:rsidR="00D16499" w:rsidRPr="00EE0F2C" w:rsidRDefault="00D16499" w:rsidP="00EE0F2C">
      <w:pPr>
        <w:pStyle w:val="FootnoteText"/>
        <w:jc w:val="both"/>
        <w:rPr>
          <w:lang w:val="sr-Latn-ME"/>
        </w:rPr>
      </w:pPr>
      <w:r>
        <w:rPr>
          <w:rStyle w:val="FootnoteReference"/>
        </w:rPr>
        <w:footnoteRef/>
      </w:r>
      <w:r w:rsidRPr="00EE0F2C">
        <w:rPr>
          <w:lang w:val="sr-Latn-ME"/>
        </w:rPr>
        <w:t xml:space="preserve"> </w:t>
      </w:r>
      <w:r w:rsidRPr="006C7D0C">
        <w:rPr>
          <w:lang w:val="it-IT"/>
        </w:rPr>
        <w:t>Strategija</w:t>
      </w:r>
      <w:r w:rsidRPr="00EE0F2C">
        <w:rPr>
          <w:lang w:val="sr-Latn-ME"/>
        </w:rPr>
        <w:t xml:space="preserve"> </w:t>
      </w:r>
      <w:r w:rsidRPr="006C7D0C">
        <w:rPr>
          <w:lang w:val="it-IT"/>
        </w:rPr>
        <w:t>za</w:t>
      </w:r>
      <w:r w:rsidRPr="00EE0F2C">
        <w:rPr>
          <w:lang w:val="sr-Latn-ME"/>
        </w:rPr>
        <w:t xml:space="preserve"> </w:t>
      </w:r>
      <w:r w:rsidRPr="006C7D0C">
        <w:rPr>
          <w:lang w:val="it-IT"/>
        </w:rPr>
        <w:t>prevenciju</w:t>
      </w:r>
      <w:r w:rsidRPr="00EE0F2C">
        <w:rPr>
          <w:lang w:val="sr-Latn-ME"/>
        </w:rPr>
        <w:t xml:space="preserve"> </w:t>
      </w:r>
      <w:r w:rsidRPr="006C7D0C">
        <w:rPr>
          <w:lang w:val="it-IT"/>
        </w:rPr>
        <w:t>i</w:t>
      </w:r>
      <w:r w:rsidRPr="00EE0F2C">
        <w:rPr>
          <w:lang w:val="sr-Latn-ME"/>
        </w:rPr>
        <w:t xml:space="preserve"> </w:t>
      </w:r>
      <w:r w:rsidRPr="006C7D0C">
        <w:rPr>
          <w:lang w:val="it-IT"/>
        </w:rPr>
        <w:t>suzbijanje</w:t>
      </w:r>
      <w:r w:rsidRPr="00EE0F2C">
        <w:rPr>
          <w:lang w:val="sr-Latn-ME"/>
        </w:rPr>
        <w:t xml:space="preserve"> </w:t>
      </w:r>
      <w:r w:rsidRPr="006C7D0C">
        <w:rPr>
          <w:lang w:val="it-IT"/>
        </w:rPr>
        <w:t>terorizma</w:t>
      </w:r>
      <w:r w:rsidRPr="00EE0F2C">
        <w:rPr>
          <w:lang w:val="sr-Latn-ME"/>
        </w:rPr>
        <w:t xml:space="preserve">, </w:t>
      </w:r>
      <w:r w:rsidRPr="006C7D0C">
        <w:rPr>
          <w:lang w:val="it-IT"/>
        </w:rPr>
        <w:t>pranja</w:t>
      </w:r>
      <w:r w:rsidRPr="00EE0F2C">
        <w:rPr>
          <w:lang w:val="sr-Latn-ME"/>
        </w:rPr>
        <w:t xml:space="preserve"> </w:t>
      </w:r>
      <w:r w:rsidRPr="006C7D0C">
        <w:rPr>
          <w:lang w:val="it-IT"/>
        </w:rPr>
        <w:t>novca</w:t>
      </w:r>
      <w:r w:rsidRPr="00EE0F2C">
        <w:rPr>
          <w:lang w:val="sr-Latn-ME"/>
        </w:rPr>
        <w:t xml:space="preserve"> </w:t>
      </w:r>
      <w:r w:rsidRPr="006C7D0C">
        <w:rPr>
          <w:lang w:val="it-IT"/>
        </w:rPr>
        <w:t>i</w:t>
      </w:r>
      <w:r w:rsidRPr="00EE0F2C">
        <w:rPr>
          <w:lang w:val="sr-Latn-ME"/>
        </w:rPr>
        <w:t xml:space="preserve"> </w:t>
      </w:r>
      <w:r w:rsidRPr="006C7D0C">
        <w:rPr>
          <w:lang w:val="it-IT"/>
        </w:rPr>
        <w:t>finansiranja</w:t>
      </w:r>
      <w:r w:rsidRPr="00EE0F2C">
        <w:rPr>
          <w:lang w:val="sr-Latn-ME"/>
        </w:rPr>
        <w:t xml:space="preserve"> </w:t>
      </w:r>
      <w:r w:rsidRPr="006C7D0C">
        <w:rPr>
          <w:lang w:val="it-IT"/>
        </w:rPr>
        <w:t>terorizma</w:t>
      </w:r>
      <w:r w:rsidRPr="00EE0F2C">
        <w:rPr>
          <w:lang w:val="sr-Latn-ME"/>
        </w:rPr>
        <w:t xml:space="preserve"> </w:t>
      </w:r>
      <w:r w:rsidRPr="006C7D0C">
        <w:rPr>
          <w:lang w:val="it-IT"/>
        </w:rPr>
        <w:t>za</w:t>
      </w:r>
      <w:r w:rsidRPr="00EE0F2C">
        <w:rPr>
          <w:lang w:val="sr-Latn-ME"/>
        </w:rPr>
        <w:t xml:space="preserve"> 2022-2025</w:t>
      </w:r>
      <w:r>
        <w:rPr>
          <w:lang w:val="sr-Latn-ME"/>
        </w:rPr>
        <w:t xml:space="preserve">, </w:t>
      </w:r>
      <w:hyperlink r:id="rId7" w:history="1">
        <w:r w:rsidRPr="001A1A34">
          <w:rPr>
            <w:rStyle w:val="Hyperlink"/>
            <w:lang w:val="sr-Latn-ME"/>
          </w:rPr>
          <w:t>https://www.gov.me/dokumenta/74aa43fb-3f67-4ecf-b741-e3dad584a5d2</w:t>
        </w:r>
      </w:hyperlink>
      <w:r>
        <w:rPr>
          <w:lang w:val="sr-Latn-ME"/>
        </w:rPr>
        <w:t xml:space="preserve"> </w:t>
      </w:r>
    </w:p>
  </w:footnote>
  <w:footnote w:id="6">
    <w:p w14:paraId="06DAA59D" w14:textId="4D19D2AB" w:rsidR="00D16499" w:rsidRPr="000D764A" w:rsidRDefault="00D16499" w:rsidP="00EE0F2C">
      <w:pPr>
        <w:pStyle w:val="FootnoteText"/>
        <w:jc w:val="both"/>
        <w:rPr>
          <w:lang w:val="sr-Latn-ME"/>
        </w:rPr>
      </w:pPr>
      <w:r>
        <w:rPr>
          <w:rStyle w:val="FootnoteReference"/>
        </w:rPr>
        <w:footnoteRef/>
      </w:r>
      <w:r w:rsidRPr="000D764A">
        <w:rPr>
          <w:lang w:val="sr-Latn-ME"/>
        </w:rPr>
        <w:t xml:space="preserve"> </w:t>
      </w:r>
      <w:r w:rsidRPr="006C7D0C">
        <w:rPr>
          <w:lang w:val="it-IT"/>
        </w:rPr>
        <w:t>Nacionalna</w:t>
      </w:r>
      <w:r w:rsidRPr="000D764A">
        <w:rPr>
          <w:lang w:val="sr-Latn-ME"/>
        </w:rPr>
        <w:t xml:space="preserve"> </w:t>
      </w:r>
      <w:r w:rsidRPr="006C7D0C">
        <w:rPr>
          <w:lang w:val="it-IT"/>
        </w:rPr>
        <w:t>strategija</w:t>
      </w:r>
      <w:r w:rsidRPr="000D764A">
        <w:rPr>
          <w:lang w:val="sr-Latn-ME"/>
        </w:rPr>
        <w:t xml:space="preserve"> </w:t>
      </w:r>
      <w:r w:rsidRPr="006C7D0C">
        <w:rPr>
          <w:lang w:val="it-IT"/>
        </w:rPr>
        <w:t>rodne</w:t>
      </w:r>
      <w:r w:rsidRPr="000D764A">
        <w:rPr>
          <w:lang w:val="sr-Latn-ME"/>
        </w:rPr>
        <w:t xml:space="preserve"> </w:t>
      </w:r>
      <w:r w:rsidRPr="006C7D0C">
        <w:rPr>
          <w:lang w:val="it-IT"/>
        </w:rPr>
        <w:t>ravnopravnosti</w:t>
      </w:r>
      <w:r w:rsidRPr="000D764A">
        <w:rPr>
          <w:lang w:val="sr-Latn-ME"/>
        </w:rPr>
        <w:t xml:space="preserve"> 2021-2025, </w:t>
      </w:r>
      <w:hyperlink r:id="rId8" w:history="1">
        <w:r w:rsidRPr="006C7D0C">
          <w:rPr>
            <w:rStyle w:val="Hyperlink"/>
            <w:lang w:val="it-IT"/>
          </w:rPr>
          <w:t>https</w:t>
        </w:r>
        <w:r w:rsidRPr="000D764A">
          <w:rPr>
            <w:rStyle w:val="Hyperlink"/>
            <w:lang w:val="sr-Latn-ME"/>
          </w:rPr>
          <w:t>://</w:t>
        </w:r>
        <w:r w:rsidRPr="006C7D0C">
          <w:rPr>
            <w:rStyle w:val="Hyperlink"/>
            <w:lang w:val="it-IT"/>
          </w:rPr>
          <w:t>www</w:t>
        </w:r>
        <w:r w:rsidRPr="000D764A">
          <w:rPr>
            <w:rStyle w:val="Hyperlink"/>
            <w:lang w:val="sr-Latn-ME"/>
          </w:rPr>
          <w:t>.</w:t>
        </w:r>
        <w:r w:rsidRPr="006C7D0C">
          <w:rPr>
            <w:rStyle w:val="Hyperlink"/>
            <w:lang w:val="it-IT"/>
          </w:rPr>
          <w:t>gov</w:t>
        </w:r>
        <w:r w:rsidRPr="000D764A">
          <w:rPr>
            <w:rStyle w:val="Hyperlink"/>
            <w:lang w:val="sr-Latn-ME"/>
          </w:rPr>
          <w:t>.</w:t>
        </w:r>
        <w:r w:rsidRPr="006C7D0C">
          <w:rPr>
            <w:rStyle w:val="Hyperlink"/>
            <w:lang w:val="it-IT"/>
          </w:rPr>
          <w:t>me</w:t>
        </w:r>
        <w:r w:rsidRPr="000D764A">
          <w:rPr>
            <w:rStyle w:val="Hyperlink"/>
            <w:lang w:val="sr-Latn-ME"/>
          </w:rPr>
          <w:t>/</w:t>
        </w:r>
        <w:r w:rsidRPr="006C7D0C">
          <w:rPr>
            <w:rStyle w:val="Hyperlink"/>
            <w:lang w:val="it-IT"/>
          </w:rPr>
          <w:t>dokumenta</w:t>
        </w:r>
        <w:r w:rsidRPr="000D764A">
          <w:rPr>
            <w:rStyle w:val="Hyperlink"/>
            <w:lang w:val="sr-Latn-ME"/>
          </w:rPr>
          <w:t>/26</w:t>
        </w:r>
        <w:r w:rsidRPr="006C7D0C">
          <w:rPr>
            <w:rStyle w:val="Hyperlink"/>
            <w:lang w:val="it-IT"/>
          </w:rPr>
          <w:t>b</w:t>
        </w:r>
        <w:r w:rsidRPr="000D764A">
          <w:rPr>
            <w:rStyle w:val="Hyperlink"/>
            <w:lang w:val="sr-Latn-ME"/>
          </w:rPr>
          <w:t>0</w:t>
        </w:r>
        <w:r w:rsidRPr="006C7D0C">
          <w:rPr>
            <w:rStyle w:val="Hyperlink"/>
            <w:lang w:val="it-IT"/>
          </w:rPr>
          <w:t>c</w:t>
        </w:r>
        <w:r w:rsidRPr="000D764A">
          <w:rPr>
            <w:rStyle w:val="Hyperlink"/>
            <w:lang w:val="sr-Latn-ME"/>
          </w:rPr>
          <w:t>8</w:t>
        </w:r>
        <w:r w:rsidRPr="006C7D0C">
          <w:rPr>
            <w:rStyle w:val="Hyperlink"/>
            <w:lang w:val="it-IT"/>
          </w:rPr>
          <w:t>cc</w:t>
        </w:r>
        <w:r w:rsidRPr="000D764A">
          <w:rPr>
            <w:rStyle w:val="Hyperlink"/>
            <w:lang w:val="sr-Latn-ME"/>
          </w:rPr>
          <w:t>-3890-426</w:t>
        </w:r>
        <w:r w:rsidRPr="006C7D0C">
          <w:rPr>
            <w:rStyle w:val="Hyperlink"/>
            <w:lang w:val="it-IT"/>
          </w:rPr>
          <w:t>e</w:t>
        </w:r>
        <w:r w:rsidRPr="000D764A">
          <w:rPr>
            <w:rStyle w:val="Hyperlink"/>
            <w:lang w:val="sr-Latn-ME"/>
          </w:rPr>
          <w:t>-</w:t>
        </w:r>
        <w:r w:rsidRPr="006C7D0C">
          <w:rPr>
            <w:rStyle w:val="Hyperlink"/>
            <w:lang w:val="it-IT"/>
          </w:rPr>
          <w:t>a</w:t>
        </w:r>
        <w:r w:rsidRPr="000D764A">
          <w:rPr>
            <w:rStyle w:val="Hyperlink"/>
            <w:lang w:val="sr-Latn-ME"/>
          </w:rPr>
          <w:t>275-</w:t>
        </w:r>
        <w:r w:rsidRPr="006C7D0C">
          <w:rPr>
            <w:rStyle w:val="Hyperlink"/>
            <w:lang w:val="it-IT"/>
          </w:rPr>
          <w:t>a</w:t>
        </w:r>
        <w:r w:rsidRPr="000D764A">
          <w:rPr>
            <w:rStyle w:val="Hyperlink"/>
            <w:lang w:val="sr-Latn-ME"/>
          </w:rPr>
          <w:t>29</w:t>
        </w:r>
        <w:r w:rsidRPr="006C7D0C">
          <w:rPr>
            <w:rStyle w:val="Hyperlink"/>
            <w:lang w:val="it-IT"/>
          </w:rPr>
          <w:t>e</w:t>
        </w:r>
        <w:r w:rsidRPr="000D764A">
          <w:rPr>
            <w:rStyle w:val="Hyperlink"/>
            <w:lang w:val="sr-Latn-ME"/>
          </w:rPr>
          <w:t>1</w:t>
        </w:r>
        <w:r w:rsidRPr="006C7D0C">
          <w:rPr>
            <w:rStyle w:val="Hyperlink"/>
            <w:lang w:val="it-IT"/>
          </w:rPr>
          <w:t>ff</w:t>
        </w:r>
        <w:r w:rsidRPr="000D764A">
          <w:rPr>
            <w:rStyle w:val="Hyperlink"/>
            <w:lang w:val="sr-Latn-ME"/>
          </w:rPr>
          <w:t>69648</w:t>
        </w:r>
      </w:hyperlink>
      <w:r w:rsidRPr="000D764A">
        <w:rPr>
          <w:lang w:val="sr-Latn-ME"/>
        </w:rPr>
        <w:t xml:space="preserve"> </w:t>
      </w:r>
    </w:p>
  </w:footnote>
  <w:footnote w:id="7">
    <w:p w14:paraId="15C30E88" w14:textId="740D99C8" w:rsidR="00D16499" w:rsidRPr="006C7D0C" w:rsidRDefault="00D16499" w:rsidP="004E2978">
      <w:pPr>
        <w:pStyle w:val="FootnoteText"/>
        <w:jc w:val="both"/>
        <w:rPr>
          <w:lang w:val="sr-Latn-ME"/>
        </w:rPr>
      </w:pPr>
      <w:r>
        <w:rPr>
          <w:rStyle w:val="FootnoteReference"/>
        </w:rPr>
        <w:footnoteRef/>
      </w:r>
      <w:r w:rsidRPr="008C183F">
        <w:rPr>
          <w:lang w:val="sr-Latn-ME"/>
        </w:rPr>
        <w:t xml:space="preserve"> </w:t>
      </w:r>
      <w:r w:rsidRPr="008C183F">
        <w:rPr>
          <w:lang w:val="fr-FR"/>
        </w:rPr>
        <w:t>Strategija</w:t>
      </w:r>
      <w:r w:rsidRPr="006C7D0C">
        <w:rPr>
          <w:lang w:val="sr-Latn-ME"/>
        </w:rPr>
        <w:t xml:space="preserve"> </w:t>
      </w:r>
      <w:r w:rsidRPr="008C183F">
        <w:rPr>
          <w:lang w:val="fr-FR"/>
        </w:rPr>
        <w:t>digitalne</w:t>
      </w:r>
      <w:r w:rsidRPr="006C7D0C">
        <w:rPr>
          <w:lang w:val="sr-Latn-ME"/>
        </w:rPr>
        <w:t xml:space="preserve"> </w:t>
      </w:r>
      <w:r w:rsidRPr="008C183F">
        <w:rPr>
          <w:lang w:val="fr-FR"/>
        </w:rPr>
        <w:t>transformacije</w:t>
      </w:r>
      <w:r w:rsidRPr="006C7D0C">
        <w:rPr>
          <w:lang w:val="sr-Latn-ME"/>
        </w:rPr>
        <w:t xml:space="preserve"> </w:t>
      </w:r>
      <w:r w:rsidRPr="008C183F">
        <w:rPr>
          <w:lang w:val="fr-FR"/>
        </w:rPr>
        <w:t>Crne</w:t>
      </w:r>
      <w:r w:rsidRPr="006C7D0C">
        <w:rPr>
          <w:lang w:val="sr-Latn-ME"/>
        </w:rPr>
        <w:t xml:space="preserve"> </w:t>
      </w:r>
      <w:r w:rsidRPr="008C183F">
        <w:rPr>
          <w:lang w:val="fr-FR"/>
        </w:rPr>
        <w:t>Gore</w:t>
      </w:r>
      <w:r w:rsidRPr="006C7D0C">
        <w:rPr>
          <w:lang w:val="sr-Latn-ME"/>
        </w:rPr>
        <w:t xml:space="preserve"> 2022-2026, </w:t>
      </w:r>
      <w:hyperlink r:id="rId9" w:history="1">
        <w:r w:rsidRPr="001A1A34">
          <w:rPr>
            <w:rStyle w:val="Hyperlink"/>
            <w:lang w:val="fr-FR"/>
          </w:rPr>
          <w:t>https</w:t>
        </w:r>
        <w:r w:rsidRPr="006C7D0C">
          <w:rPr>
            <w:rStyle w:val="Hyperlink"/>
            <w:lang w:val="sr-Latn-ME"/>
          </w:rPr>
          <w:t>://</w:t>
        </w:r>
        <w:r w:rsidRPr="001A1A34">
          <w:rPr>
            <w:rStyle w:val="Hyperlink"/>
            <w:lang w:val="fr-FR"/>
          </w:rPr>
          <w:t>wapi</w:t>
        </w:r>
        <w:r w:rsidRPr="006C7D0C">
          <w:rPr>
            <w:rStyle w:val="Hyperlink"/>
            <w:lang w:val="sr-Latn-ME"/>
          </w:rPr>
          <w:t>.</w:t>
        </w:r>
        <w:r w:rsidRPr="001A1A34">
          <w:rPr>
            <w:rStyle w:val="Hyperlink"/>
            <w:lang w:val="fr-FR"/>
          </w:rPr>
          <w:t>gov</w:t>
        </w:r>
        <w:r w:rsidRPr="006C7D0C">
          <w:rPr>
            <w:rStyle w:val="Hyperlink"/>
            <w:lang w:val="sr-Latn-ME"/>
          </w:rPr>
          <w:t>.</w:t>
        </w:r>
        <w:r w:rsidRPr="001A1A34">
          <w:rPr>
            <w:rStyle w:val="Hyperlink"/>
            <w:lang w:val="fr-FR"/>
          </w:rPr>
          <w:t>me</w:t>
        </w:r>
        <w:r w:rsidRPr="006C7D0C">
          <w:rPr>
            <w:rStyle w:val="Hyperlink"/>
            <w:lang w:val="sr-Latn-ME"/>
          </w:rPr>
          <w:t>/</w:t>
        </w:r>
        <w:r w:rsidRPr="001A1A34">
          <w:rPr>
            <w:rStyle w:val="Hyperlink"/>
            <w:lang w:val="fr-FR"/>
          </w:rPr>
          <w:t>download</w:t>
        </w:r>
        <w:r w:rsidRPr="006C7D0C">
          <w:rPr>
            <w:rStyle w:val="Hyperlink"/>
            <w:lang w:val="sr-Latn-ME"/>
          </w:rPr>
          <w:t>/</w:t>
        </w:r>
        <w:r w:rsidRPr="001A1A34">
          <w:rPr>
            <w:rStyle w:val="Hyperlink"/>
            <w:lang w:val="fr-FR"/>
          </w:rPr>
          <w:t>b</w:t>
        </w:r>
        <w:r w:rsidRPr="006C7D0C">
          <w:rPr>
            <w:rStyle w:val="Hyperlink"/>
            <w:lang w:val="sr-Latn-ME"/>
          </w:rPr>
          <w:t>70528</w:t>
        </w:r>
        <w:r w:rsidRPr="001A1A34">
          <w:rPr>
            <w:rStyle w:val="Hyperlink"/>
            <w:lang w:val="fr-FR"/>
          </w:rPr>
          <w:t>ed</w:t>
        </w:r>
        <w:r w:rsidRPr="006C7D0C">
          <w:rPr>
            <w:rStyle w:val="Hyperlink"/>
            <w:lang w:val="sr-Latn-ME"/>
          </w:rPr>
          <w:t>-0</w:t>
        </w:r>
        <w:r w:rsidRPr="001A1A34">
          <w:rPr>
            <w:rStyle w:val="Hyperlink"/>
            <w:lang w:val="fr-FR"/>
          </w:rPr>
          <w:t>bba</w:t>
        </w:r>
        <w:r w:rsidRPr="006C7D0C">
          <w:rPr>
            <w:rStyle w:val="Hyperlink"/>
            <w:lang w:val="sr-Latn-ME"/>
          </w:rPr>
          <w:t>-4140-</w:t>
        </w:r>
        <w:r w:rsidRPr="001A1A34">
          <w:rPr>
            <w:rStyle w:val="Hyperlink"/>
            <w:lang w:val="fr-FR"/>
          </w:rPr>
          <w:t>a</w:t>
        </w:r>
        <w:r w:rsidRPr="006C7D0C">
          <w:rPr>
            <w:rStyle w:val="Hyperlink"/>
            <w:lang w:val="sr-Latn-ME"/>
          </w:rPr>
          <w:t>576-</w:t>
        </w:r>
        <w:r w:rsidRPr="001A1A34">
          <w:rPr>
            <w:rStyle w:val="Hyperlink"/>
            <w:lang w:val="fr-FR"/>
          </w:rPr>
          <w:t>addab</w:t>
        </w:r>
        <w:r w:rsidRPr="006C7D0C">
          <w:rPr>
            <w:rStyle w:val="Hyperlink"/>
            <w:lang w:val="sr-Latn-ME"/>
          </w:rPr>
          <w:t>76998</w:t>
        </w:r>
        <w:r w:rsidRPr="001A1A34">
          <w:rPr>
            <w:rStyle w:val="Hyperlink"/>
            <w:lang w:val="fr-FR"/>
          </w:rPr>
          <w:t>e</w:t>
        </w:r>
        <w:r w:rsidRPr="006C7D0C">
          <w:rPr>
            <w:rStyle w:val="Hyperlink"/>
            <w:lang w:val="sr-Latn-ME"/>
          </w:rPr>
          <w:t>4?</w:t>
        </w:r>
        <w:r w:rsidRPr="001A1A34">
          <w:rPr>
            <w:rStyle w:val="Hyperlink"/>
            <w:lang w:val="fr-FR"/>
          </w:rPr>
          <w:t>version</w:t>
        </w:r>
        <w:r w:rsidRPr="006C7D0C">
          <w:rPr>
            <w:rStyle w:val="Hyperlink"/>
            <w:lang w:val="sr-Latn-ME"/>
          </w:rPr>
          <w:t>=1.0</w:t>
        </w:r>
      </w:hyperlink>
      <w:r w:rsidRPr="006C7D0C">
        <w:rPr>
          <w:lang w:val="sr-Latn-ME"/>
        </w:rPr>
        <w:t xml:space="preserve"> </w:t>
      </w:r>
    </w:p>
  </w:footnote>
  <w:footnote w:id="8">
    <w:p w14:paraId="365C5507" w14:textId="1B61C63D" w:rsidR="00D16499" w:rsidRPr="006C7D0C" w:rsidRDefault="00D16499" w:rsidP="008C183F">
      <w:pPr>
        <w:pStyle w:val="FootnoteText"/>
        <w:jc w:val="both"/>
        <w:rPr>
          <w:lang w:val="sr-Latn-ME"/>
        </w:rPr>
      </w:pPr>
      <w:r>
        <w:rPr>
          <w:rStyle w:val="FootnoteReference"/>
        </w:rPr>
        <w:footnoteRef/>
      </w:r>
      <w:r w:rsidRPr="006C7D0C">
        <w:rPr>
          <w:lang w:val="sr-Latn-ME"/>
        </w:rPr>
        <w:t xml:space="preserve"> </w:t>
      </w:r>
      <w:r>
        <w:t>Program</w:t>
      </w:r>
      <w:r w:rsidRPr="006C7D0C">
        <w:rPr>
          <w:lang w:val="sr-Latn-ME"/>
        </w:rPr>
        <w:t xml:space="preserve"> </w:t>
      </w:r>
      <w:r>
        <w:t>razvoja</w:t>
      </w:r>
      <w:r w:rsidRPr="006C7D0C">
        <w:rPr>
          <w:lang w:val="sr-Latn-ME"/>
        </w:rPr>
        <w:t xml:space="preserve"> </w:t>
      </w:r>
      <w:r>
        <w:t>informaciono</w:t>
      </w:r>
      <w:r w:rsidRPr="006C7D0C">
        <w:rPr>
          <w:lang w:val="sr-Latn-ME"/>
        </w:rPr>
        <w:t>-</w:t>
      </w:r>
      <w:r>
        <w:t>komunikacionih</w:t>
      </w:r>
      <w:r w:rsidRPr="006C7D0C">
        <w:rPr>
          <w:lang w:val="sr-Latn-ME"/>
        </w:rPr>
        <w:t xml:space="preserve"> </w:t>
      </w:r>
      <w:r>
        <w:t>tehnologija</w:t>
      </w:r>
      <w:r w:rsidRPr="006C7D0C">
        <w:rPr>
          <w:lang w:val="sr-Latn-ME"/>
        </w:rPr>
        <w:t xml:space="preserve"> </w:t>
      </w:r>
      <w:r>
        <w:t>pravosu</w:t>
      </w:r>
      <w:r w:rsidRPr="006C7D0C">
        <w:rPr>
          <w:lang w:val="sr-Latn-ME"/>
        </w:rPr>
        <w:t>đ</w:t>
      </w:r>
      <w:r>
        <w:t>a</w:t>
      </w:r>
      <w:r w:rsidRPr="006C7D0C">
        <w:rPr>
          <w:lang w:val="sr-Latn-ME"/>
        </w:rPr>
        <w:t xml:space="preserve"> 2021-2023, </w:t>
      </w:r>
      <w:hyperlink r:id="rId10" w:history="1">
        <w:r w:rsidRPr="001A1A34">
          <w:rPr>
            <w:rStyle w:val="Hyperlink"/>
          </w:rPr>
          <w:t>https</w:t>
        </w:r>
        <w:r w:rsidRPr="006C7D0C">
          <w:rPr>
            <w:rStyle w:val="Hyperlink"/>
            <w:lang w:val="sr-Latn-ME"/>
          </w:rPr>
          <w:t>://</w:t>
        </w:r>
        <w:r w:rsidRPr="001A1A34">
          <w:rPr>
            <w:rStyle w:val="Hyperlink"/>
          </w:rPr>
          <w:t>www</w:t>
        </w:r>
        <w:r w:rsidRPr="006C7D0C">
          <w:rPr>
            <w:rStyle w:val="Hyperlink"/>
            <w:lang w:val="sr-Latn-ME"/>
          </w:rPr>
          <w:t>.</w:t>
        </w:r>
        <w:r w:rsidRPr="001A1A34">
          <w:rPr>
            <w:rStyle w:val="Hyperlink"/>
          </w:rPr>
          <w:t>gov</w:t>
        </w:r>
        <w:r w:rsidRPr="006C7D0C">
          <w:rPr>
            <w:rStyle w:val="Hyperlink"/>
            <w:lang w:val="sr-Latn-ME"/>
          </w:rPr>
          <w:t>.</w:t>
        </w:r>
        <w:r w:rsidRPr="001A1A34">
          <w:rPr>
            <w:rStyle w:val="Hyperlink"/>
          </w:rPr>
          <w:t>me</w:t>
        </w:r>
        <w:r w:rsidRPr="006C7D0C">
          <w:rPr>
            <w:rStyle w:val="Hyperlink"/>
            <w:lang w:val="sr-Latn-ME"/>
          </w:rPr>
          <w:t>/</w:t>
        </w:r>
        <w:r w:rsidRPr="001A1A34">
          <w:rPr>
            <w:rStyle w:val="Hyperlink"/>
          </w:rPr>
          <w:t>dokumenta</w:t>
        </w:r>
        <w:r w:rsidRPr="006C7D0C">
          <w:rPr>
            <w:rStyle w:val="Hyperlink"/>
            <w:lang w:val="sr-Latn-ME"/>
          </w:rPr>
          <w:t>/3</w:t>
        </w:r>
        <w:r w:rsidRPr="001A1A34">
          <w:rPr>
            <w:rStyle w:val="Hyperlink"/>
          </w:rPr>
          <w:t>ab</w:t>
        </w:r>
        <w:r w:rsidRPr="006C7D0C">
          <w:rPr>
            <w:rStyle w:val="Hyperlink"/>
            <w:lang w:val="sr-Latn-ME"/>
          </w:rPr>
          <w:t>0</w:t>
        </w:r>
        <w:r w:rsidRPr="001A1A34">
          <w:rPr>
            <w:rStyle w:val="Hyperlink"/>
          </w:rPr>
          <w:t>d</w:t>
        </w:r>
        <w:r w:rsidRPr="006C7D0C">
          <w:rPr>
            <w:rStyle w:val="Hyperlink"/>
            <w:lang w:val="sr-Latn-ME"/>
          </w:rPr>
          <w:t>094-2</w:t>
        </w:r>
        <w:r w:rsidRPr="001A1A34">
          <w:rPr>
            <w:rStyle w:val="Hyperlink"/>
          </w:rPr>
          <w:t>b</w:t>
        </w:r>
        <w:r w:rsidRPr="006C7D0C">
          <w:rPr>
            <w:rStyle w:val="Hyperlink"/>
            <w:lang w:val="sr-Latn-ME"/>
          </w:rPr>
          <w:t>75-4</w:t>
        </w:r>
        <w:r w:rsidRPr="001A1A34">
          <w:rPr>
            <w:rStyle w:val="Hyperlink"/>
          </w:rPr>
          <w:t>c</w:t>
        </w:r>
        <w:r w:rsidRPr="006C7D0C">
          <w:rPr>
            <w:rStyle w:val="Hyperlink"/>
            <w:lang w:val="sr-Latn-ME"/>
          </w:rPr>
          <w:t>84-</w:t>
        </w:r>
        <w:r w:rsidRPr="001A1A34">
          <w:rPr>
            <w:rStyle w:val="Hyperlink"/>
          </w:rPr>
          <w:t>b</w:t>
        </w:r>
        <w:r w:rsidRPr="006C7D0C">
          <w:rPr>
            <w:rStyle w:val="Hyperlink"/>
            <w:lang w:val="sr-Latn-ME"/>
          </w:rPr>
          <w:t>40</w:t>
        </w:r>
        <w:r w:rsidRPr="001A1A34">
          <w:rPr>
            <w:rStyle w:val="Hyperlink"/>
          </w:rPr>
          <w:t>d</w:t>
        </w:r>
        <w:r w:rsidRPr="006C7D0C">
          <w:rPr>
            <w:rStyle w:val="Hyperlink"/>
            <w:lang w:val="sr-Latn-ME"/>
          </w:rPr>
          <w:t>-</w:t>
        </w:r>
        <w:r w:rsidRPr="001A1A34">
          <w:rPr>
            <w:rStyle w:val="Hyperlink"/>
          </w:rPr>
          <w:t>c</w:t>
        </w:r>
        <w:r w:rsidRPr="006C7D0C">
          <w:rPr>
            <w:rStyle w:val="Hyperlink"/>
            <w:lang w:val="sr-Latn-ME"/>
          </w:rPr>
          <w:t>71</w:t>
        </w:r>
        <w:r w:rsidRPr="001A1A34">
          <w:rPr>
            <w:rStyle w:val="Hyperlink"/>
          </w:rPr>
          <w:t>d</w:t>
        </w:r>
        <w:r w:rsidRPr="006C7D0C">
          <w:rPr>
            <w:rStyle w:val="Hyperlink"/>
            <w:lang w:val="sr-Latn-ME"/>
          </w:rPr>
          <w:t>7</w:t>
        </w:r>
        <w:r w:rsidRPr="001A1A34">
          <w:rPr>
            <w:rStyle w:val="Hyperlink"/>
          </w:rPr>
          <w:t>b</w:t>
        </w:r>
        <w:r w:rsidRPr="006C7D0C">
          <w:rPr>
            <w:rStyle w:val="Hyperlink"/>
            <w:lang w:val="sr-Latn-ME"/>
          </w:rPr>
          <w:t>8</w:t>
        </w:r>
        <w:r w:rsidRPr="001A1A34">
          <w:rPr>
            <w:rStyle w:val="Hyperlink"/>
          </w:rPr>
          <w:t>c</w:t>
        </w:r>
        <w:r w:rsidRPr="006C7D0C">
          <w:rPr>
            <w:rStyle w:val="Hyperlink"/>
            <w:lang w:val="sr-Latn-ME"/>
          </w:rPr>
          <w:t>7</w:t>
        </w:r>
        <w:r w:rsidRPr="001A1A34">
          <w:rPr>
            <w:rStyle w:val="Hyperlink"/>
          </w:rPr>
          <w:t>d</w:t>
        </w:r>
        <w:r w:rsidRPr="006C7D0C">
          <w:rPr>
            <w:rStyle w:val="Hyperlink"/>
            <w:lang w:val="sr-Latn-ME"/>
          </w:rPr>
          <w:t>6</w:t>
        </w:r>
        <w:r w:rsidRPr="001A1A34">
          <w:rPr>
            <w:rStyle w:val="Hyperlink"/>
          </w:rPr>
          <w:t>f</w:t>
        </w:r>
      </w:hyperlink>
      <w:r w:rsidRPr="006C7D0C">
        <w:rPr>
          <w:lang w:val="sr-Latn-ME"/>
        </w:rPr>
        <w:t xml:space="preserve"> </w:t>
      </w:r>
    </w:p>
  </w:footnote>
  <w:footnote w:id="9">
    <w:p w14:paraId="14173047" w14:textId="7DC0F7BD" w:rsidR="00D16499" w:rsidRPr="009A613C" w:rsidRDefault="00D16499" w:rsidP="004E2978">
      <w:pPr>
        <w:pStyle w:val="FootnoteText"/>
        <w:jc w:val="both"/>
        <w:rPr>
          <w:lang w:val="sr-Latn-ME"/>
        </w:rPr>
      </w:pPr>
      <w:r w:rsidRPr="009A613C">
        <w:rPr>
          <w:rStyle w:val="FootnoteReference"/>
          <w:lang w:val="sr-Latn-ME"/>
        </w:rPr>
        <w:footnoteRef/>
      </w:r>
      <w:r w:rsidRPr="009A613C">
        <w:rPr>
          <w:lang w:val="sr-Latn-ME"/>
        </w:rPr>
        <w:t xml:space="preserve"> Program pristupanja Crne Gore Evropskoj uniji</w:t>
      </w:r>
      <w:r w:rsidR="00267ADD">
        <w:rPr>
          <w:lang w:val="sr-Latn-ME"/>
        </w:rPr>
        <w:t xml:space="preserve"> </w:t>
      </w:r>
      <w:r>
        <w:rPr>
          <w:lang w:val="sr-Latn-ME"/>
        </w:rPr>
        <w:t>2023-2024</w:t>
      </w:r>
      <w:r w:rsidRPr="009A613C">
        <w:rPr>
          <w:lang w:val="sr-Latn-ME"/>
        </w:rPr>
        <w:t>, dostupno na:,</w:t>
      </w:r>
      <w:r w:rsidRPr="008F08F4">
        <w:t xml:space="preserve"> </w:t>
      </w:r>
      <w:hyperlink r:id="rId11" w:history="1">
        <w:r w:rsidR="00597CC7" w:rsidRPr="005B5403">
          <w:rPr>
            <w:rStyle w:val="Hyperlink"/>
            <w:lang w:val="sr-Latn-ME"/>
          </w:rPr>
          <w:t>https://www.eu.me/wpfd_file/program-pristupanja-crne-gore-evropskoj-uniji-2023-2024</w:t>
        </w:r>
      </w:hyperlink>
      <w:r w:rsidR="00597CC7">
        <w:rPr>
          <w:lang w:val="sr-Latn-ME"/>
        </w:rPr>
        <w:t xml:space="preserve"> </w:t>
      </w:r>
    </w:p>
  </w:footnote>
  <w:footnote w:id="10">
    <w:p w14:paraId="57760FBE" w14:textId="77777777" w:rsidR="00D16499" w:rsidRPr="009A613C" w:rsidRDefault="00D16499" w:rsidP="005A310D">
      <w:pPr>
        <w:pStyle w:val="FootnoteText"/>
        <w:jc w:val="both"/>
        <w:rPr>
          <w:lang w:val="sr-Latn-ME"/>
        </w:rPr>
      </w:pPr>
      <w:r w:rsidRPr="009A613C">
        <w:rPr>
          <w:rStyle w:val="FootnoteReference"/>
          <w:lang w:val="sr-Latn-ME"/>
        </w:rPr>
        <w:footnoteRef/>
      </w:r>
      <w:r w:rsidRPr="009A613C">
        <w:rPr>
          <w:lang w:val="sr-Latn-ME"/>
        </w:rPr>
        <w:t xml:space="preserve"> Zajednička Pozicija Evropske unije- Pregovaračko poglavlje 23, Pravosuđe i temeljna prava, dostupno na: </w:t>
      </w:r>
      <w:hyperlink r:id="rId12" w:anchor="1583-1624-zajednicke-pozicije" w:history="1">
        <w:r w:rsidRPr="009A613C">
          <w:rPr>
            <w:rStyle w:val="Hyperlink"/>
            <w:lang w:val="sr-Latn-ME"/>
          </w:rPr>
          <w:t>https://www.eu.me/dokumenti-pregovori-o-pristupanju/#1583-1624-zajednicke-pozicije</w:t>
        </w:r>
      </w:hyperlink>
      <w:r w:rsidRPr="009A613C">
        <w:rPr>
          <w:lang w:val="sr-Latn-ME"/>
        </w:rPr>
        <w:t>, pristupljeno 12.5. 2023.</w:t>
      </w:r>
    </w:p>
  </w:footnote>
  <w:footnote w:id="11">
    <w:p w14:paraId="5E96BDD4" w14:textId="025A09EF" w:rsidR="00D16499" w:rsidRPr="00D84E57" w:rsidRDefault="00D16499" w:rsidP="00004F17">
      <w:pPr>
        <w:pStyle w:val="FootnoteText"/>
        <w:rPr>
          <w:lang w:val="sr-Latn-ME"/>
        </w:rPr>
      </w:pPr>
      <w:r>
        <w:rPr>
          <w:rStyle w:val="FootnoteReference"/>
        </w:rPr>
        <w:footnoteRef/>
      </w:r>
      <w:r w:rsidRPr="00D84E57">
        <w:rPr>
          <w:lang w:val="sr-Latn-ME"/>
        </w:rPr>
        <w:t xml:space="preserve"> </w:t>
      </w:r>
      <w:r>
        <w:rPr>
          <w:lang w:val="bs-Latn-BA"/>
        </w:rPr>
        <w:t xml:space="preserve">Zajednička pregovaračka pozicija za Poglavlje 24, </w:t>
      </w:r>
      <w:hyperlink r:id="rId13" w:history="1">
        <w:r w:rsidRPr="006E40D4">
          <w:rPr>
            <w:rStyle w:val="Hyperlink"/>
            <w:lang w:val="bs-Latn-BA"/>
          </w:rPr>
          <w:t>https://www.eu.me/poglavlje-24-pravda-sloboda-i-bezbjednost/</w:t>
        </w:r>
      </w:hyperlink>
      <w:r>
        <w:rPr>
          <w:lang w:val="bs-Latn-BA"/>
        </w:rPr>
        <w:t xml:space="preserve">  </w:t>
      </w:r>
    </w:p>
  </w:footnote>
  <w:footnote w:id="12">
    <w:p w14:paraId="63666565" w14:textId="1AD6BECA" w:rsidR="00D16499" w:rsidRPr="009A613C" w:rsidRDefault="00D16499" w:rsidP="005A310D">
      <w:pPr>
        <w:pStyle w:val="Default"/>
        <w:jc w:val="both"/>
        <w:rPr>
          <w:rFonts w:ascii="Times New Roman" w:hAnsi="Times New Roman" w:cs="Times New Roman"/>
          <w:lang w:val="sr-Latn-ME"/>
        </w:rPr>
      </w:pPr>
      <w:r w:rsidRPr="009A613C">
        <w:rPr>
          <w:rStyle w:val="FootnoteReference"/>
          <w:lang w:val="sr-Latn-ME"/>
        </w:rPr>
        <w:footnoteRef/>
      </w:r>
      <w:r w:rsidRPr="009A613C">
        <w:rPr>
          <w:lang w:val="sr-Latn-ME"/>
        </w:rPr>
        <w:t xml:space="preserve"> </w:t>
      </w:r>
      <w:r w:rsidRPr="009A613C">
        <w:rPr>
          <w:sz w:val="20"/>
          <w:szCs w:val="20"/>
          <w:lang w:val="sr-Latn-ME"/>
        </w:rPr>
        <w:t xml:space="preserve">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14" w:history="1">
        <w:r w:rsidRPr="009A613C">
          <w:rPr>
            <w:rStyle w:val="Hyperlink"/>
            <w:sz w:val="20"/>
            <w:szCs w:val="20"/>
            <w:lang w:val="sr-Latn-ME"/>
          </w:rPr>
          <w:t>https://op.europa.eu/en/publication-detail/-/publication/a9b0d6b3-4b02-11ed-92ed-01aa75ed71a1/language-fr</w:t>
        </w:r>
      </w:hyperlink>
      <w:r w:rsidRPr="009A613C">
        <w:rPr>
          <w:sz w:val="20"/>
          <w:szCs w:val="20"/>
          <w:lang w:val="sr-Latn-ME"/>
        </w:rPr>
        <w:t>, pristupljeno 12.5.2023. godine</w:t>
      </w:r>
      <w:r>
        <w:rPr>
          <w:sz w:val="20"/>
          <w:szCs w:val="20"/>
          <w:lang w:val="sr-Latn-ME"/>
        </w:rPr>
        <w:t xml:space="preserve">; </w:t>
      </w:r>
      <w:r w:rsidRPr="00ED323C">
        <w:rPr>
          <w:sz w:val="20"/>
          <w:szCs w:val="20"/>
        </w:rPr>
        <w:t>COMMISSION STAFF WORKING DOCUMENT Montenegro 2023 Report Accompanying the document Communication from the Commission to the European Parliament, the Council, the European Economic and Social Committee and the Committee of the Regions 2023 Communication on EU Enlargement policy</w:t>
      </w:r>
      <w:r>
        <w:rPr>
          <w:sz w:val="20"/>
          <w:szCs w:val="20"/>
        </w:rPr>
        <w:t xml:space="preserve">, dostupno na: </w:t>
      </w:r>
      <w:hyperlink r:id="rId15" w:history="1">
        <w:r w:rsidRPr="00B92135">
          <w:rPr>
            <w:rStyle w:val="Hyperlink"/>
            <w:sz w:val="20"/>
            <w:szCs w:val="20"/>
          </w:rPr>
          <w:t>https://neighbourhood-enlargement.ec.europa.eu/system/files/2023-11/SWD_2023_694%20Montenegro%20report.pdf</w:t>
        </w:r>
      </w:hyperlink>
      <w:r>
        <w:rPr>
          <w:sz w:val="20"/>
          <w:szCs w:val="20"/>
        </w:rPr>
        <w:t>, pristupljeno 2.12.2023. godine</w:t>
      </w:r>
    </w:p>
  </w:footnote>
  <w:footnote w:id="13">
    <w:p w14:paraId="40DB3928" w14:textId="03E5E253" w:rsidR="00D16499" w:rsidRPr="00B31278" w:rsidRDefault="00D16499" w:rsidP="001756FA">
      <w:pPr>
        <w:spacing w:after="0" w:line="240" w:lineRule="auto"/>
        <w:jc w:val="both"/>
        <w:rPr>
          <w:rFonts w:ascii="Calibri" w:hAnsi="Calibri" w:cs="Calibri"/>
          <w:sz w:val="20"/>
          <w:szCs w:val="20"/>
          <w:lang w:val="en-GB"/>
        </w:rPr>
      </w:pPr>
      <w:r w:rsidRPr="00D33473">
        <w:rPr>
          <w:rStyle w:val="FootnoteReference"/>
          <w:sz w:val="20"/>
          <w:szCs w:val="20"/>
          <w:lang w:val="en-GB"/>
        </w:rPr>
        <w:footnoteRef/>
      </w:r>
      <w:r w:rsidRPr="00D33473">
        <w:rPr>
          <w:sz w:val="20"/>
          <w:szCs w:val="20"/>
          <w:lang w:val="en-GB"/>
        </w:rPr>
        <w:t xml:space="preserve"> Prvenstveno: </w:t>
      </w:r>
      <w:r w:rsidRPr="00D33473">
        <w:rPr>
          <w:rFonts w:ascii="Calibri" w:hAnsi="Calibri" w:cs="Calibri"/>
          <w:sz w:val="20"/>
          <w:szCs w:val="20"/>
          <w:lang w:val="en-GB"/>
        </w:rPr>
        <w:t>CDL-AD(2023)011 Montenegro - Follow-up Opinion to the opinion on the draft amendments to the Law on the Judicial Council and Judges, adopted by the Venice Commission at its 134th Plenary Session (Venice, 10-11 March 2023); CDL-REF(2023)016  Montenegro - Law on the Judicial Council and Judges with revised draft amendments; CDL-AD(2022)050 Montenegro - Opinion on the draft amendments to the Law on the Judicial Council and Judges, adopted by the Venice Commission at its 133rd Plenary Session (Venice, 16-17 December 2022); CDL-AD(2021)030  English  Montenegro - Urgent Opinion on the revised draft amendments to the Law on the State Prosecution Service, issued pursuant to Article 14a of the Venice Commission’s Rules of Procedure on 10 May 2021, endorsed by the Venice Commission at its 127th Plenary Session (Venice and online, 2-3 July 2021); CDL-PI(2021)008 Montenegro - Urgent Opinion on the revised draft amendments to the Law on the State Prosecution Service, issued pursuant to Article 14a of the Venice Commission’s Rules of Procedure; CDL-REF(2021)040 Montenegro - Revised draft amendments to the Law on the State Prosecution Service (Consolidated version); CDL-AD(2021)012 Montenegro - Opinion on the draft amendments to the Law on the State Prosecution Service and the draft law on the Prosecutor’s Office for organised crime and corruption, adopted by the Venice Commission at its 126 plenary session (online, 19-20 March 2021); CDL(2021)016 Montenegro - Draft opinion on the draft amendments to the Law on the State Prosecution Service and the draft law on the Prosecutor’s Office for organised crime and corruption; CDL-REF(2021)028 Montenegro - Draft amendments to the legislation on the prosecution service (the Law on the State Prosecution Service and the Law on the Special State Prosecutor’s Office);  CDL-REF(2018)047 Mont</w:t>
      </w:r>
      <w:r>
        <w:rPr>
          <w:rFonts w:ascii="Calibri" w:hAnsi="Calibri" w:cs="Calibri"/>
          <w:sz w:val="20"/>
          <w:szCs w:val="20"/>
          <w:lang w:val="en-GB"/>
        </w:rPr>
        <w:t>e</w:t>
      </w:r>
      <w:r w:rsidRPr="00D33473">
        <w:rPr>
          <w:rFonts w:ascii="Calibri" w:hAnsi="Calibri" w:cs="Calibri"/>
          <w:sz w:val="20"/>
          <w:szCs w:val="20"/>
          <w:lang w:val="en-GB"/>
        </w:rPr>
        <w:t>n</w:t>
      </w:r>
      <w:r>
        <w:rPr>
          <w:rFonts w:ascii="Calibri" w:hAnsi="Calibri" w:cs="Calibri"/>
          <w:sz w:val="20"/>
          <w:szCs w:val="20"/>
          <w:lang w:val="en-GB"/>
        </w:rPr>
        <w:t>e</w:t>
      </w:r>
      <w:r w:rsidRPr="00D33473">
        <w:rPr>
          <w:rFonts w:ascii="Calibri" w:hAnsi="Calibri" w:cs="Calibri"/>
          <w:sz w:val="20"/>
          <w:szCs w:val="20"/>
          <w:lang w:val="en-GB"/>
        </w:rPr>
        <w:t>gro - Law on Amendments to the Law on the Judicial Council and Ju</w:t>
      </w:r>
      <w:r>
        <w:rPr>
          <w:rFonts w:ascii="Calibri" w:hAnsi="Calibri" w:cs="Calibri"/>
          <w:sz w:val="20"/>
          <w:szCs w:val="20"/>
          <w:lang w:val="en-GB"/>
        </w:rPr>
        <w:t>d</w:t>
      </w:r>
      <w:r w:rsidRPr="00D33473">
        <w:rPr>
          <w:rFonts w:ascii="Calibri" w:hAnsi="Calibri" w:cs="Calibri"/>
          <w:sz w:val="20"/>
          <w:szCs w:val="20"/>
          <w:lang w:val="en-GB"/>
        </w:rPr>
        <w:t xml:space="preserve">ges; CDL-AD(2018)015 Montenegro - Opinion on the draft law on amendments to the law on the Judicial Council and Judges, adopted by the Venice Commission at its 115th Plenary Session (Venice, 22-23 June 2018)  </w:t>
      </w:r>
    </w:p>
  </w:footnote>
  <w:footnote w:id="14">
    <w:p w14:paraId="117FBCAD" w14:textId="2A4C13F4" w:rsidR="00D16499" w:rsidRPr="00C50B01" w:rsidRDefault="00D16499" w:rsidP="001756FA">
      <w:pPr>
        <w:pStyle w:val="FootnoteText"/>
        <w:jc w:val="both"/>
        <w:rPr>
          <w:lang w:val="sr-Latn-ME"/>
        </w:rPr>
      </w:pPr>
      <w:r w:rsidRPr="00C50B01">
        <w:rPr>
          <w:rStyle w:val="FootnoteReference"/>
          <w:lang w:val="sr-Latn-ME"/>
        </w:rPr>
        <w:footnoteRef/>
      </w:r>
      <w:r w:rsidRPr="00C50B01">
        <w:rPr>
          <w:lang w:val="sr-Latn-ME"/>
        </w:rPr>
        <w:t xml:space="preserve"> GRECO 2022, Peti krug evaluacije, Sprečavanje korupcije i unapređivanje integriteta u okviru organa centralne vlasti (na najvišim izvršnim funkcijama) i agencija za sprovođenje zakona, Izveštaj o evaluaciji, </w:t>
      </w:r>
      <w:hyperlink r:id="rId16" w:history="1">
        <w:r w:rsidRPr="00C50B01">
          <w:rPr>
            <w:rStyle w:val="Hyperlink"/>
            <w:lang w:val="sr-Latn-ME"/>
          </w:rPr>
          <w:t>https://rm.coe.int/fifth-evaluation-round-preventing-corruption-and-promoting-integrity-i/1680a8a108</w:t>
        </w:r>
      </w:hyperlink>
      <w:r w:rsidRPr="00C50B01">
        <w:rPr>
          <w:lang w:val="sr-Latn-ME"/>
        </w:rPr>
        <w:t xml:space="preserve"> </w:t>
      </w:r>
    </w:p>
  </w:footnote>
  <w:footnote w:id="15">
    <w:p w14:paraId="1AFBCBE5" w14:textId="20E05B4E" w:rsidR="00D16499" w:rsidRPr="00C50B01" w:rsidRDefault="00D16499" w:rsidP="001756FA">
      <w:pPr>
        <w:pStyle w:val="FootnoteText"/>
        <w:rPr>
          <w:lang w:val="sr-Latn-ME"/>
        </w:rPr>
      </w:pPr>
      <w:r w:rsidRPr="00C50B01">
        <w:rPr>
          <w:rStyle w:val="FootnoteReference"/>
          <w:lang w:val="sr-Latn-ME"/>
        </w:rPr>
        <w:footnoteRef/>
      </w:r>
      <w:r w:rsidRPr="00C50B01">
        <w:rPr>
          <w:lang w:val="sr-Latn-ME"/>
        </w:rPr>
        <w:t xml:space="preserve"> GRETA 2021, Evaluation Report Montenegro, Third Evaluation Round, Access to justice and effective remedies for victims of trafficking in human beings,  </w:t>
      </w:r>
      <w:hyperlink r:id="rId17" w:history="1">
        <w:r w:rsidRPr="00C50B01">
          <w:rPr>
            <w:rStyle w:val="Hyperlink"/>
            <w:lang w:val="sr-Latn-ME"/>
          </w:rPr>
          <w:t>https://rm.coe.int/evaluation-report-on-the-implementation-of-the-council-of-europe-conve/1680a2aefc</w:t>
        </w:r>
      </w:hyperlink>
      <w:r w:rsidRPr="00C50B01">
        <w:rPr>
          <w:lang w:val="sr-Latn-ME"/>
        </w:rPr>
        <w:t xml:space="preserve"> </w:t>
      </w:r>
    </w:p>
  </w:footnote>
  <w:footnote w:id="16">
    <w:p w14:paraId="2C09DDD0" w14:textId="7BFBA9B2" w:rsidR="00D16499" w:rsidRPr="00C50B01" w:rsidRDefault="00D16499" w:rsidP="00C50B01">
      <w:pPr>
        <w:spacing w:after="0" w:line="276" w:lineRule="auto"/>
        <w:jc w:val="both"/>
        <w:rPr>
          <w:rFonts w:ascii="Calibri" w:hAnsi="Calibri" w:cs="Calibri"/>
          <w:sz w:val="20"/>
          <w:szCs w:val="20"/>
        </w:rPr>
      </w:pPr>
      <w:r w:rsidRPr="00C50B01">
        <w:rPr>
          <w:rStyle w:val="FootnoteReference"/>
          <w:sz w:val="20"/>
          <w:szCs w:val="20"/>
        </w:rPr>
        <w:footnoteRef/>
      </w:r>
      <w:r w:rsidRPr="00C50B01">
        <w:rPr>
          <w:sz w:val="20"/>
          <w:szCs w:val="20"/>
        </w:rPr>
        <w:t xml:space="preserve"> </w:t>
      </w:r>
      <w:r w:rsidRPr="00C50B01">
        <w:rPr>
          <w:rFonts w:ascii="Calibri" w:hAnsi="Calibri" w:cs="Calibri"/>
          <w:sz w:val="20"/>
          <w:szCs w:val="20"/>
        </w:rPr>
        <w:t xml:space="preserve">GREVIO Baseline Evaluation Report </w:t>
      </w:r>
      <w:r w:rsidRPr="00C50B01">
        <w:rPr>
          <w:sz w:val="20"/>
          <w:szCs w:val="20"/>
        </w:rPr>
        <w:t xml:space="preserve">on legislative and other measures giving effect to the provisions of the Council of Europe Convention on Preventing and Combating Violence against Women and Domestic Violence (Istanbul Convention) </w:t>
      </w:r>
      <w:r w:rsidRPr="00C50B01">
        <w:rPr>
          <w:rFonts w:ascii="Calibri" w:hAnsi="Calibri" w:cs="Calibri"/>
          <w:sz w:val="20"/>
          <w:szCs w:val="20"/>
        </w:rPr>
        <w:t>Montenegro, 2018</w:t>
      </w:r>
    </w:p>
  </w:footnote>
  <w:footnote w:id="17">
    <w:p w14:paraId="413A98AA" w14:textId="201D3D4F" w:rsidR="00D16499" w:rsidRPr="00C50B01" w:rsidRDefault="00D16499" w:rsidP="00C50B01">
      <w:pPr>
        <w:pStyle w:val="FootnoteText"/>
        <w:jc w:val="both"/>
        <w:rPr>
          <w:lang w:val="sr-Latn-ME"/>
        </w:rPr>
      </w:pPr>
      <w:r>
        <w:rPr>
          <w:rStyle w:val="FootnoteReference"/>
        </w:rPr>
        <w:footnoteRef/>
      </w:r>
      <w:r w:rsidRPr="00C50B01">
        <w:rPr>
          <w:lang w:val="sr-Latn-ME"/>
        </w:rPr>
        <w:t xml:space="preserve"> </w:t>
      </w:r>
      <w:r>
        <w:rPr>
          <w:lang w:val="sr-Latn-ME"/>
        </w:rPr>
        <w:t xml:space="preserve">MONEYVAL 4th round of mutual evaluation of Montenegro, </w:t>
      </w:r>
      <w:hyperlink r:id="rId18" w:history="1">
        <w:r w:rsidRPr="001A1A34">
          <w:rPr>
            <w:rStyle w:val="Hyperlink"/>
            <w:lang w:val="sr-Latn-ME"/>
          </w:rPr>
          <w:t>https://rm.coe.int/moneyval-2019-31rev-mgr-4thfollowuprep/16809e6485</w:t>
        </w:r>
      </w:hyperlink>
      <w:r>
        <w:rPr>
          <w:lang w:val="sr-Latn-ME"/>
        </w:rPr>
        <w:t>, 2020</w:t>
      </w:r>
    </w:p>
  </w:footnote>
  <w:footnote w:id="18">
    <w:p w14:paraId="4AAFA721" w14:textId="72AA758B" w:rsidR="00D16499" w:rsidRPr="008E2558" w:rsidRDefault="00D16499">
      <w:pPr>
        <w:pStyle w:val="FootnoteText"/>
        <w:rPr>
          <w:lang w:val="sr-Latn-ME"/>
        </w:rPr>
      </w:pPr>
      <w:r>
        <w:rPr>
          <w:rStyle w:val="FootnoteReference"/>
        </w:rPr>
        <w:footnoteRef/>
      </w:r>
      <w:r w:rsidRPr="008E2558">
        <w:rPr>
          <w:lang w:val="sr-Latn-ME"/>
        </w:rPr>
        <w:t xml:space="preserve"> </w:t>
      </w:r>
      <w:r>
        <w:rPr>
          <w:lang w:val="sr-Latn-ME"/>
        </w:rPr>
        <w:t xml:space="preserve">CEPEJ Evaluation report , 2022 Evaluation cycle, (2020 data), </w:t>
      </w:r>
      <w:r>
        <w:fldChar w:fldCharType="begin"/>
      </w:r>
      <w:r>
        <w:instrText>HYPERLINK</w:instrText>
      </w:r>
      <w:r>
        <w:rPr>
          <w:lang w:val="sr-Latn-ME"/>
        </w:rPr>
        <w:instrText>a</w:instrText>
      </w:r>
      <w:r>
        <w:instrText>https</w:instrText>
      </w:r>
      <w:r w:rsidRPr="00F5656C">
        <w:rPr>
          <w:lang w:val="sr-Latn-ME"/>
        </w:rPr>
        <w:instrText>://</w:instrText>
      </w:r>
      <w:r>
        <w:instrText>www</w:instrText>
      </w:r>
      <w:r w:rsidRPr="00F5656C">
        <w:rPr>
          <w:lang w:val="sr-Latn-ME"/>
        </w:rPr>
        <w:instrText>.</w:instrText>
      </w:r>
      <w:r>
        <w:instrText>coe</w:instrText>
      </w:r>
      <w:r w:rsidRPr="00F5656C">
        <w:rPr>
          <w:lang w:val="sr-Latn-ME"/>
        </w:rPr>
        <w:instrText>.</w:instrText>
      </w:r>
      <w:r>
        <w:instrText>int</w:instrText>
      </w:r>
      <w:r w:rsidRPr="00F5656C">
        <w:rPr>
          <w:lang w:val="sr-Latn-ME"/>
        </w:rPr>
        <w:instrText>/</w:instrText>
      </w:r>
      <w:r>
        <w:instrText>en</w:instrText>
      </w:r>
      <w:r w:rsidRPr="00F5656C">
        <w:rPr>
          <w:lang w:val="sr-Latn-ME"/>
        </w:rPr>
        <w:instrText>/</w:instrText>
      </w:r>
      <w:r>
        <w:instrText>web</w:instrText>
      </w:r>
      <w:r w:rsidRPr="00F5656C">
        <w:rPr>
          <w:lang w:val="sr-Latn-ME"/>
        </w:rPr>
        <w:instrText>/</w:instrText>
      </w:r>
      <w:r>
        <w:instrText>cepej</w:instrText>
      </w:r>
      <w:r w:rsidRPr="00F5656C">
        <w:rPr>
          <w:lang w:val="sr-Latn-ME"/>
        </w:rPr>
        <w:instrText>/</w:instrText>
      </w:r>
      <w:r>
        <w:instrText>special</w:instrText>
      </w:r>
      <w:r w:rsidRPr="00F5656C">
        <w:rPr>
          <w:lang w:val="sr-Latn-ME"/>
        </w:rPr>
        <w:instrText>-</w:instrText>
      </w:r>
      <w:r>
        <w:instrText>file</w:instrText>
      </w:r>
      <w:r w:rsidRPr="00F5656C">
        <w:rPr>
          <w:lang w:val="sr-Latn-ME"/>
        </w:rPr>
        <w:instrText>-</w:instrText>
      </w:r>
      <w:r>
        <w:instrText>report</w:instrText>
      </w:r>
      <w:r w:rsidRPr="00F5656C">
        <w:rPr>
          <w:lang w:val="sr-Latn-ME"/>
        </w:rPr>
        <w:instrText>-</w:instrText>
      </w:r>
      <w:r>
        <w:instrText>european</w:instrText>
      </w:r>
      <w:r w:rsidRPr="00F5656C">
        <w:rPr>
          <w:lang w:val="sr-Latn-ME"/>
        </w:rPr>
        <w:instrText>-</w:instrText>
      </w:r>
      <w:r>
        <w:instrText>judicial</w:instrText>
      </w:r>
      <w:r w:rsidRPr="00F5656C">
        <w:rPr>
          <w:lang w:val="sr-Latn-ME"/>
        </w:rPr>
        <w:instrText>-</w:instrText>
      </w:r>
      <w:r>
        <w:instrText>systems</w:instrText>
      </w:r>
      <w:r w:rsidRPr="00F5656C">
        <w:rPr>
          <w:lang w:val="sr-Latn-ME"/>
        </w:rPr>
        <w:instrText>-</w:instrText>
      </w:r>
      <w:r>
        <w:instrText>cepej</w:instrText>
      </w:r>
      <w:r w:rsidRPr="00F5656C">
        <w:rPr>
          <w:lang w:val="sr-Latn-ME"/>
        </w:rPr>
        <w:instrText>-</w:instrText>
      </w:r>
      <w:r>
        <w:instrText>evaluation</w:instrText>
      </w:r>
      <w:r w:rsidRPr="00F5656C">
        <w:rPr>
          <w:lang w:val="sr-Latn-ME"/>
        </w:rPr>
        <w:instrText>-</w:instrText>
      </w:r>
      <w:r>
        <w:instrText>report</w:instrText>
      </w:r>
      <w:r w:rsidRPr="00F5656C">
        <w:rPr>
          <w:lang w:val="sr-Latn-ME"/>
        </w:rPr>
        <w:instrText>-2022-</w:instrText>
      </w:r>
      <w:r>
        <w:instrText>evaluation</w:instrText>
      </w:r>
      <w:r w:rsidRPr="00F5656C">
        <w:rPr>
          <w:lang w:val="sr-Latn-ME"/>
        </w:rPr>
        <w:instrText>-</w:instrText>
      </w:r>
      <w:r>
        <w:instrText>cycle</w:instrText>
      </w:r>
      <w:r w:rsidRPr="00F5656C">
        <w:rPr>
          <w:lang w:val="sr-Latn-ME"/>
        </w:rPr>
        <w:instrText>-2020-</w:instrText>
      </w:r>
      <w:r>
        <w:instrText>data</w:instrText>
      </w:r>
      <w:r w:rsidRPr="00F5656C">
        <w:rPr>
          <w:lang w:val="sr-Latn-ME"/>
        </w:rPr>
        <w:instrText>-"</w:instrText>
      </w:r>
      <w:r>
        <w:fldChar w:fldCharType="separate"/>
      </w:r>
      <w:r w:rsidRPr="001A1A34">
        <w:rPr>
          <w:rStyle w:val="Hyperlink"/>
          <w:lang w:val="sr-Latn-ME"/>
        </w:rPr>
        <w:t>https://www.coe.int/en/web/cepej/special-file-report-european-judicial-systems-cepej-evaluation-report-2022-evaluation-cycle-2020-data-</w:t>
      </w:r>
      <w:r>
        <w:rPr>
          <w:rStyle w:val="Hyperlink"/>
          <w:lang w:val="sr-Latn-ME"/>
        </w:rPr>
        <w:fldChar w:fldCharType="end"/>
      </w:r>
      <w:r>
        <w:rPr>
          <w:lang w:val="sr-Latn-ME"/>
        </w:rPr>
        <w:t xml:space="preserve"> </w:t>
      </w:r>
    </w:p>
  </w:footnote>
  <w:footnote w:id="19">
    <w:p w14:paraId="6A854544" w14:textId="77777777" w:rsidR="00D16499" w:rsidRPr="009A613C" w:rsidRDefault="00D16499" w:rsidP="00E54FB6">
      <w:pPr>
        <w:pStyle w:val="FootnoteText"/>
        <w:jc w:val="both"/>
        <w:rPr>
          <w:rFonts w:asciiTheme="minorHAnsi" w:hAnsiTheme="minorHAnsi" w:cstheme="minorHAnsi"/>
          <w:color w:val="000000" w:themeColor="text1"/>
          <w:lang w:val="sr-Latn-ME"/>
        </w:rPr>
      </w:pPr>
      <w:r w:rsidRPr="009A613C">
        <w:rPr>
          <w:rStyle w:val="FootnoteReference"/>
          <w:rFonts w:asciiTheme="minorHAnsi" w:hAnsiTheme="minorHAnsi" w:cstheme="minorHAnsi"/>
          <w:color w:val="000000" w:themeColor="text1"/>
          <w:lang w:val="sr-Latn-ME"/>
        </w:rPr>
        <w:footnoteRef/>
      </w:r>
      <w:r w:rsidRPr="009A613C">
        <w:rPr>
          <w:rFonts w:asciiTheme="minorHAnsi" w:hAnsiTheme="minorHAnsi" w:cstheme="minorHAnsi"/>
          <w:color w:val="000000" w:themeColor="text1"/>
          <w:lang w:val="sr-Latn-ME"/>
        </w:rPr>
        <w:t xml:space="preserve"> </w:t>
      </w:r>
      <w:r w:rsidRPr="009A613C">
        <w:rPr>
          <w:rFonts w:asciiTheme="minorHAnsi" w:hAnsiTheme="minorHAnsi" w:cstheme="minorHAnsi"/>
          <w:color w:val="000000" w:themeColor="text1"/>
          <w:lang w:val="sr-Latn-ME" w:eastAsia="en-GB"/>
        </w:rPr>
        <w:t>Službeni list CG”, br. 54/2018 od 31.7.2018. godine, a stupila je na snagu 8.8.2018.</w:t>
      </w:r>
    </w:p>
  </w:footnote>
  <w:footnote w:id="20">
    <w:p w14:paraId="15BF3F70" w14:textId="77777777" w:rsidR="00D16499" w:rsidRPr="009A613C" w:rsidRDefault="00D16499" w:rsidP="00E54FB6">
      <w:pPr>
        <w:autoSpaceDE w:val="0"/>
        <w:autoSpaceDN w:val="0"/>
        <w:adjustRightInd w:val="0"/>
        <w:spacing w:after="0" w:line="240" w:lineRule="auto"/>
        <w:jc w:val="both"/>
        <w:rPr>
          <w:rFonts w:cstheme="minorHAnsi"/>
          <w:color w:val="333333"/>
          <w:sz w:val="20"/>
          <w:szCs w:val="20"/>
          <w:lang w:eastAsia="en-GB"/>
        </w:rPr>
      </w:pPr>
      <w:r w:rsidRPr="009A613C">
        <w:rPr>
          <w:rStyle w:val="FootnoteReference"/>
          <w:rFonts w:cstheme="minorHAnsi"/>
          <w:color w:val="000000" w:themeColor="text1"/>
          <w:sz w:val="20"/>
          <w:szCs w:val="20"/>
        </w:rPr>
        <w:footnoteRef/>
      </w:r>
      <w:r w:rsidRPr="009A613C">
        <w:rPr>
          <w:rFonts w:cstheme="minorHAnsi"/>
          <w:color w:val="000000" w:themeColor="text1"/>
          <w:sz w:val="20"/>
          <w:szCs w:val="20"/>
        </w:rPr>
        <w:t xml:space="preserve"> </w:t>
      </w:r>
      <w:r w:rsidRPr="009A613C">
        <w:rPr>
          <w:rFonts w:cstheme="minorHAnsi"/>
          <w:color w:val="000000" w:themeColor="text1"/>
          <w:sz w:val="20"/>
          <w:szCs w:val="20"/>
          <w:lang w:eastAsia="en-GB"/>
        </w:rPr>
        <w:t xml:space="preserve">Dostupno na: </w:t>
      </w:r>
      <w:hyperlink r:id="rId19" w:history="1">
        <w:r w:rsidRPr="008321DB">
          <w:rPr>
            <w:rStyle w:val="Hyperlink"/>
            <w:rFonts w:cstheme="minorHAnsi"/>
            <w:sz w:val="20"/>
            <w:szCs w:val="20"/>
            <w:lang w:eastAsia="en-GB"/>
          </w:rPr>
          <w:t>https://javnepolitike.me/wp-content/uploads/2020/11/Metodologija-razvijanja-politika-draft3-preview-22SEP20.pdf</w:t>
        </w:r>
      </w:hyperlink>
      <w:r>
        <w:rPr>
          <w:rFonts w:cstheme="minorHAnsi"/>
          <w:color w:val="000000" w:themeColor="text1"/>
          <w:sz w:val="20"/>
          <w:szCs w:val="20"/>
          <w:lang w:eastAsia="en-GB"/>
        </w:rPr>
        <w:t xml:space="preserve"> </w:t>
      </w:r>
      <w:r w:rsidRPr="009A613C">
        <w:rPr>
          <w:rFonts w:cstheme="minorHAnsi"/>
          <w:color w:val="000000" w:themeColor="text1"/>
          <w:sz w:val="20"/>
          <w:szCs w:val="20"/>
          <w:lang w:eastAsia="en-GB"/>
        </w:rPr>
        <w:t xml:space="preserve">  </w:t>
      </w:r>
    </w:p>
  </w:footnote>
  <w:footnote w:id="21">
    <w:p w14:paraId="64F15738" w14:textId="77777777" w:rsidR="00D16499" w:rsidRPr="009A613C" w:rsidRDefault="00D16499" w:rsidP="00E54FB6">
      <w:pPr>
        <w:pStyle w:val="FootnoteText"/>
        <w:jc w:val="both"/>
        <w:rPr>
          <w:lang w:val="sr-Latn-ME"/>
        </w:rPr>
      </w:pPr>
      <w:r w:rsidRPr="009A613C">
        <w:rPr>
          <w:rStyle w:val="FootnoteReference"/>
          <w:rFonts w:asciiTheme="minorHAnsi" w:hAnsiTheme="minorHAnsi" w:cstheme="minorHAnsi"/>
          <w:lang w:val="sr-Latn-ME"/>
        </w:rPr>
        <w:footnoteRef/>
      </w:r>
      <w:r w:rsidRPr="009A613C">
        <w:rPr>
          <w:rFonts w:asciiTheme="minorHAnsi" w:hAnsiTheme="minorHAnsi" w:cstheme="minorHAnsi"/>
          <w:lang w:val="sr-Latn-ME"/>
        </w:rPr>
        <w:t xml:space="preserve"> Bulatović, J. (2022) </w:t>
      </w:r>
      <w:r w:rsidRPr="009A613C">
        <w:rPr>
          <w:rFonts w:asciiTheme="minorHAnsi" w:hAnsiTheme="minorHAnsi" w:cstheme="minorHAnsi"/>
          <w:i/>
          <w:iCs/>
          <w:lang w:val="sr-Latn-ME"/>
        </w:rPr>
        <w:t xml:space="preserve">Priručnik za evaluaciju strateških dokumenata, </w:t>
      </w:r>
      <w:r w:rsidRPr="009A613C">
        <w:rPr>
          <w:rFonts w:asciiTheme="minorHAnsi" w:hAnsiTheme="minorHAnsi" w:cstheme="minorHAnsi"/>
          <w:lang w:val="sr-Latn-ME" w:eastAsia="en-GB"/>
        </w:rPr>
        <w:t>Generalni sekretarijat Vlade Crne Gore, Podgorica.</w:t>
      </w:r>
    </w:p>
  </w:footnote>
  <w:footnote w:id="22">
    <w:p w14:paraId="19ABEDA4" w14:textId="77777777" w:rsidR="00D16499" w:rsidRPr="002047E8" w:rsidRDefault="00D16499" w:rsidP="00E54FB6">
      <w:pPr>
        <w:spacing w:after="200" w:line="240" w:lineRule="auto"/>
        <w:ind w:left="-180"/>
        <w:jc w:val="both"/>
        <w:rPr>
          <w:rFonts w:cstheme="minorHAnsi"/>
        </w:rPr>
      </w:pPr>
      <w:r w:rsidRPr="002047E8">
        <w:rPr>
          <w:rStyle w:val="FootnoteReference"/>
          <w:sz w:val="20"/>
          <w:szCs w:val="20"/>
        </w:rPr>
        <w:footnoteRef/>
      </w:r>
      <w:r w:rsidRPr="002047E8">
        <w:rPr>
          <w:sz w:val="20"/>
          <w:szCs w:val="20"/>
        </w:rPr>
        <w:t xml:space="preserve"> </w:t>
      </w:r>
      <w:r w:rsidRPr="002047E8">
        <w:rPr>
          <w:rFonts w:cstheme="minorHAnsi"/>
          <w:sz w:val="20"/>
          <w:szCs w:val="20"/>
        </w:rPr>
        <w:t>Završni izvještaj o sprovođenju Strategije reforme pravosuđa 2019-2022, Savjet za praćenje sprovođenja Strategije reforme pravosuđa 2019-2022. godine, Vlada Crne Gore, Podgorica, 2023</w:t>
      </w:r>
    </w:p>
  </w:footnote>
  <w:footnote w:id="23">
    <w:p w14:paraId="73C86E70" w14:textId="77777777" w:rsidR="00D16499" w:rsidRPr="009A613C" w:rsidRDefault="00D16499" w:rsidP="00E54FB6">
      <w:pPr>
        <w:pStyle w:val="Heading2"/>
        <w:shd w:val="clear" w:color="auto" w:fill="FFFFFF"/>
        <w:spacing w:before="0"/>
        <w:rPr>
          <w:rFonts w:ascii="Roboto" w:hAnsi="Roboto"/>
          <w:color w:val="auto"/>
          <w:sz w:val="20"/>
          <w:szCs w:val="20"/>
        </w:rPr>
      </w:pPr>
      <w:r w:rsidRPr="009A613C">
        <w:rPr>
          <w:rStyle w:val="FootnoteReference"/>
          <w:color w:val="auto"/>
          <w:sz w:val="20"/>
          <w:szCs w:val="20"/>
        </w:rPr>
        <w:footnoteRef/>
      </w:r>
      <w:r w:rsidRPr="009A613C">
        <w:rPr>
          <w:color w:val="auto"/>
          <w:sz w:val="20"/>
          <w:szCs w:val="20"/>
        </w:rPr>
        <w:t xml:space="preserve"> Vidjeti: CEMI (2023</w:t>
      </w:r>
      <w:bookmarkStart w:id="14" w:name="_Hlk136992581"/>
      <w:r w:rsidRPr="009A613C">
        <w:rPr>
          <w:color w:val="auto"/>
          <w:sz w:val="20"/>
          <w:szCs w:val="20"/>
        </w:rPr>
        <w:t>) Istraživanje javnog mnjenja o percepciji nezavisnosti i integriteta pravosuđa u Crnoj Gori,</w:t>
      </w:r>
      <w:bookmarkEnd w:id="14"/>
    </w:p>
    <w:p w14:paraId="6B41B1ED" w14:textId="77777777" w:rsidR="00D16499" w:rsidRPr="009A613C" w:rsidRDefault="00D16499" w:rsidP="00E54FB6">
      <w:pPr>
        <w:pStyle w:val="FootnoteText"/>
        <w:rPr>
          <w:lang w:val="sr-Latn-ME"/>
        </w:rPr>
      </w:pPr>
      <w:r w:rsidRPr="009A613C">
        <w:rPr>
          <w:lang w:val="sr-Latn-ME"/>
        </w:rPr>
        <w:t xml:space="preserve"> dostupno na: </w:t>
      </w:r>
      <w:hyperlink r:id="rId20" w:history="1">
        <w:r w:rsidRPr="009A613C">
          <w:rPr>
            <w:rStyle w:val="Hyperlink"/>
            <w:lang w:val="sr-Latn-ME"/>
          </w:rPr>
          <w:t>https://cemi.org.me/me/post/istrazivanje-javnog-mnjenja-o-percepciji-nezavisnosti-i-integriteta-pravosuda-u-crnoj-gori-1053</w:t>
        </w:r>
      </w:hyperlink>
      <w:r w:rsidRPr="009A613C">
        <w:rPr>
          <w:lang w:val="sr-Latn-ME"/>
        </w:rPr>
        <w:t>, pristupljeno 4.6. 2023. godine</w:t>
      </w:r>
    </w:p>
  </w:footnote>
  <w:footnote w:id="24">
    <w:p w14:paraId="3072EF9F" w14:textId="566D404C" w:rsidR="00D16499" w:rsidRPr="00735CAE" w:rsidRDefault="00D16499">
      <w:pPr>
        <w:pStyle w:val="FootnoteText"/>
        <w:rPr>
          <w:lang w:val="sr-Latn-ME"/>
        </w:rPr>
      </w:pPr>
      <w:r>
        <w:rPr>
          <w:rStyle w:val="FootnoteReference"/>
        </w:rPr>
        <w:footnoteRef/>
      </w:r>
      <w:r w:rsidRPr="00735CAE">
        <w:rPr>
          <w:lang w:val="sr-Latn-ME"/>
        </w:rPr>
        <w:t xml:space="preserve"> </w:t>
      </w:r>
      <w:r>
        <w:rPr>
          <w:lang w:val="sr-Latn-ME"/>
        </w:rPr>
        <w:t>I</w:t>
      </w:r>
      <w:r>
        <w:t>zvor</w:t>
      </w:r>
      <w:r w:rsidRPr="00F5656C">
        <w:rPr>
          <w:lang w:val="sr-Latn-ME"/>
        </w:rPr>
        <w:t>:</w:t>
      </w:r>
      <w:r w:rsidRPr="00735CAE">
        <w:rPr>
          <w:i/>
          <w:iCs/>
          <w:lang w:val="sr-Latn-ME"/>
        </w:rPr>
        <w:t xml:space="preserve"> CEPEJ</w:t>
      </w:r>
      <w:r>
        <w:rPr>
          <w:lang w:val="sr-Latn-ME"/>
        </w:rPr>
        <w:t xml:space="preserve"> 2022 data</w:t>
      </w:r>
    </w:p>
  </w:footnote>
  <w:footnote w:id="25">
    <w:p w14:paraId="0CB4173F" w14:textId="7185CD22" w:rsidR="00D16499" w:rsidRPr="00F5656C" w:rsidRDefault="00D16499" w:rsidP="00F5656C">
      <w:pPr>
        <w:pStyle w:val="FootnoteText"/>
        <w:jc w:val="both"/>
        <w:rPr>
          <w:lang w:val="sr-Latn-ME"/>
        </w:rPr>
      </w:pPr>
      <w:r w:rsidRPr="00F5656C">
        <w:rPr>
          <w:rStyle w:val="FootnoteReference"/>
        </w:rPr>
        <w:footnoteRef/>
      </w:r>
      <w:r w:rsidRPr="00F5656C">
        <w:rPr>
          <w:lang w:val="sr-Latn-ME"/>
        </w:rPr>
        <w:t xml:space="preserve"> COMMISSION STAFF WORKING DOCUMENT Montenegro 2022 Report Accompanying the document Communication from the Commission to the European Parliament, the Council, the European Economic and Social Committee and the Committee of the Regions 2022 Communication on EU Enlargement policy, dostupno na: </w:t>
      </w:r>
      <w:hyperlink r:id="rId21" w:history="1">
        <w:r w:rsidRPr="00F5656C">
          <w:rPr>
            <w:rStyle w:val="Hyperlink"/>
            <w:lang w:val="sr-Latn-ME"/>
          </w:rPr>
          <w:t>https://op.europa.eu/en/publication-detail/-/publication/a9b0d6b3-4b02-11ed-92ed-01aa75ed71a1/language-fr</w:t>
        </w:r>
      </w:hyperlink>
      <w:r w:rsidRPr="00F5656C">
        <w:rPr>
          <w:lang w:val="sr-Latn-ME"/>
        </w:rPr>
        <w:t>, pristupljeno 12.5.2023. godine</w:t>
      </w:r>
    </w:p>
  </w:footnote>
  <w:footnote w:id="26">
    <w:p w14:paraId="3E5A234E" w14:textId="77777777" w:rsidR="00D16499" w:rsidRPr="00F5656C" w:rsidRDefault="00D16499" w:rsidP="00EB34E2">
      <w:pPr>
        <w:spacing w:after="0" w:line="240" w:lineRule="auto"/>
        <w:jc w:val="both"/>
        <w:rPr>
          <w:sz w:val="20"/>
          <w:szCs w:val="20"/>
        </w:rPr>
      </w:pPr>
      <w:r w:rsidRPr="00F5656C">
        <w:rPr>
          <w:rStyle w:val="FootnoteReference"/>
          <w:sz w:val="20"/>
          <w:szCs w:val="20"/>
        </w:rPr>
        <w:footnoteRef/>
      </w:r>
      <w:r w:rsidRPr="00F5656C">
        <w:rPr>
          <w:sz w:val="20"/>
          <w:szCs w:val="20"/>
        </w:rPr>
        <w:t xml:space="preserve"> </w:t>
      </w:r>
      <w:r w:rsidRPr="00F5656C">
        <w:rPr>
          <w:rFonts w:cstheme="minorHAnsi"/>
          <w:sz w:val="20"/>
          <w:szCs w:val="20"/>
        </w:rPr>
        <w:t>Akcija za ljudska prava</w:t>
      </w:r>
      <w:r w:rsidRPr="00F5656C">
        <w:rPr>
          <w:sz w:val="20"/>
          <w:szCs w:val="20"/>
        </w:rPr>
        <w:t xml:space="preserve"> (2022) Analiza postupaka izbora, napredovanja i utvrđivanja odgovornosti sudija u Crnoj Gori u 2022, Podgorica.</w:t>
      </w:r>
    </w:p>
  </w:footnote>
  <w:footnote w:id="27">
    <w:p w14:paraId="7D8ACFF1" w14:textId="593FE4EF" w:rsidR="00D16499" w:rsidRPr="00F5656C" w:rsidRDefault="00D16499" w:rsidP="00F5656C">
      <w:pPr>
        <w:spacing w:after="0" w:line="276" w:lineRule="auto"/>
        <w:jc w:val="both"/>
        <w:rPr>
          <w:rFonts w:cstheme="minorHAnsi"/>
          <w:sz w:val="20"/>
          <w:szCs w:val="20"/>
        </w:rPr>
      </w:pPr>
      <w:r w:rsidRPr="00F5656C">
        <w:rPr>
          <w:rStyle w:val="FootnoteReference"/>
          <w:sz w:val="20"/>
          <w:szCs w:val="20"/>
        </w:rPr>
        <w:footnoteRef/>
      </w:r>
      <w:r w:rsidRPr="00F5656C">
        <w:rPr>
          <w:sz w:val="20"/>
          <w:szCs w:val="20"/>
        </w:rPr>
        <w:t xml:space="preserve"> Ministarstvo pravde (2022) </w:t>
      </w:r>
      <w:r w:rsidRPr="00F5656C">
        <w:rPr>
          <w:rFonts w:cs="Calibri"/>
          <w:sz w:val="20"/>
          <w:szCs w:val="20"/>
          <w14:ligatures w14:val="standardContextual"/>
        </w:rPr>
        <w:t>Analiza</w:t>
      </w:r>
      <w:r>
        <w:rPr>
          <w:rFonts w:cs="Calibri"/>
          <w:sz w:val="20"/>
          <w:szCs w:val="20"/>
          <w14:ligatures w14:val="standardContextual"/>
        </w:rPr>
        <w:t xml:space="preserve"> efikasnosti</w:t>
      </w:r>
      <w:r w:rsidRPr="00F5656C">
        <w:rPr>
          <w:rFonts w:cs="Calibri"/>
          <w:sz w:val="20"/>
          <w:szCs w:val="20"/>
          <w14:ligatures w14:val="standardContextual"/>
        </w:rPr>
        <w:t xml:space="preserve"> funkcionisanja sistema izvršenja sudskih odluka 2022. godine</w:t>
      </w:r>
    </w:p>
  </w:footnote>
  <w:footnote w:id="28">
    <w:p w14:paraId="4626D816" w14:textId="3000C2DF" w:rsidR="00D16499" w:rsidRPr="00F5656C" w:rsidRDefault="00D16499" w:rsidP="00F5656C">
      <w:pPr>
        <w:pStyle w:val="Default"/>
        <w:rPr>
          <w:rFonts w:ascii="Arial" w:hAnsi="Arial" w:cs="Arial"/>
          <w:lang w:val="it-IT"/>
        </w:rPr>
      </w:pPr>
      <w:r w:rsidRPr="00F5656C">
        <w:rPr>
          <w:rStyle w:val="FootnoteReference"/>
          <w:sz w:val="20"/>
          <w:szCs w:val="20"/>
        </w:rPr>
        <w:footnoteRef/>
      </w:r>
      <w:r w:rsidRPr="00F5656C">
        <w:rPr>
          <w:rFonts w:ascii="Arial" w:hAnsi="Arial" w:cs="Arial"/>
          <w:sz w:val="20"/>
          <w:szCs w:val="20"/>
          <w:lang w:val="it-IT"/>
        </w:rPr>
        <w:t xml:space="preserve"> </w:t>
      </w:r>
      <w:r w:rsidRPr="00F5656C">
        <w:rPr>
          <w:sz w:val="20"/>
          <w:szCs w:val="20"/>
          <w:lang w:val="it-IT"/>
        </w:rPr>
        <w:t>Crna Gora, Ministarstvo Pravde, Direktorat za Pravosuđe, Direkcija za pravosudni nadzor (2023) Analiza nadzora rada notara (Za 2022. Godinu)</w:t>
      </w:r>
    </w:p>
  </w:footnote>
  <w:footnote w:id="29">
    <w:p w14:paraId="192945FF" w14:textId="212CA11C" w:rsidR="00D16499" w:rsidRPr="00BE13A3" w:rsidRDefault="00D16499">
      <w:pPr>
        <w:pStyle w:val="FootnoteText"/>
        <w:rPr>
          <w:lang w:val="it-IT"/>
        </w:rPr>
      </w:pPr>
      <w:r>
        <w:rPr>
          <w:rStyle w:val="FootnoteReference"/>
        </w:rPr>
        <w:footnoteRef/>
      </w:r>
      <w:r w:rsidRPr="00BE13A3">
        <w:rPr>
          <w:lang w:val="it-IT"/>
        </w:rPr>
        <w:t xml:space="preserve"> </w:t>
      </w:r>
      <w:r w:rsidRPr="00F5656C">
        <w:rPr>
          <w:i/>
          <w:iCs/>
          <w:lang w:val="it-IT"/>
        </w:rPr>
        <w:t>Ibidem.</w:t>
      </w:r>
    </w:p>
  </w:footnote>
  <w:footnote w:id="30">
    <w:p w14:paraId="30714B00" w14:textId="765D18C2" w:rsidR="00D16499" w:rsidRPr="00735CAE" w:rsidRDefault="00D16499">
      <w:pPr>
        <w:pStyle w:val="FootnoteText"/>
        <w:rPr>
          <w:lang w:val="sr-Latn-ME"/>
        </w:rPr>
      </w:pPr>
      <w:r>
        <w:rPr>
          <w:rStyle w:val="FootnoteReference"/>
        </w:rPr>
        <w:footnoteRef/>
      </w:r>
      <w:r w:rsidRPr="00735CAE">
        <w:rPr>
          <w:lang w:val="sr-Latn-ME"/>
        </w:rPr>
        <w:t xml:space="preserve"> </w:t>
      </w:r>
      <w:r w:rsidRPr="00BE13A3">
        <w:rPr>
          <w:lang w:val="it-IT"/>
        </w:rPr>
        <w:t>Izvor</w:t>
      </w:r>
      <w:r w:rsidRPr="00AB23DA">
        <w:rPr>
          <w:lang w:val="sr-Latn-ME"/>
        </w:rPr>
        <w:t xml:space="preserve">: </w:t>
      </w:r>
      <w:r w:rsidRPr="00BE13A3">
        <w:rPr>
          <w:i/>
          <w:iCs/>
          <w:lang w:val="it-IT"/>
        </w:rPr>
        <w:t>CEPEJ</w:t>
      </w:r>
      <w:r w:rsidRPr="00AB23DA">
        <w:rPr>
          <w:i/>
          <w:iCs/>
          <w:lang w:val="sr-Latn-ME"/>
        </w:rPr>
        <w:t xml:space="preserve"> 2022 </w:t>
      </w:r>
      <w:r w:rsidRPr="00BE13A3">
        <w:rPr>
          <w:i/>
          <w:iCs/>
          <w:lang w:val="it-IT"/>
        </w:rPr>
        <w:t>data</w:t>
      </w:r>
    </w:p>
  </w:footnote>
  <w:footnote w:id="31">
    <w:p w14:paraId="5856E246" w14:textId="070DC8F0" w:rsidR="00D16499" w:rsidRPr="00D460E1" w:rsidRDefault="00D16499" w:rsidP="00D460E1">
      <w:pPr>
        <w:pStyle w:val="FootnoteText"/>
        <w:jc w:val="both"/>
        <w:rPr>
          <w:lang w:val="sr-Latn-ME"/>
        </w:rPr>
      </w:pPr>
      <w:r>
        <w:rPr>
          <w:rStyle w:val="FootnoteReference"/>
        </w:rPr>
        <w:footnoteRef/>
      </w:r>
      <w:r w:rsidRPr="00D460E1">
        <w:rPr>
          <w:lang w:val="sr-Latn-ME"/>
        </w:rPr>
        <w:t xml:space="preserve"> </w:t>
      </w:r>
      <w:r w:rsidRPr="00BE13A3">
        <w:rPr>
          <w:lang w:val="it-IT"/>
        </w:rPr>
        <w:t>Stawa</w:t>
      </w:r>
      <w:r w:rsidRPr="00D460E1">
        <w:rPr>
          <w:lang w:val="sr-Latn-ME"/>
        </w:rPr>
        <w:t xml:space="preserve">, </w:t>
      </w:r>
      <w:r w:rsidRPr="00BE13A3">
        <w:rPr>
          <w:lang w:val="it-IT"/>
        </w:rPr>
        <w:t>G</w:t>
      </w:r>
      <w:r w:rsidRPr="00D460E1">
        <w:rPr>
          <w:lang w:val="sr-Latn-ME"/>
        </w:rPr>
        <w:t xml:space="preserve">. (2022) </w:t>
      </w:r>
      <w:r w:rsidRPr="00BE13A3">
        <w:rPr>
          <w:lang w:val="it-IT"/>
        </w:rPr>
        <w:t>Analiza</w:t>
      </w:r>
      <w:r w:rsidRPr="00D460E1">
        <w:rPr>
          <w:lang w:val="sr-Latn-ME"/>
        </w:rPr>
        <w:t xml:space="preserve"> </w:t>
      </w:r>
      <w:r w:rsidRPr="00BE13A3">
        <w:rPr>
          <w:lang w:val="it-IT"/>
        </w:rPr>
        <w:t>potrebe</w:t>
      </w:r>
      <w:r w:rsidRPr="00D460E1">
        <w:rPr>
          <w:lang w:val="sr-Latn-ME"/>
        </w:rPr>
        <w:t xml:space="preserve"> </w:t>
      </w:r>
      <w:r w:rsidRPr="00BE13A3">
        <w:rPr>
          <w:lang w:val="it-IT"/>
        </w:rPr>
        <w:t>za</w:t>
      </w:r>
      <w:r w:rsidRPr="00D460E1">
        <w:rPr>
          <w:lang w:val="sr-Latn-ME"/>
        </w:rPr>
        <w:t xml:space="preserve"> </w:t>
      </w:r>
      <w:r w:rsidRPr="00BE13A3">
        <w:rPr>
          <w:lang w:val="it-IT"/>
        </w:rPr>
        <w:t>racionalizacijom</w:t>
      </w:r>
      <w:r w:rsidRPr="00D460E1">
        <w:rPr>
          <w:lang w:val="sr-Latn-ME"/>
        </w:rPr>
        <w:t xml:space="preserve"> </w:t>
      </w:r>
      <w:r w:rsidRPr="00BE13A3">
        <w:rPr>
          <w:lang w:val="it-IT"/>
        </w:rPr>
        <w:t>mre</w:t>
      </w:r>
      <w:r w:rsidRPr="00D460E1">
        <w:rPr>
          <w:lang w:val="sr-Latn-ME"/>
        </w:rPr>
        <w:t>ž</w:t>
      </w:r>
      <w:r w:rsidRPr="00BE13A3">
        <w:rPr>
          <w:lang w:val="it-IT"/>
        </w:rPr>
        <w:t>e</w:t>
      </w:r>
      <w:r w:rsidRPr="00D460E1">
        <w:rPr>
          <w:lang w:val="sr-Latn-ME"/>
        </w:rPr>
        <w:t xml:space="preserve"> </w:t>
      </w:r>
      <w:r w:rsidRPr="00BE13A3">
        <w:rPr>
          <w:lang w:val="it-IT"/>
        </w:rPr>
        <w:t>pravosudnih</w:t>
      </w:r>
      <w:r w:rsidRPr="00D460E1">
        <w:rPr>
          <w:lang w:val="sr-Latn-ME"/>
        </w:rPr>
        <w:t xml:space="preserve"> </w:t>
      </w:r>
      <w:r w:rsidRPr="00BE13A3">
        <w:rPr>
          <w:lang w:val="it-IT"/>
        </w:rPr>
        <w:t>organa</w:t>
      </w:r>
      <w:r w:rsidRPr="00D460E1">
        <w:rPr>
          <w:lang w:val="sr-Latn-ME"/>
        </w:rPr>
        <w:t xml:space="preserve">, </w:t>
      </w:r>
      <w:r w:rsidRPr="00BE13A3">
        <w:rPr>
          <w:lang w:val="it-IT"/>
        </w:rPr>
        <w:t>s</w:t>
      </w:r>
      <w:r w:rsidRPr="00D460E1">
        <w:rPr>
          <w:lang w:val="sr-Latn-ME"/>
        </w:rPr>
        <w:t xml:space="preserve"> </w:t>
      </w:r>
      <w:r w:rsidRPr="00BE13A3">
        <w:rPr>
          <w:lang w:val="it-IT"/>
        </w:rPr>
        <w:t>pregledom</w:t>
      </w:r>
      <w:r w:rsidRPr="00D460E1">
        <w:rPr>
          <w:lang w:val="sr-Latn-ME"/>
        </w:rPr>
        <w:t xml:space="preserve"> </w:t>
      </w:r>
      <w:r w:rsidRPr="00BE13A3">
        <w:rPr>
          <w:lang w:val="it-IT"/>
        </w:rPr>
        <w:t>postoje</w:t>
      </w:r>
      <w:r w:rsidRPr="00D460E1">
        <w:rPr>
          <w:lang w:val="sr-Latn-ME"/>
        </w:rPr>
        <w:t>ć</w:t>
      </w:r>
      <w:r w:rsidRPr="00BE13A3">
        <w:rPr>
          <w:lang w:val="it-IT"/>
        </w:rPr>
        <w:t>eg</w:t>
      </w:r>
      <w:r w:rsidRPr="00D460E1">
        <w:rPr>
          <w:lang w:val="sr-Latn-ME"/>
        </w:rPr>
        <w:t xml:space="preserve"> </w:t>
      </w:r>
      <w:r w:rsidRPr="00BE13A3">
        <w:rPr>
          <w:lang w:val="it-IT"/>
        </w:rPr>
        <w:t>stanja</w:t>
      </w:r>
      <w:r w:rsidRPr="00D460E1">
        <w:rPr>
          <w:lang w:val="sr-Latn-ME"/>
        </w:rPr>
        <w:t xml:space="preserve"> </w:t>
      </w:r>
      <w:r w:rsidRPr="00BE13A3">
        <w:rPr>
          <w:lang w:val="it-IT"/>
        </w:rPr>
        <w:t>i</w:t>
      </w:r>
      <w:r w:rsidRPr="00D460E1">
        <w:rPr>
          <w:lang w:val="sr-Latn-ME"/>
        </w:rPr>
        <w:t xml:space="preserve"> </w:t>
      </w:r>
      <w:r w:rsidRPr="00BE13A3">
        <w:rPr>
          <w:lang w:val="it-IT"/>
        </w:rPr>
        <w:t>preporukama</w:t>
      </w:r>
      <w:r w:rsidRPr="00D460E1">
        <w:rPr>
          <w:lang w:val="sr-Latn-ME"/>
        </w:rPr>
        <w:t xml:space="preserve"> </w:t>
      </w:r>
      <w:r w:rsidRPr="00BE13A3">
        <w:rPr>
          <w:lang w:val="it-IT"/>
        </w:rPr>
        <w:t>za</w:t>
      </w:r>
      <w:r w:rsidRPr="00D460E1">
        <w:rPr>
          <w:lang w:val="sr-Latn-ME"/>
        </w:rPr>
        <w:t xml:space="preserve"> </w:t>
      </w:r>
      <w:r w:rsidRPr="00BE13A3">
        <w:rPr>
          <w:lang w:val="it-IT"/>
        </w:rPr>
        <w:t>dalji</w:t>
      </w:r>
      <w:r w:rsidRPr="00D460E1">
        <w:rPr>
          <w:lang w:val="sr-Latn-ME"/>
        </w:rPr>
        <w:t xml:space="preserve"> </w:t>
      </w:r>
      <w:r w:rsidRPr="00BE13A3">
        <w:rPr>
          <w:lang w:val="it-IT"/>
        </w:rPr>
        <w:t>rad</w:t>
      </w:r>
      <w:r w:rsidRPr="00D460E1">
        <w:rPr>
          <w:lang w:val="sr-Latn-ME"/>
        </w:rPr>
        <w:t xml:space="preserve"> (</w:t>
      </w:r>
      <w:r w:rsidRPr="00BE13A3">
        <w:rPr>
          <w:lang w:val="it-IT"/>
        </w:rPr>
        <w:t>Verzija</w:t>
      </w:r>
      <w:r w:rsidRPr="00D460E1">
        <w:rPr>
          <w:lang w:val="sr-Latn-ME"/>
        </w:rPr>
        <w:t xml:space="preserve"> 2.0), </w:t>
      </w:r>
      <w:r w:rsidRPr="00BE13A3">
        <w:rPr>
          <w:lang w:val="it-IT"/>
        </w:rPr>
        <w:t>Podr</w:t>
      </w:r>
      <w:r w:rsidRPr="00D460E1">
        <w:rPr>
          <w:lang w:val="sr-Latn-ME"/>
        </w:rPr>
        <w:t>š</w:t>
      </w:r>
      <w:r w:rsidRPr="00BE13A3">
        <w:rPr>
          <w:lang w:val="it-IT"/>
        </w:rPr>
        <w:t>ka</w:t>
      </w:r>
      <w:r w:rsidRPr="00D460E1">
        <w:rPr>
          <w:lang w:val="sr-Latn-ME"/>
        </w:rPr>
        <w:t xml:space="preserve"> </w:t>
      </w:r>
      <w:r w:rsidRPr="00BE13A3">
        <w:rPr>
          <w:lang w:val="it-IT"/>
        </w:rPr>
        <w:t>Evropske</w:t>
      </w:r>
      <w:r w:rsidRPr="00D460E1">
        <w:rPr>
          <w:lang w:val="sr-Latn-ME"/>
        </w:rPr>
        <w:t xml:space="preserve"> </w:t>
      </w:r>
      <w:r w:rsidRPr="00BE13A3">
        <w:rPr>
          <w:lang w:val="it-IT"/>
        </w:rPr>
        <w:t>unije</w:t>
      </w:r>
      <w:r w:rsidRPr="00D460E1">
        <w:rPr>
          <w:lang w:val="sr-Latn-ME"/>
        </w:rPr>
        <w:t xml:space="preserve"> </w:t>
      </w:r>
      <w:r w:rsidRPr="00BE13A3">
        <w:rPr>
          <w:lang w:val="it-IT"/>
        </w:rPr>
        <w:t>vladavini</w:t>
      </w:r>
      <w:r w:rsidRPr="00D460E1">
        <w:rPr>
          <w:lang w:val="sr-Latn-ME"/>
        </w:rPr>
        <w:t xml:space="preserve"> </w:t>
      </w:r>
      <w:r w:rsidRPr="00BE13A3">
        <w:rPr>
          <w:lang w:val="it-IT"/>
        </w:rPr>
        <w:t>prava</w:t>
      </w:r>
      <w:r w:rsidRPr="00D460E1">
        <w:rPr>
          <w:lang w:val="sr-Latn-ME"/>
        </w:rPr>
        <w:t xml:space="preserve"> </w:t>
      </w:r>
      <w:r w:rsidRPr="00BE13A3">
        <w:rPr>
          <w:lang w:val="it-IT"/>
        </w:rPr>
        <w:t>u</w:t>
      </w:r>
      <w:r w:rsidRPr="00D460E1">
        <w:rPr>
          <w:lang w:val="sr-Latn-ME"/>
        </w:rPr>
        <w:t xml:space="preserve"> </w:t>
      </w:r>
      <w:r w:rsidRPr="00BE13A3">
        <w:rPr>
          <w:lang w:val="it-IT"/>
        </w:rPr>
        <w:t>Crnoj</w:t>
      </w:r>
      <w:r w:rsidRPr="00D460E1">
        <w:rPr>
          <w:lang w:val="sr-Latn-ME"/>
        </w:rPr>
        <w:t xml:space="preserve"> </w:t>
      </w:r>
      <w:r w:rsidRPr="00BE13A3">
        <w:rPr>
          <w:lang w:val="it-IT"/>
        </w:rPr>
        <w:t>Gori</w:t>
      </w:r>
      <w:r w:rsidRPr="00D460E1">
        <w:rPr>
          <w:lang w:val="sr-Latn-ME"/>
        </w:rPr>
        <w:t xml:space="preserve"> (</w:t>
      </w:r>
      <w:r w:rsidRPr="00BE13A3">
        <w:rPr>
          <w:lang w:val="it-IT"/>
        </w:rPr>
        <w:t>EUROL</w:t>
      </w:r>
      <w:r w:rsidRPr="00D460E1">
        <w:rPr>
          <w:lang w:val="sr-Latn-ME"/>
        </w:rPr>
        <w:t xml:space="preserve"> 3)</w:t>
      </w:r>
    </w:p>
  </w:footnote>
  <w:footnote w:id="32">
    <w:p w14:paraId="019C2DE6" w14:textId="6E3E41D8" w:rsidR="00D16499" w:rsidRPr="00AB23DA" w:rsidRDefault="00D16499" w:rsidP="00D460E1">
      <w:pPr>
        <w:spacing w:after="0" w:line="240" w:lineRule="auto"/>
        <w:jc w:val="both"/>
      </w:pPr>
      <w:r w:rsidRPr="00AB23DA">
        <w:rPr>
          <w:rStyle w:val="FootnoteReference"/>
          <w:sz w:val="20"/>
          <w:szCs w:val="20"/>
        </w:rPr>
        <w:footnoteRef/>
      </w:r>
      <w:r w:rsidRPr="00AB23DA">
        <w:rPr>
          <w:sz w:val="20"/>
          <w:szCs w:val="20"/>
        </w:rPr>
        <w:t xml:space="preserve"> </w:t>
      </w:r>
      <w:r>
        <w:rPr>
          <w:sz w:val="20"/>
          <w:szCs w:val="20"/>
        </w:rPr>
        <w:t>Ibidem</w:t>
      </w:r>
    </w:p>
  </w:footnote>
  <w:footnote w:id="33">
    <w:p w14:paraId="6FB94AEB" w14:textId="5C54F066" w:rsidR="00D16499" w:rsidRPr="00D460E1" w:rsidRDefault="00D16499" w:rsidP="00D460E1">
      <w:pPr>
        <w:pStyle w:val="FootnoteText"/>
        <w:jc w:val="both"/>
        <w:rPr>
          <w:lang w:val="sr-Latn-ME"/>
        </w:rPr>
      </w:pPr>
      <w:r>
        <w:rPr>
          <w:rStyle w:val="FootnoteReference"/>
        </w:rPr>
        <w:footnoteRef/>
      </w:r>
      <w:r w:rsidRPr="00D460E1">
        <w:rPr>
          <w:lang w:val="sr-Latn-ME"/>
        </w:rPr>
        <w:t xml:space="preserve"> </w:t>
      </w:r>
      <w:r w:rsidRPr="009A613C">
        <w:rPr>
          <w:rFonts w:asciiTheme="minorHAnsi" w:hAnsiTheme="minorHAnsi" w:cstheme="minorHAnsi"/>
          <w:lang w:val="sr-Latn-ME"/>
        </w:rPr>
        <w:t>Kisjelica, D. (2023) Analiza primjene Zakona o zaštiti prava na suđenje u razumnom roku za period 2017 – 2022, Akcija za ljudska prava i Centar za monitoring i istraživanja, Podgorica</w:t>
      </w:r>
      <w:r>
        <w:rPr>
          <w:rFonts w:asciiTheme="minorHAnsi" w:hAnsiTheme="minorHAnsi" w:cstheme="minorHAnsi"/>
          <w:lang w:val="sr-Latn-ME"/>
        </w:rPr>
        <w:t>, a prema podacima iz godišnjih izvještaja o radu sudova u Crnoj Gori.</w:t>
      </w:r>
    </w:p>
  </w:footnote>
  <w:footnote w:id="34">
    <w:p w14:paraId="2F037A43" w14:textId="3E945140" w:rsidR="00D16499" w:rsidRPr="00D92E6B" w:rsidRDefault="00D16499" w:rsidP="003E759D">
      <w:pPr>
        <w:pStyle w:val="FootnoteText"/>
        <w:jc w:val="both"/>
        <w:rPr>
          <w:lang w:val="sr-Latn-ME"/>
        </w:rPr>
      </w:pPr>
      <w:r w:rsidRPr="009A613C">
        <w:rPr>
          <w:rStyle w:val="FootnoteReference"/>
          <w:rFonts w:asciiTheme="minorHAnsi" w:hAnsiTheme="minorHAnsi" w:cstheme="minorHAnsi"/>
          <w:lang w:val="sr-Latn-ME"/>
        </w:rPr>
        <w:footnoteRef/>
      </w:r>
      <w:r w:rsidRPr="009A613C">
        <w:rPr>
          <w:rFonts w:asciiTheme="minorHAnsi" w:hAnsiTheme="minorHAnsi" w:cstheme="minorHAnsi"/>
          <w:lang w:val="sr-Latn-ME"/>
        </w:rPr>
        <w:t xml:space="preserve"> Kisjelica, D. (2023) Analiza primjene Zakona o zaštiti prava na suđenje u razumnom roku za period 2017 – 2022, Akcija za ljudska prava i Centar za monitoring i istraživanja, Podgorica</w:t>
      </w:r>
      <w:r>
        <w:rPr>
          <w:rFonts w:asciiTheme="minorHAnsi" w:hAnsiTheme="minorHAnsi" w:cstheme="minorHAnsi"/>
          <w:lang w:val="sr-Latn-ME"/>
        </w:rPr>
        <w:t>, a prema podacima iz godišnjih izvještaja o radu sudova u Crnoj Gori.</w:t>
      </w:r>
    </w:p>
  </w:footnote>
  <w:footnote w:id="35">
    <w:p w14:paraId="1BF1CF1D" w14:textId="74673963" w:rsidR="00D16499" w:rsidRPr="00D460E1" w:rsidRDefault="00D16499" w:rsidP="00ED1AE6">
      <w:pPr>
        <w:pStyle w:val="FootnoteText"/>
        <w:jc w:val="both"/>
        <w:rPr>
          <w:lang w:val="sr-Latn-ME"/>
        </w:rPr>
      </w:pPr>
      <w:r>
        <w:rPr>
          <w:rStyle w:val="FootnoteReference"/>
        </w:rPr>
        <w:footnoteRef/>
      </w:r>
      <w:r w:rsidRPr="00D460E1">
        <w:rPr>
          <w:lang w:val="sr-Latn-ME"/>
        </w:rPr>
        <w:t xml:space="preserve"> </w:t>
      </w:r>
      <w:r w:rsidRPr="00F5656C">
        <w:rPr>
          <w:rFonts w:asciiTheme="minorHAnsi" w:hAnsiTheme="minorHAnsi" w:cstheme="minorHAnsi"/>
          <w:i/>
          <w:iCs/>
          <w:lang w:val="sr-Latn-ME"/>
        </w:rPr>
        <w:t>Ibidem</w:t>
      </w:r>
    </w:p>
  </w:footnote>
  <w:footnote w:id="36">
    <w:p w14:paraId="59319C4A" w14:textId="77777777" w:rsidR="00D16499" w:rsidRPr="00D460E1" w:rsidRDefault="00D16499" w:rsidP="00E96450">
      <w:pPr>
        <w:pStyle w:val="FootnoteText"/>
        <w:jc w:val="both"/>
        <w:rPr>
          <w:lang w:val="sr-Latn-ME"/>
        </w:rPr>
      </w:pPr>
      <w:r>
        <w:rPr>
          <w:rStyle w:val="FootnoteReference"/>
        </w:rPr>
        <w:footnoteRef/>
      </w:r>
      <w:r w:rsidRPr="00D460E1">
        <w:rPr>
          <w:lang w:val="sr-Latn-ME"/>
        </w:rPr>
        <w:t xml:space="preserve"> </w:t>
      </w:r>
      <w:r>
        <w:rPr>
          <w:rFonts w:asciiTheme="minorHAnsi" w:hAnsiTheme="minorHAnsi" w:cstheme="minorHAnsi"/>
          <w:lang w:val="sr-Latn-ME"/>
        </w:rPr>
        <w:t>Ibidem</w:t>
      </w:r>
    </w:p>
  </w:footnote>
  <w:footnote w:id="37">
    <w:p w14:paraId="5D6270D1" w14:textId="77777777" w:rsidR="00D16499" w:rsidRPr="009A613C" w:rsidRDefault="00D16499" w:rsidP="00204B2C">
      <w:pPr>
        <w:autoSpaceDE w:val="0"/>
        <w:autoSpaceDN w:val="0"/>
        <w:adjustRightInd w:val="0"/>
        <w:spacing w:after="0" w:line="240" w:lineRule="auto"/>
        <w:jc w:val="both"/>
        <w:rPr>
          <w:rFonts w:ascii="Calibri" w:hAnsi="Calibri" w:cs="Calibri"/>
          <w14:ligatures w14:val="standardContextual"/>
        </w:rPr>
      </w:pPr>
      <w:r w:rsidRPr="009A613C">
        <w:rPr>
          <w:rStyle w:val="FootnoteReference"/>
          <w:sz w:val="20"/>
          <w:szCs w:val="20"/>
        </w:rPr>
        <w:footnoteRef/>
      </w:r>
      <w:r w:rsidRPr="009A613C">
        <w:rPr>
          <w:sz w:val="20"/>
          <w:szCs w:val="20"/>
        </w:rPr>
        <w:t xml:space="preserve"> </w:t>
      </w:r>
      <w:r w:rsidRPr="009A613C">
        <w:rPr>
          <w:rFonts w:ascii="Calibri" w:hAnsi="Calibri" w:cs="Calibri"/>
          <w:sz w:val="20"/>
          <w:szCs w:val="20"/>
          <w14:ligatures w14:val="standardContextual"/>
        </w:rPr>
        <w:t xml:space="preserve">Tmušić, Ž, Abadić, Z, Bogosavljević, J. (2019) </w:t>
      </w:r>
      <w:r w:rsidRPr="009A613C">
        <w:rPr>
          <w:sz w:val="20"/>
          <w:szCs w:val="20"/>
        </w:rPr>
        <w:t>Procjena Infrastrukture pravosudnih organa u Crnoj Gori, EUROL 2, Podgorica</w:t>
      </w:r>
    </w:p>
  </w:footnote>
  <w:footnote w:id="38">
    <w:p w14:paraId="50616B24" w14:textId="77777777" w:rsidR="00D16499" w:rsidRPr="009A613C" w:rsidRDefault="00D16499" w:rsidP="00C44B4B">
      <w:pPr>
        <w:pStyle w:val="FootnoteText"/>
        <w:rPr>
          <w:lang w:val="sr-Latn-ME"/>
        </w:rPr>
      </w:pPr>
      <w:r w:rsidRPr="009A613C">
        <w:rPr>
          <w:rStyle w:val="FootnoteReference"/>
          <w:lang w:val="sr-Latn-ME"/>
        </w:rPr>
        <w:footnoteRef/>
      </w:r>
      <w:r w:rsidRPr="009A613C">
        <w:rPr>
          <w:lang w:val="sr-Latn-ME"/>
        </w:rPr>
        <w:t xml:space="preserve"> Ministarstvo pravde (2022) </w:t>
      </w:r>
      <w:r w:rsidRPr="009A613C">
        <w:rPr>
          <w:rFonts w:cs="Calibri"/>
          <w:lang w:val="sr-Latn-ME"/>
          <w14:ligatures w14:val="standardContextual"/>
        </w:rPr>
        <w:t>Analiza funkcionisanja sistema izvršenja sudskih odluka 2022. godine</w:t>
      </w:r>
    </w:p>
  </w:footnote>
  <w:footnote w:id="39">
    <w:p w14:paraId="7E77FAA4" w14:textId="77777777" w:rsidR="00D16499" w:rsidRPr="009A613C" w:rsidRDefault="00D16499" w:rsidP="00C638FC">
      <w:pPr>
        <w:pStyle w:val="FootnoteText"/>
        <w:jc w:val="both"/>
        <w:rPr>
          <w:lang w:val="sr-Latn-ME"/>
        </w:rPr>
      </w:pPr>
      <w:r w:rsidRPr="009A613C">
        <w:rPr>
          <w:rStyle w:val="FootnoteReference"/>
          <w:lang w:val="sr-Latn-ME"/>
        </w:rPr>
        <w:footnoteRef/>
      </w:r>
      <w:r w:rsidRPr="009A613C">
        <w:rPr>
          <w:lang w:val="sr-Latn-ME"/>
        </w:rPr>
        <w:t xml:space="preserve"> Janashia, N. &amp; Elezović, S. </w:t>
      </w:r>
      <w:r w:rsidRPr="009A613C">
        <w:rPr>
          <w:rFonts w:asciiTheme="minorHAnsi" w:hAnsiTheme="minorHAnsi" w:cstheme="minorHAnsi"/>
          <w:lang w:val="sr-Latn-ME" w:eastAsia="en-GB"/>
        </w:rPr>
        <w:t>(2022) Rodna ravnopravnost u sudstvu u Crnoj Gori, Savjet Evrope, Podgorica, str. 8.</w:t>
      </w:r>
    </w:p>
  </w:footnote>
  <w:footnote w:id="40">
    <w:p w14:paraId="5BD768DA" w14:textId="77777777" w:rsidR="00D16499" w:rsidRPr="009A613C" w:rsidRDefault="00D16499" w:rsidP="00C638FC">
      <w:pPr>
        <w:pStyle w:val="FootnoteText"/>
        <w:jc w:val="both"/>
        <w:rPr>
          <w:lang w:val="sr-Latn-ME"/>
        </w:rPr>
      </w:pPr>
      <w:r w:rsidRPr="009A613C">
        <w:rPr>
          <w:rStyle w:val="FootnoteReference"/>
          <w:rFonts w:asciiTheme="minorHAnsi" w:hAnsiTheme="minorHAnsi" w:cstheme="minorHAnsi"/>
          <w:lang w:val="sr-Latn-ME"/>
        </w:rPr>
        <w:footnoteRef/>
      </w:r>
      <w:r w:rsidRPr="009A613C">
        <w:rPr>
          <w:rFonts w:asciiTheme="minorHAnsi" w:hAnsiTheme="minorHAnsi" w:cstheme="minorHAnsi"/>
          <w:lang w:val="sr-Latn-ME"/>
        </w:rPr>
        <w:t xml:space="preserve"> </w:t>
      </w:r>
      <w:r w:rsidRPr="009A613C">
        <w:rPr>
          <w:rFonts w:asciiTheme="minorHAnsi" w:hAnsiTheme="minorHAnsi" w:cstheme="minorHAnsi"/>
          <w:lang w:val="sr-Latn-ME" w:eastAsia="en-GB"/>
        </w:rPr>
        <w:t xml:space="preserve">U Crnoj Gori, 88% odraslih žena ima najmanje srednji nivo obrazovanja, dok je za muškarce taj procenat 98,2%. Učešće žena na tržištu rada iznosi 46,5% u odnosu na 62,8% muškaraca. </w:t>
      </w:r>
      <w:r w:rsidRPr="009A613C">
        <w:rPr>
          <w:lang w:val="sr-Latn-ME"/>
        </w:rPr>
        <w:t xml:space="preserve">Janashia, N. &amp; Elezović, S. </w:t>
      </w:r>
      <w:r w:rsidRPr="009A613C">
        <w:rPr>
          <w:rFonts w:asciiTheme="minorHAnsi" w:hAnsiTheme="minorHAnsi" w:cstheme="minorHAnsi"/>
          <w:lang w:val="sr-Latn-ME" w:eastAsia="en-GB"/>
        </w:rPr>
        <w:t>(2022) Rodna ravnopravnost u sudstvu u Crnoj Gori, Savjet Evrope, Podgorica, str.13.</w:t>
      </w:r>
    </w:p>
  </w:footnote>
  <w:footnote w:id="41">
    <w:p w14:paraId="71DE5606" w14:textId="77777777" w:rsidR="00D16499" w:rsidRPr="009A613C" w:rsidRDefault="00D16499" w:rsidP="00C638FC">
      <w:pPr>
        <w:pStyle w:val="FootnoteText"/>
        <w:jc w:val="both"/>
        <w:rPr>
          <w:lang w:val="sr-Latn-ME"/>
        </w:rPr>
      </w:pPr>
      <w:r w:rsidRPr="009A613C">
        <w:rPr>
          <w:rStyle w:val="FootnoteReference"/>
          <w:lang w:val="sr-Latn-ME"/>
        </w:rPr>
        <w:footnoteRef/>
      </w:r>
      <w:r w:rsidRPr="009A613C">
        <w:rPr>
          <w:lang w:val="sr-Latn-ME"/>
        </w:rPr>
        <w:t xml:space="preserve"> Janashia, N. &amp; Elezović, S. </w:t>
      </w:r>
      <w:r w:rsidRPr="009A613C">
        <w:rPr>
          <w:rFonts w:asciiTheme="minorHAnsi" w:hAnsiTheme="minorHAnsi" w:cstheme="minorHAnsi"/>
          <w:lang w:val="sr-Latn-ME" w:eastAsia="en-GB"/>
        </w:rPr>
        <w:t>(2022) Rodna ravnopravnost u sudstvu u Crnoj Gori, Savjet Evrope, Podgorica, str.17-19.</w:t>
      </w:r>
    </w:p>
  </w:footnote>
  <w:footnote w:id="42">
    <w:p w14:paraId="11ADDDA6" w14:textId="355549C8" w:rsidR="00D16499" w:rsidRPr="00F52A08" w:rsidRDefault="00D16499">
      <w:pPr>
        <w:pStyle w:val="FootnoteText"/>
        <w:rPr>
          <w:lang w:val="sr-Latn-RS"/>
        </w:rPr>
      </w:pPr>
      <w:r>
        <w:rPr>
          <w:rStyle w:val="FootnoteReference"/>
        </w:rPr>
        <w:footnoteRef/>
      </w:r>
      <w:r w:rsidRPr="00F52A08">
        <w:rPr>
          <w:lang w:val="sr-Latn-ME"/>
        </w:rPr>
        <w:t xml:space="preserve"> </w:t>
      </w:r>
      <w:r>
        <w:rPr>
          <w:lang w:val="sr-Latn-RS"/>
        </w:rPr>
        <w:t>Vidjeti: Kolaković-Bojović, M. (2018) Organizacija pravosuđa u Republici Srbiji- reformski okvir i EU standardi, Institut za kriminološka i sociološka istraživanja, Beograd, str. 203-209.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AB22" w14:textId="41B2F5CB" w:rsidR="00D16499" w:rsidRPr="009A613C" w:rsidRDefault="004367AB">
    <w:pPr>
      <w:pStyle w:val="Header"/>
    </w:pPr>
    <w:r>
      <w:pict w14:anchorId="14B6B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0032"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2BFF" w14:textId="75598279" w:rsidR="00D16499" w:rsidRPr="009A613C" w:rsidRDefault="004367AB">
    <w:pPr>
      <w:pStyle w:val="Header"/>
    </w:pPr>
    <w:r>
      <w:pict w14:anchorId="2EFE8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0033"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23A7" w14:textId="554723F3" w:rsidR="00D16499" w:rsidRPr="009A613C" w:rsidRDefault="004367AB">
    <w:pPr>
      <w:pStyle w:val="Header"/>
    </w:pPr>
    <w:r>
      <w:pict w14:anchorId="276E8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0031"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605"/>
    <w:multiLevelType w:val="multilevel"/>
    <w:tmpl w:val="5B842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597593"/>
    <w:multiLevelType w:val="hybridMultilevel"/>
    <w:tmpl w:val="028E6714"/>
    <w:lvl w:ilvl="0" w:tplc="F7B0D81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16CF8"/>
    <w:multiLevelType w:val="hybridMultilevel"/>
    <w:tmpl w:val="69DA40F0"/>
    <w:lvl w:ilvl="0" w:tplc="45C049B0">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513F9"/>
    <w:multiLevelType w:val="hybridMultilevel"/>
    <w:tmpl w:val="927ACEDC"/>
    <w:lvl w:ilvl="0" w:tplc="1790417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8004A6"/>
    <w:multiLevelType w:val="multilevel"/>
    <w:tmpl w:val="1C343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EA1373"/>
    <w:multiLevelType w:val="multilevel"/>
    <w:tmpl w:val="65D89F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EB7836"/>
    <w:multiLevelType w:val="multilevel"/>
    <w:tmpl w:val="DE481E4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997613"/>
    <w:multiLevelType w:val="hybridMultilevel"/>
    <w:tmpl w:val="04E62740"/>
    <w:lvl w:ilvl="0" w:tplc="FDD43EF8">
      <w:start w:val="1"/>
      <w:numFmt w:val="lowerLetter"/>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C7E7F"/>
    <w:multiLevelType w:val="multilevel"/>
    <w:tmpl w:val="2A7662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886D1C"/>
    <w:multiLevelType w:val="hybridMultilevel"/>
    <w:tmpl w:val="28581D2C"/>
    <w:lvl w:ilvl="0" w:tplc="FFFFFFFF">
      <w:start w:val="1"/>
      <w:numFmt w:val="decimal"/>
      <w:lvlText w:val="%1."/>
      <w:lvlJc w:val="left"/>
      <w:pPr>
        <w:ind w:left="720" w:hanging="360"/>
      </w:pPr>
      <w:rPr>
        <w:rFonts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3500E"/>
    <w:multiLevelType w:val="multilevel"/>
    <w:tmpl w:val="BF90A5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6D4D50"/>
    <w:multiLevelType w:val="multilevel"/>
    <w:tmpl w:val="7F4E3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A44C65"/>
    <w:multiLevelType w:val="hybridMultilevel"/>
    <w:tmpl w:val="9F2615C2"/>
    <w:lvl w:ilvl="0" w:tplc="FFFFFFFF">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4717FD"/>
    <w:multiLevelType w:val="hybridMultilevel"/>
    <w:tmpl w:val="367EEA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E54965"/>
    <w:multiLevelType w:val="multilevel"/>
    <w:tmpl w:val="F1B2C75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6987F25"/>
    <w:multiLevelType w:val="hybridMultilevel"/>
    <w:tmpl w:val="1D7C7110"/>
    <w:lvl w:ilvl="0" w:tplc="5AC48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CA1BCC"/>
    <w:multiLevelType w:val="hybridMultilevel"/>
    <w:tmpl w:val="5330D898"/>
    <w:lvl w:ilvl="0" w:tplc="45C049B0">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24492"/>
    <w:multiLevelType w:val="hybridMultilevel"/>
    <w:tmpl w:val="BB600576"/>
    <w:lvl w:ilvl="0" w:tplc="E78A46FA">
      <w:start w:val="1"/>
      <w:numFmt w:val="decimal"/>
      <w:lvlText w:val="%1."/>
      <w:lvlJc w:val="left"/>
      <w:pPr>
        <w:ind w:left="720" w:hanging="360"/>
      </w:pPr>
      <w:rPr>
        <w:rFonts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A1127C"/>
    <w:multiLevelType w:val="hybridMultilevel"/>
    <w:tmpl w:val="BB600576"/>
    <w:lvl w:ilvl="0" w:tplc="FFFFFFFF">
      <w:start w:val="1"/>
      <w:numFmt w:val="decimal"/>
      <w:lvlText w:val="%1."/>
      <w:lvlJc w:val="left"/>
      <w:pPr>
        <w:ind w:left="720" w:hanging="360"/>
      </w:pPr>
      <w:rPr>
        <w:rFonts w:cstheme="minorHAns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5"/>
  </w:num>
  <w:num w:numId="4">
    <w:abstractNumId w:val="11"/>
  </w:num>
  <w:num w:numId="5">
    <w:abstractNumId w:val="8"/>
  </w:num>
  <w:num w:numId="6">
    <w:abstractNumId w:val="5"/>
  </w:num>
  <w:num w:numId="7">
    <w:abstractNumId w:val="16"/>
  </w:num>
  <w:num w:numId="8">
    <w:abstractNumId w:val="7"/>
  </w:num>
  <w:num w:numId="9">
    <w:abstractNumId w:val="6"/>
  </w:num>
  <w:num w:numId="10">
    <w:abstractNumId w:val="17"/>
  </w:num>
  <w:num w:numId="11">
    <w:abstractNumId w:val="3"/>
  </w:num>
  <w:num w:numId="12">
    <w:abstractNumId w:val="4"/>
  </w:num>
  <w:num w:numId="13">
    <w:abstractNumId w:val="1"/>
  </w:num>
  <w:num w:numId="14">
    <w:abstractNumId w:val="10"/>
  </w:num>
  <w:num w:numId="15">
    <w:abstractNumId w:val="13"/>
  </w:num>
  <w:num w:numId="16">
    <w:abstractNumId w:val="18"/>
  </w:num>
  <w:num w:numId="17">
    <w:abstractNumId w:val="9"/>
  </w:num>
  <w:num w:numId="18">
    <w:abstractNumId w:val="12"/>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9B0"/>
    <w:rsid w:val="00002E0D"/>
    <w:rsid w:val="00003FF6"/>
    <w:rsid w:val="00004F17"/>
    <w:rsid w:val="0000783F"/>
    <w:rsid w:val="00011338"/>
    <w:rsid w:val="000129E7"/>
    <w:rsid w:val="00014BA9"/>
    <w:rsid w:val="0001603B"/>
    <w:rsid w:val="00020EAB"/>
    <w:rsid w:val="0002204F"/>
    <w:rsid w:val="000237C7"/>
    <w:rsid w:val="00023B47"/>
    <w:rsid w:val="00024714"/>
    <w:rsid w:val="00024F59"/>
    <w:rsid w:val="00025F77"/>
    <w:rsid w:val="000438AF"/>
    <w:rsid w:val="00047429"/>
    <w:rsid w:val="0005303F"/>
    <w:rsid w:val="0005444A"/>
    <w:rsid w:val="000551F4"/>
    <w:rsid w:val="000642E0"/>
    <w:rsid w:val="0006703F"/>
    <w:rsid w:val="00070B0C"/>
    <w:rsid w:val="00071697"/>
    <w:rsid w:val="00072703"/>
    <w:rsid w:val="00072761"/>
    <w:rsid w:val="0007307E"/>
    <w:rsid w:val="00073894"/>
    <w:rsid w:val="000752FD"/>
    <w:rsid w:val="00081266"/>
    <w:rsid w:val="000820C5"/>
    <w:rsid w:val="0008371A"/>
    <w:rsid w:val="00095650"/>
    <w:rsid w:val="00096049"/>
    <w:rsid w:val="00096235"/>
    <w:rsid w:val="000A0AEC"/>
    <w:rsid w:val="000A58D6"/>
    <w:rsid w:val="000A7533"/>
    <w:rsid w:val="000B1213"/>
    <w:rsid w:val="000B1279"/>
    <w:rsid w:val="000B1ABE"/>
    <w:rsid w:val="000B4823"/>
    <w:rsid w:val="000B7585"/>
    <w:rsid w:val="000C08F1"/>
    <w:rsid w:val="000C29C9"/>
    <w:rsid w:val="000C5CBC"/>
    <w:rsid w:val="000C5E23"/>
    <w:rsid w:val="000C67F1"/>
    <w:rsid w:val="000C69BE"/>
    <w:rsid w:val="000C6AC4"/>
    <w:rsid w:val="000D1C6B"/>
    <w:rsid w:val="000D3BD6"/>
    <w:rsid w:val="000D4563"/>
    <w:rsid w:val="000D764A"/>
    <w:rsid w:val="000D7ACF"/>
    <w:rsid w:val="000E1D8D"/>
    <w:rsid w:val="000E7268"/>
    <w:rsid w:val="000F4115"/>
    <w:rsid w:val="001029A0"/>
    <w:rsid w:val="001041FF"/>
    <w:rsid w:val="0011192C"/>
    <w:rsid w:val="00120317"/>
    <w:rsid w:val="00120EDE"/>
    <w:rsid w:val="001213EE"/>
    <w:rsid w:val="00121B90"/>
    <w:rsid w:val="00124AE8"/>
    <w:rsid w:val="00126805"/>
    <w:rsid w:val="001270BD"/>
    <w:rsid w:val="00130D50"/>
    <w:rsid w:val="001321B0"/>
    <w:rsid w:val="00132F49"/>
    <w:rsid w:val="001333EC"/>
    <w:rsid w:val="00151495"/>
    <w:rsid w:val="00156C13"/>
    <w:rsid w:val="00163DCC"/>
    <w:rsid w:val="00170B0A"/>
    <w:rsid w:val="00171720"/>
    <w:rsid w:val="001721FD"/>
    <w:rsid w:val="00172504"/>
    <w:rsid w:val="001726ED"/>
    <w:rsid w:val="00173314"/>
    <w:rsid w:val="001738D0"/>
    <w:rsid w:val="00173D0E"/>
    <w:rsid w:val="00174869"/>
    <w:rsid w:val="00174A51"/>
    <w:rsid w:val="001756FA"/>
    <w:rsid w:val="001759BD"/>
    <w:rsid w:val="001810ED"/>
    <w:rsid w:val="00184872"/>
    <w:rsid w:val="00186F27"/>
    <w:rsid w:val="00192DDC"/>
    <w:rsid w:val="00196FF3"/>
    <w:rsid w:val="00197C74"/>
    <w:rsid w:val="001A49E6"/>
    <w:rsid w:val="001A7906"/>
    <w:rsid w:val="001B0512"/>
    <w:rsid w:val="001B0A1C"/>
    <w:rsid w:val="001B49A8"/>
    <w:rsid w:val="001B7BA4"/>
    <w:rsid w:val="001C3F86"/>
    <w:rsid w:val="001C76E6"/>
    <w:rsid w:val="001D044B"/>
    <w:rsid w:val="001D04AA"/>
    <w:rsid w:val="001D3DA0"/>
    <w:rsid w:val="001E0433"/>
    <w:rsid w:val="001E1D17"/>
    <w:rsid w:val="001E485D"/>
    <w:rsid w:val="001E53E8"/>
    <w:rsid w:val="001E5FAE"/>
    <w:rsid w:val="001E6D77"/>
    <w:rsid w:val="001F0F85"/>
    <w:rsid w:val="001F11AD"/>
    <w:rsid w:val="001F3B81"/>
    <w:rsid w:val="001F575B"/>
    <w:rsid w:val="00202B06"/>
    <w:rsid w:val="00204440"/>
    <w:rsid w:val="002047E8"/>
    <w:rsid w:val="00204B2C"/>
    <w:rsid w:val="00205BFE"/>
    <w:rsid w:val="00210958"/>
    <w:rsid w:val="00211589"/>
    <w:rsid w:val="002128B6"/>
    <w:rsid w:val="00213724"/>
    <w:rsid w:val="00213EFF"/>
    <w:rsid w:val="00222E0D"/>
    <w:rsid w:val="00223E99"/>
    <w:rsid w:val="00231263"/>
    <w:rsid w:val="0023278C"/>
    <w:rsid w:val="00236941"/>
    <w:rsid w:val="002451C8"/>
    <w:rsid w:val="00247B64"/>
    <w:rsid w:val="0025255B"/>
    <w:rsid w:val="002527C1"/>
    <w:rsid w:val="00253C34"/>
    <w:rsid w:val="00253EE0"/>
    <w:rsid w:val="00254529"/>
    <w:rsid w:val="002651AE"/>
    <w:rsid w:val="002651D6"/>
    <w:rsid w:val="002670E4"/>
    <w:rsid w:val="00267ADD"/>
    <w:rsid w:val="00267C22"/>
    <w:rsid w:val="00274535"/>
    <w:rsid w:val="002753A9"/>
    <w:rsid w:val="00276291"/>
    <w:rsid w:val="002835E1"/>
    <w:rsid w:val="00287821"/>
    <w:rsid w:val="00292BD3"/>
    <w:rsid w:val="00292CD9"/>
    <w:rsid w:val="002A0646"/>
    <w:rsid w:val="002B0A3E"/>
    <w:rsid w:val="002B250F"/>
    <w:rsid w:val="002B345C"/>
    <w:rsid w:val="002C2056"/>
    <w:rsid w:val="002C608C"/>
    <w:rsid w:val="002D0F89"/>
    <w:rsid w:val="002D702C"/>
    <w:rsid w:val="002E20E5"/>
    <w:rsid w:val="002E3558"/>
    <w:rsid w:val="002E3E1A"/>
    <w:rsid w:val="002E759E"/>
    <w:rsid w:val="002F0E7C"/>
    <w:rsid w:val="0030199D"/>
    <w:rsid w:val="00302A3E"/>
    <w:rsid w:val="00303EF4"/>
    <w:rsid w:val="003055BA"/>
    <w:rsid w:val="00306E36"/>
    <w:rsid w:val="00307C6D"/>
    <w:rsid w:val="0031106B"/>
    <w:rsid w:val="00313A2C"/>
    <w:rsid w:val="00324380"/>
    <w:rsid w:val="003247AA"/>
    <w:rsid w:val="00325966"/>
    <w:rsid w:val="00330EB0"/>
    <w:rsid w:val="00331E8E"/>
    <w:rsid w:val="00334900"/>
    <w:rsid w:val="00337D8C"/>
    <w:rsid w:val="00337F67"/>
    <w:rsid w:val="00342BA6"/>
    <w:rsid w:val="00343299"/>
    <w:rsid w:val="00351E72"/>
    <w:rsid w:val="00354E34"/>
    <w:rsid w:val="003561D2"/>
    <w:rsid w:val="003579B0"/>
    <w:rsid w:val="00361009"/>
    <w:rsid w:val="003613EC"/>
    <w:rsid w:val="003618EB"/>
    <w:rsid w:val="00361A39"/>
    <w:rsid w:val="00363484"/>
    <w:rsid w:val="003714D2"/>
    <w:rsid w:val="00374873"/>
    <w:rsid w:val="00374F0D"/>
    <w:rsid w:val="0037592F"/>
    <w:rsid w:val="00375FBA"/>
    <w:rsid w:val="00376D84"/>
    <w:rsid w:val="00377410"/>
    <w:rsid w:val="00381E30"/>
    <w:rsid w:val="00383F12"/>
    <w:rsid w:val="00387F70"/>
    <w:rsid w:val="00394B8F"/>
    <w:rsid w:val="00395FC8"/>
    <w:rsid w:val="003A4B3E"/>
    <w:rsid w:val="003B47E8"/>
    <w:rsid w:val="003B4EB0"/>
    <w:rsid w:val="003B5147"/>
    <w:rsid w:val="003B5EB3"/>
    <w:rsid w:val="003C0BFF"/>
    <w:rsid w:val="003C4857"/>
    <w:rsid w:val="003D0AE7"/>
    <w:rsid w:val="003D2864"/>
    <w:rsid w:val="003D51EF"/>
    <w:rsid w:val="003D59A3"/>
    <w:rsid w:val="003E759D"/>
    <w:rsid w:val="003F126B"/>
    <w:rsid w:val="003F5388"/>
    <w:rsid w:val="003F681B"/>
    <w:rsid w:val="00405DE8"/>
    <w:rsid w:val="00407B62"/>
    <w:rsid w:val="00410E6B"/>
    <w:rsid w:val="00411742"/>
    <w:rsid w:val="00411B73"/>
    <w:rsid w:val="004120A4"/>
    <w:rsid w:val="004132BC"/>
    <w:rsid w:val="00417C1D"/>
    <w:rsid w:val="00420D11"/>
    <w:rsid w:val="0042559D"/>
    <w:rsid w:val="00426BE3"/>
    <w:rsid w:val="00431E4C"/>
    <w:rsid w:val="00432634"/>
    <w:rsid w:val="004367AB"/>
    <w:rsid w:val="00441D92"/>
    <w:rsid w:val="00442CC5"/>
    <w:rsid w:val="00443D52"/>
    <w:rsid w:val="00444761"/>
    <w:rsid w:val="00452471"/>
    <w:rsid w:val="00452F70"/>
    <w:rsid w:val="00461443"/>
    <w:rsid w:val="00462475"/>
    <w:rsid w:val="0046797F"/>
    <w:rsid w:val="004802D4"/>
    <w:rsid w:val="00481B6A"/>
    <w:rsid w:val="00487B6A"/>
    <w:rsid w:val="004904AE"/>
    <w:rsid w:val="004A003B"/>
    <w:rsid w:val="004A079E"/>
    <w:rsid w:val="004A4633"/>
    <w:rsid w:val="004A61FD"/>
    <w:rsid w:val="004A6711"/>
    <w:rsid w:val="004A6AC8"/>
    <w:rsid w:val="004C562C"/>
    <w:rsid w:val="004C7994"/>
    <w:rsid w:val="004D2653"/>
    <w:rsid w:val="004D48C2"/>
    <w:rsid w:val="004D4E9A"/>
    <w:rsid w:val="004D5B89"/>
    <w:rsid w:val="004E2978"/>
    <w:rsid w:val="004E2E64"/>
    <w:rsid w:val="004F1F38"/>
    <w:rsid w:val="004F212C"/>
    <w:rsid w:val="004F6A83"/>
    <w:rsid w:val="004F7E97"/>
    <w:rsid w:val="005003E9"/>
    <w:rsid w:val="0050354F"/>
    <w:rsid w:val="00504104"/>
    <w:rsid w:val="0050509E"/>
    <w:rsid w:val="005051B4"/>
    <w:rsid w:val="00505F90"/>
    <w:rsid w:val="00506341"/>
    <w:rsid w:val="00506931"/>
    <w:rsid w:val="0051584F"/>
    <w:rsid w:val="005245B8"/>
    <w:rsid w:val="005248BD"/>
    <w:rsid w:val="005251CF"/>
    <w:rsid w:val="00530E62"/>
    <w:rsid w:val="00530F73"/>
    <w:rsid w:val="00543225"/>
    <w:rsid w:val="00544309"/>
    <w:rsid w:val="005455EF"/>
    <w:rsid w:val="00550DAA"/>
    <w:rsid w:val="00555FC8"/>
    <w:rsid w:val="005615E2"/>
    <w:rsid w:val="00561D3D"/>
    <w:rsid w:val="00565678"/>
    <w:rsid w:val="00567AED"/>
    <w:rsid w:val="005713F4"/>
    <w:rsid w:val="00571B7D"/>
    <w:rsid w:val="005727C5"/>
    <w:rsid w:val="00572B08"/>
    <w:rsid w:val="005731BE"/>
    <w:rsid w:val="00574EA8"/>
    <w:rsid w:val="00581B3B"/>
    <w:rsid w:val="00582BFB"/>
    <w:rsid w:val="00595756"/>
    <w:rsid w:val="00596CA2"/>
    <w:rsid w:val="00597CC7"/>
    <w:rsid w:val="005A19D5"/>
    <w:rsid w:val="005A310D"/>
    <w:rsid w:val="005A4420"/>
    <w:rsid w:val="005B0E69"/>
    <w:rsid w:val="005B4766"/>
    <w:rsid w:val="005C200B"/>
    <w:rsid w:val="005C2562"/>
    <w:rsid w:val="005C39E4"/>
    <w:rsid w:val="005C4299"/>
    <w:rsid w:val="005C436F"/>
    <w:rsid w:val="005C599E"/>
    <w:rsid w:val="005C6F19"/>
    <w:rsid w:val="005D19F4"/>
    <w:rsid w:val="005D2421"/>
    <w:rsid w:val="005D2478"/>
    <w:rsid w:val="005D4470"/>
    <w:rsid w:val="005D6E49"/>
    <w:rsid w:val="005E046C"/>
    <w:rsid w:val="005E3456"/>
    <w:rsid w:val="005E66B7"/>
    <w:rsid w:val="005E68C2"/>
    <w:rsid w:val="005F2238"/>
    <w:rsid w:val="005F2C16"/>
    <w:rsid w:val="00600504"/>
    <w:rsid w:val="00600E4A"/>
    <w:rsid w:val="00602ACD"/>
    <w:rsid w:val="00605736"/>
    <w:rsid w:val="00610D06"/>
    <w:rsid w:val="00611443"/>
    <w:rsid w:val="00611E0E"/>
    <w:rsid w:val="00615F64"/>
    <w:rsid w:val="00615F9C"/>
    <w:rsid w:val="006209BA"/>
    <w:rsid w:val="0062230C"/>
    <w:rsid w:val="0062443B"/>
    <w:rsid w:val="006250CE"/>
    <w:rsid w:val="00631573"/>
    <w:rsid w:val="006402B2"/>
    <w:rsid w:val="006405CA"/>
    <w:rsid w:val="00644F73"/>
    <w:rsid w:val="00647845"/>
    <w:rsid w:val="0065322C"/>
    <w:rsid w:val="00653937"/>
    <w:rsid w:val="00653C3F"/>
    <w:rsid w:val="00656677"/>
    <w:rsid w:val="00660BF8"/>
    <w:rsid w:val="00664A8B"/>
    <w:rsid w:val="00667569"/>
    <w:rsid w:val="0067052C"/>
    <w:rsid w:val="006723E9"/>
    <w:rsid w:val="00672E23"/>
    <w:rsid w:val="006740E5"/>
    <w:rsid w:val="0067475A"/>
    <w:rsid w:val="00674866"/>
    <w:rsid w:val="00674CCB"/>
    <w:rsid w:val="00676564"/>
    <w:rsid w:val="006778CC"/>
    <w:rsid w:val="00681EA1"/>
    <w:rsid w:val="0068254C"/>
    <w:rsid w:val="006A153F"/>
    <w:rsid w:val="006A1F45"/>
    <w:rsid w:val="006A20BC"/>
    <w:rsid w:val="006A6617"/>
    <w:rsid w:val="006A6854"/>
    <w:rsid w:val="006A7EE3"/>
    <w:rsid w:val="006B08E1"/>
    <w:rsid w:val="006B1EFF"/>
    <w:rsid w:val="006B23D9"/>
    <w:rsid w:val="006B538F"/>
    <w:rsid w:val="006B57B0"/>
    <w:rsid w:val="006B6187"/>
    <w:rsid w:val="006C2604"/>
    <w:rsid w:val="006C7D0C"/>
    <w:rsid w:val="006D2DA0"/>
    <w:rsid w:val="006D4E48"/>
    <w:rsid w:val="006D61EC"/>
    <w:rsid w:val="006E0B3E"/>
    <w:rsid w:val="006E6006"/>
    <w:rsid w:val="006F00AD"/>
    <w:rsid w:val="006F31E3"/>
    <w:rsid w:val="006F44E1"/>
    <w:rsid w:val="006F5C34"/>
    <w:rsid w:val="006F7643"/>
    <w:rsid w:val="006F7EF6"/>
    <w:rsid w:val="00704099"/>
    <w:rsid w:val="00704439"/>
    <w:rsid w:val="007124FA"/>
    <w:rsid w:val="00712D08"/>
    <w:rsid w:val="00713A7D"/>
    <w:rsid w:val="00714363"/>
    <w:rsid w:val="00715698"/>
    <w:rsid w:val="00715FE3"/>
    <w:rsid w:val="00721435"/>
    <w:rsid w:val="0072269F"/>
    <w:rsid w:val="0072347F"/>
    <w:rsid w:val="007238CB"/>
    <w:rsid w:val="00725FF1"/>
    <w:rsid w:val="00734958"/>
    <w:rsid w:val="00735AFB"/>
    <w:rsid w:val="00735CAE"/>
    <w:rsid w:val="007435B8"/>
    <w:rsid w:val="00746852"/>
    <w:rsid w:val="00746BE6"/>
    <w:rsid w:val="007516FB"/>
    <w:rsid w:val="00752DAF"/>
    <w:rsid w:val="0075660E"/>
    <w:rsid w:val="0076504B"/>
    <w:rsid w:val="00767DD5"/>
    <w:rsid w:val="00772C7C"/>
    <w:rsid w:val="00773B93"/>
    <w:rsid w:val="00776BCC"/>
    <w:rsid w:val="00777664"/>
    <w:rsid w:val="00780751"/>
    <w:rsid w:val="007872AC"/>
    <w:rsid w:val="00790063"/>
    <w:rsid w:val="00791A7B"/>
    <w:rsid w:val="00792552"/>
    <w:rsid w:val="00794BA6"/>
    <w:rsid w:val="007A1451"/>
    <w:rsid w:val="007A283B"/>
    <w:rsid w:val="007A7122"/>
    <w:rsid w:val="007B11FB"/>
    <w:rsid w:val="007B34B9"/>
    <w:rsid w:val="007B5F78"/>
    <w:rsid w:val="007C0A38"/>
    <w:rsid w:val="007C1AE7"/>
    <w:rsid w:val="007C1CF7"/>
    <w:rsid w:val="007C2126"/>
    <w:rsid w:val="007C3DB7"/>
    <w:rsid w:val="007D06F6"/>
    <w:rsid w:val="007D46F3"/>
    <w:rsid w:val="007D6DC7"/>
    <w:rsid w:val="007E0928"/>
    <w:rsid w:val="007E1644"/>
    <w:rsid w:val="007E19EA"/>
    <w:rsid w:val="007E1BA2"/>
    <w:rsid w:val="007E6F52"/>
    <w:rsid w:val="007E7546"/>
    <w:rsid w:val="007F2327"/>
    <w:rsid w:val="007F39F9"/>
    <w:rsid w:val="007F539E"/>
    <w:rsid w:val="007F7048"/>
    <w:rsid w:val="00800BE6"/>
    <w:rsid w:val="00802A44"/>
    <w:rsid w:val="00805218"/>
    <w:rsid w:val="00812B10"/>
    <w:rsid w:val="00814367"/>
    <w:rsid w:val="00815092"/>
    <w:rsid w:val="00822975"/>
    <w:rsid w:val="008258A1"/>
    <w:rsid w:val="008270AB"/>
    <w:rsid w:val="0083364E"/>
    <w:rsid w:val="00833EC0"/>
    <w:rsid w:val="00834F8A"/>
    <w:rsid w:val="008420A4"/>
    <w:rsid w:val="008446E1"/>
    <w:rsid w:val="00845E33"/>
    <w:rsid w:val="0085006A"/>
    <w:rsid w:val="00851D41"/>
    <w:rsid w:val="00857707"/>
    <w:rsid w:val="00860B74"/>
    <w:rsid w:val="008619BD"/>
    <w:rsid w:val="00862050"/>
    <w:rsid w:val="00863FC2"/>
    <w:rsid w:val="008649C4"/>
    <w:rsid w:val="00870BE1"/>
    <w:rsid w:val="008736D6"/>
    <w:rsid w:val="00873F40"/>
    <w:rsid w:val="008808A5"/>
    <w:rsid w:val="00880A3A"/>
    <w:rsid w:val="00883258"/>
    <w:rsid w:val="00883F94"/>
    <w:rsid w:val="00884039"/>
    <w:rsid w:val="0088492F"/>
    <w:rsid w:val="00884B48"/>
    <w:rsid w:val="00885DD9"/>
    <w:rsid w:val="008909C9"/>
    <w:rsid w:val="00890DDC"/>
    <w:rsid w:val="008A1066"/>
    <w:rsid w:val="008A3050"/>
    <w:rsid w:val="008A44F4"/>
    <w:rsid w:val="008B2CAC"/>
    <w:rsid w:val="008B467D"/>
    <w:rsid w:val="008B7068"/>
    <w:rsid w:val="008C183F"/>
    <w:rsid w:val="008C3B71"/>
    <w:rsid w:val="008C54EB"/>
    <w:rsid w:val="008C785B"/>
    <w:rsid w:val="008D4699"/>
    <w:rsid w:val="008D4BEC"/>
    <w:rsid w:val="008D6C83"/>
    <w:rsid w:val="008D7220"/>
    <w:rsid w:val="008E2558"/>
    <w:rsid w:val="008E3C49"/>
    <w:rsid w:val="008E6699"/>
    <w:rsid w:val="008E69CC"/>
    <w:rsid w:val="008F08F4"/>
    <w:rsid w:val="008F0A17"/>
    <w:rsid w:val="008F3D6A"/>
    <w:rsid w:val="008F47D9"/>
    <w:rsid w:val="008F4EB3"/>
    <w:rsid w:val="009006C0"/>
    <w:rsid w:val="00901E3C"/>
    <w:rsid w:val="0090530B"/>
    <w:rsid w:val="0090597E"/>
    <w:rsid w:val="009108D6"/>
    <w:rsid w:val="00914B0A"/>
    <w:rsid w:val="00915000"/>
    <w:rsid w:val="009237EC"/>
    <w:rsid w:val="009302E1"/>
    <w:rsid w:val="00937D75"/>
    <w:rsid w:val="00941C89"/>
    <w:rsid w:val="00946BD3"/>
    <w:rsid w:val="00951C1C"/>
    <w:rsid w:val="00951F1F"/>
    <w:rsid w:val="009527CF"/>
    <w:rsid w:val="009540D0"/>
    <w:rsid w:val="00955B04"/>
    <w:rsid w:val="009577E6"/>
    <w:rsid w:val="00965DFB"/>
    <w:rsid w:val="0097490C"/>
    <w:rsid w:val="00976A72"/>
    <w:rsid w:val="00976C72"/>
    <w:rsid w:val="00980954"/>
    <w:rsid w:val="00983532"/>
    <w:rsid w:val="009839BD"/>
    <w:rsid w:val="00986DBE"/>
    <w:rsid w:val="00990094"/>
    <w:rsid w:val="00995764"/>
    <w:rsid w:val="00995E20"/>
    <w:rsid w:val="00996F07"/>
    <w:rsid w:val="00997CD5"/>
    <w:rsid w:val="009A5BFE"/>
    <w:rsid w:val="009A613C"/>
    <w:rsid w:val="009B2253"/>
    <w:rsid w:val="009B2B66"/>
    <w:rsid w:val="009B3330"/>
    <w:rsid w:val="009B60D7"/>
    <w:rsid w:val="009B6323"/>
    <w:rsid w:val="009C115A"/>
    <w:rsid w:val="009C5A3C"/>
    <w:rsid w:val="009C6E0F"/>
    <w:rsid w:val="009D33F6"/>
    <w:rsid w:val="009D51D5"/>
    <w:rsid w:val="009F2370"/>
    <w:rsid w:val="009F6319"/>
    <w:rsid w:val="009F6B2E"/>
    <w:rsid w:val="00A0010D"/>
    <w:rsid w:val="00A012FB"/>
    <w:rsid w:val="00A05630"/>
    <w:rsid w:val="00A056D7"/>
    <w:rsid w:val="00A075F3"/>
    <w:rsid w:val="00A108E7"/>
    <w:rsid w:val="00A1424C"/>
    <w:rsid w:val="00A152CC"/>
    <w:rsid w:val="00A17B4A"/>
    <w:rsid w:val="00A229E9"/>
    <w:rsid w:val="00A25628"/>
    <w:rsid w:val="00A3168F"/>
    <w:rsid w:val="00A3274B"/>
    <w:rsid w:val="00A349C5"/>
    <w:rsid w:val="00A4143F"/>
    <w:rsid w:val="00A44BC3"/>
    <w:rsid w:val="00A46520"/>
    <w:rsid w:val="00A5166F"/>
    <w:rsid w:val="00A527C4"/>
    <w:rsid w:val="00A52D04"/>
    <w:rsid w:val="00A53C53"/>
    <w:rsid w:val="00A605A9"/>
    <w:rsid w:val="00A629D1"/>
    <w:rsid w:val="00A65986"/>
    <w:rsid w:val="00A65C7E"/>
    <w:rsid w:val="00A6678D"/>
    <w:rsid w:val="00A7081B"/>
    <w:rsid w:val="00A76444"/>
    <w:rsid w:val="00A771F0"/>
    <w:rsid w:val="00A8182E"/>
    <w:rsid w:val="00A843ED"/>
    <w:rsid w:val="00A94F60"/>
    <w:rsid w:val="00A9541A"/>
    <w:rsid w:val="00AA11DA"/>
    <w:rsid w:val="00AA772E"/>
    <w:rsid w:val="00AB23DA"/>
    <w:rsid w:val="00AB2810"/>
    <w:rsid w:val="00AB3CD8"/>
    <w:rsid w:val="00AC02F5"/>
    <w:rsid w:val="00AC11B8"/>
    <w:rsid w:val="00AC307B"/>
    <w:rsid w:val="00AC5DD4"/>
    <w:rsid w:val="00AC759A"/>
    <w:rsid w:val="00AD0978"/>
    <w:rsid w:val="00AD26E0"/>
    <w:rsid w:val="00AD5B1F"/>
    <w:rsid w:val="00AE16B4"/>
    <w:rsid w:val="00AE63C7"/>
    <w:rsid w:val="00AE6D35"/>
    <w:rsid w:val="00AE7AED"/>
    <w:rsid w:val="00AF47A8"/>
    <w:rsid w:val="00AF5D0F"/>
    <w:rsid w:val="00AF61F1"/>
    <w:rsid w:val="00B014BD"/>
    <w:rsid w:val="00B065F3"/>
    <w:rsid w:val="00B077F6"/>
    <w:rsid w:val="00B119B4"/>
    <w:rsid w:val="00B11E9C"/>
    <w:rsid w:val="00B13633"/>
    <w:rsid w:val="00B145AE"/>
    <w:rsid w:val="00B16412"/>
    <w:rsid w:val="00B31278"/>
    <w:rsid w:val="00B35331"/>
    <w:rsid w:val="00B36456"/>
    <w:rsid w:val="00B43FFB"/>
    <w:rsid w:val="00B44126"/>
    <w:rsid w:val="00B44610"/>
    <w:rsid w:val="00B462E6"/>
    <w:rsid w:val="00B46B9E"/>
    <w:rsid w:val="00B525EF"/>
    <w:rsid w:val="00B552FF"/>
    <w:rsid w:val="00B55F76"/>
    <w:rsid w:val="00B57435"/>
    <w:rsid w:val="00B6260F"/>
    <w:rsid w:val="00B72007"/>
    <w:rsid w:val="00B721EB"/>
    <w:rsid w:val="00B8065F"/>
    <w:rsid w:val="00B824B2"/>
    <w:rsid w:val="00B835A6"/>
    <w:rsid w:val="00B83EB0"/>
    <w:rsid w:val="00B851A6"/>
    <w:rsid w:val="00B9005A"/>
    <w:rsid w:val="00B9179B"/>
    <w:rsid w:val="00B9186C"/>
    <w:rsid w:val="00B928E4"/>
    <w:rsid w:val="00BA1913"/>
    <w:rsid w:val="00BA22E7"/>
    <w:rsid w:val="00BA3BD8"/>
    <w:rsid w:val="00BA4A67"/>
    <w:rsid w:val="00BA59D5"/>
    <w:rsid w:val="00BA76DC"/>
    <w:rsid w:val="00BB4BEF"/>
    <w:rsid w:val="00BC1535"/>
    <w:rsid w:val="00BC2B8D"/>
    <w:rsid w:val="00BC609F"/>
    <w:rsid w:val="00BC6572"/>
    <w:rsid w:val="00BC7F1D"/>
    <w:rsid w:val="00BD69D3"/>
    <w:rsid w:val="00BD7B02"/>
    <w:rsid w:val="00BE0ADA"/>
    <w:rsid w:val="00BE13A3"/>
    <w:rsid w:val="00BE53DF"/>
    <w:rsid w:val="00BF1BBF"/>
    <w:rsid w:val="00BF1C7D"/>
    <w:rsid w:val="00BF2F23"/>
    <w:rsid w:val="00BF3EED"/>
    <w:rsid w:val="00BF560A"/>
    <w:rsid w:val="00BF7F3B"/>
    <w:rsid w:val="00C02223"/>
    <w:rsid w:val="00C10CFB"/>
    <w:rsid w:val="00C11807"/>
    <w:rsid w:val="00C151D7"/>
    <w:rsid w:val="00C173D0"/>
    <w:rsid w:val="00C230C7"/>
    <w:rsid w:val="00C2413F"/>
    <w:rsid w:val="00C30C95"/>
    <w:rsid w:val="00C30FE9"/>
    <w:rsid w:val="00C34C4A"/>
    <w:rsid w:val="00C3516F"/>
    <w:rsid w:val="00C42EA7"/>
    <w:rsid w:val="00C44B4B"/>
    <w:rsid w:val="00C45D84"/>
    <w:rsid w:val="00C46B68"/>
    <w:rsid w:val="00C50B01"/>
    <w:rsid w:val="00C56747"/>
    <w:rsid w:val="00C61991"/>
    <w:rsid w:val="00C622AC"/>
    <w:rsid w:val="00C638FC"/>
    <w:rsid w:val="00C65614"/>
    <w:rsid w:val="00C714A8"/>
    <w:rsid w:val="00C71D66"/>
    <w:rsid w:val="00C74115"/>
    <w:rsid w:val="00C75CC4"/>
    <w:rsid w:val="00C82CDA"/>
    <w:rsid w:val="00C83318"/>
    <w:rsid w:val="00C8420E"/>
    <w:rsid w:val="00C851B5"/>
    <w:rsid w:val="00C85768"/>
    <w:rsid w:val="00C87F4E"/>
    <w:rsid w:val="00C908C6"/>
    <w:rsid w:val="00C9090E"/>
    <w:rsid w:val="00C94E5E"/>
    <w:rsid w:val="00C97725"/>
    <w:rsid w:val="00C97EB4"/>
    <w:rsid w:val="00CA0BE1"/>
    <w:rsid w:val="00CA3987"/>
    <w:rsid w:val="00CB1B1E"/>
    <w:rsid w:val="00CC3A11"/>
    <w:rsid w:val="00CC4818"/>
    <w:rsid w:val="00CD080D"/>
    <w:rsid w:val="00CD188B"/>
    <w:rsid w:val="00CD355E"/>
    <w:rsid w:val="00CD6428"/>
    <w:rsid w:val="00CE2ADA"/>
    <w:rsid w:val="00CE2FF1"/>
    <w:rsid w:val="00CE446D"/>
    <w:rsid w:val="00CE7A2B"/>
    <w:rsid w:val="00CF08C6"/>
    <w:rsid w:val="00CF2EE5"/>
    <w:rsid w:val="00CF37B0"/>
    <w:rsid w:val="00CF4B19"/>
    <w:rsid w:val="00CF5D28"/>
    <w:rsid w:val="00CF6B7F"/>
    <w:rsid w:val="00D022A1"/>
    <w:rsid w:val="00D02FA8"/>
    <w:rsid w:val="00D056E8"/>
    <w:rsid w:val="00D1449B"/>
    <w:rsid w:val="00D16499"/>
    <w:rsid w:val="00D172C7"/>
    <w:rsid w:val="00D204F0"/>
    <w:rsid w:val="00D33473"/>
    <w:rsid w:val="00D33BF6"/>
    <w:rsid w:val="00D35425"/>
    <w:rsid w:val="00D36F52"/>
    <w:rsid w:val="00D448ED"/>
    <w:rsid w:val="00D4598C"/>
    <w:rsid w:val="00D460E1"/>
    <w:rsid w:val="00D461F7"/>
    <w:rsid w:val="00D47EA6"/>
    <w:rsid w:val="00D57FD1"/>
    <w:rsid w:val="00D62496"/>
    <w:rsid w:val="00D62B47"/>
    <w:rsid w:val="00D674FF"/>
    <w:rsid w:val="00D704FB"/>
    <w:rsid w:val="00D72BAF"/>
    <w:rsid w:val="00D74D58"/>
    <w:rsid w:val="00D8111A"/>
    <w:rsid w:val="00D82062"/>
    <w:rsid w:val="00D831AD"/>
    <w:rsid w:val="00D83246"/>
    <w:rsid w:val="00D84E57"/>
    <w:rsid w:val="00D84EB8"/>
    <w:rsid w:val="00D860C7"/>
    <w:rsid w:val="00D906C6"/>
    <w:rsid w:val="00D91475"/>
    <w:rsid w:val="00D92D9E"/>
    <w:rsid w:val="00D92E6B"/>
    <w:rsid w:val="00D97413"/>
    <w:rsid w:val="00DA2A5C"/>
    <w:rsid w:val="00DA4493"/>
    <w:rsid w:val="00DA58CE"/>
    <w:rsid w:val="00DA7358"/>
    <w:rsid w:val="00DB1BD8"/>
    <w:rsid w:val="00DB3BBE"/>
    <w:rsid w:val="00DB3F6B"/>
    <w:rsid w:val="00DB50B4"/>
    <w:rsid w:val="00DC239E"/>
    <w:rsid w:val="00DC4460"/>
    <w:rsid w:val="00DC5B05"/>
    <w:rsid w:val="00DD543D"/>
    <w:rsid w:val="00DD6C15"/>
    <w:rsid w:val="00DD7437"/>
    <w:rsid w:val="00DD7B3F"/>
    <w:rsid w:val="00DE1D5C"/>
    <w:rsid w:val="00DE268C"/>
    <w:rsid w:val="00DE35FE"/>
    <w:rsid w:val="00DE593D"/>
    <w:rsid w:val="00DE6436"/>
    <w:rsid w:val="00DE652B"/>
    <w:rsid w:val="00DF198C"/>
    <w:rsid w:val="00DF1D1E"/>
    <w:rsid w:val="00DF1F2B"/>
    <w:rsid w:val="00DF2F48"/>
    <w:rsid w:val="00DF4F42"/>
    <w:rsid w:val="00E00C8E"/>
    <w:rsid w:val="00E00CD7"/>
    <w:rsid w:val="00E0181D"/>
    <w:rsid w:val="00E04486"/>
    <w:rsid w:val="00E052F0"/>
    <w:rsid w:val="00E270E5"/>
    <w:rsid w:val="00E3132F"/>
    <w:rsid w:val="00E31436"/>
    <w:rsid w:val="00E31A1B"/>
    <w:rsid w:val="00E322DA"/>
    <w:rsid w:val="00E33932"/>
    <w:rsid w:val="00E42229"/>
    <w:rsid w:val="00E42F10"/>
    <w:rsid w:val="00E4554B"/>
    <w:rsid w:val="00E46D28"/>
    <w:rsid w:val="00E51D2F"/>
    <w:rsid w:val="00E54FB6"/>
    <w:rsid w:val="00E5758E"/>
    <w:rsid w:val="00E63142"/>
    <w:rsid w:val="00E64B2C"/>
    <w:rsid w:val="00E6557C"/>
    <w:rsid w:val="00E67000"/>
    <w:rsid w:val="00E67944"/>
    <w:rsid w:val="00E67A9D"/>
    <w:rsid w:val="00E70A8A"/>
    <w:rsid w:val="00E71C6C"/>
    <w:rsid w:val="00E80099"/>
    <w:rsid w:val="00E8313F"/>
    <w:rsid w:val="00E86EE4"/>
    <w:rsid w:val="00E91CBC"/>
    <w:rsid w:val="00E96450"/>
    <w:rsid w:val="00E96575"/>
    <w:rsid w:val="00EA0A44"/>
    <w:rsid w:val="00EB01D2"/>
    <w:rsid w:val="00EB1AA8"/>
    <w:rsid w:val="00EB34E2"/>
    <w:rsid w:val="00EB628A"/>
    <w:rsid w:val="00EB7A08"/>
    <w:rsid w:val="00EB7B26"/>
    <w:rsid w:val="00EB7B6E"/>
    <w:rsid w:val="00EC7FE0"/>
    <w:rsid w:val="00ED1AE6"/>
    <w:rsid w:val="00ED323C"/>
    <w:rsid w:val="00ED3261"/>
    <w:rsid w:val="00ED44F7"/>
    <w:rsid w:val="00ED600E"/>
    <w:rsid w:val="00ED7CDB"/>
    <w:rsid w:val="00EE0D6B"/>
    <w:rsid w:val="00EE0F2C"/>
    <w:rsid w:val="00EE45D6"/>
    <w:rsid w:val="00EE701D"/>
    <w:rsid w:val="00EF2A43"/>
    <w:rsid w:val="00EF2BF4"/>
    <w:rsid w:val="00EF5A7E"/>
    <w:rsid w:val="00EF6E2F"/>
    <w:rsid w:val="00F069AE"/>
    <w:rsid w:val="00F10A68"/>
    <w:rsid w:val="00F171CC"/>
    <w:rsid w:val="00F249B4"/>
    <w:rsid w:val="00F25100"/>
    <w:rsid w:val="00F25621"/>
    <w:rsid w:val="00F3241C"/>
    <w:rsid w:val="00F32A75"/>
    <w:rsid w:val="00F34229"/>
    <w:rsid w:val="00F34BBD"/>
    <w:rsid w:val="00F34E6E"/>
    <w:rsid w:val="00F35EAA"/>
    <w:rsid w:val="00F36A22"/>
    <w:rsid w:val="00F41F59"/>
    <w:rsid w:val="00F42994"/>
    <w:rsid w:val="00F438AF"/>
    <w:rsid w:val="00F46300"/>
    <w:rsid w:val="00F46862"/>
    <w:rsid w:val="00F50808"/>
    <w:rsid w:val="00F50C8A"/>
    <w:rsid w:val="00F51DE6"/>
    <w:rsid w:val="00F52A08"/>
    <w:rsid w:val="00F53B41"/>
    <w:rsid w:val="00F5656C"/>
    <w:rsid w:val="00F62306"/>
    <w:rsid w:val="00F65402"/>
    <w:rsid w:val="00F66D79"/>
    <w:rsid w:val="00F77F81"/>
    <w:rsid w:val="00F82FCD"/>
    <w:rsid w:val="00F8758B"/>
    <w:rsid w:val="00F87BA3"/>
    <w:rsid w:val="00F92A35"/>
    <w:rsid w:val="00F96011"/>
    <w:rsid w:val="00F9620A"/>
    <w:rsid w:val="00FA519B"/>
    <w:rsid w:val="00FB4DCC"/>
    <w:rsid w:val="00FB77D6"/>
    <w:rsid w:val="00FB7AB1"/>
    <w:rsid w:val="00FC574C"/>
    <w:rsid w:val="00FC6C99"/>
    <w:rsid w:val="00FC72EB"/>
    <w:rsid w:val="00FC7383"/>
    <w:rsid w:val="00FD21AD"/>
    <w:rsid w:val="00FD55CD"/>
    <w:rsid w:val="00FE01A0"/>
    <w:rsid w:val="00FE2ED2"/>
    <w:rsid w:val="00FE3D23"/>
    <w:rsid w:val="00FF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1B878"/>
  <w15:docId w15:val="{BF63899C-BE1C-4206-87F8-BE5FB9F8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79B0"/>
    <w:rPr>
      <w:kern w:val="0"/>
      <w:lang w:val="sr-Latn-ME"/>
      <w14:ligatures w14:val="none"/>
    </w:rPr>
  </w:style>
  <w:style w:type="paragraph" w:styleId="Heading1">
    <w:name w:val="heading 1"/>
    <w:basedOn w:val="Normal"/>
    <w:next w:val="Normal"/>
    <w:link w:val="Heading1Char"/>
    <w:uiPriority w:val="9"/>
    <w:qFormat/>
    <w:rsid w:val="00A818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1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31AD"/>
    <w:pPr>
      <w:keepNext/>
      <w:keepLines/>
      <w:spacing w:before="40" w:after="0"/>
      <w:outlineLvl w:val="2"/>
    </w:pPr>
    <w:rPr>
      <w:rFonts w:eastAsiaTheme="majorEastAsia" w:cstheme="majorBidi"/>
      <w:i/>
      <w:color w:val="1F3864" w:themeColor="accent1" w:themeShade="80"/>
      <w:sz w:val="24"/>
      <w:szCs w:val="24"/>
    </w:rPr>
  </w:style>
  <w:style w:type="paragraph" w:styleId="Heading4">
    <w:name w:val="heading 4"/>
    <w:basedOn w:val="Normal"/>
    <w:next w:val="Normal"/>
    <w:link w:val="Heading4Char"/>
    <w:uiPriority w:val="9"/>
    <w:semiHidden/>
    <w:unhideWhenUsed/>
    <w:qFormat/>
    <w:rsid w:val="007A14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79B0"/>
    <w:pPr>
      <w:ind w:left="720"/>
      <w:contextualSpacing/>
    </w:pPr>
  </w:style>
  <w:style w:type="paragraph" w:styleId="Header">
    <w:name w:val="header"/>
    <w:basedOn w:val="Normal"/>
    <w:link w:val="HeaderChar"/>
    <w:uiPriority w:val="99"/>
    <w:unhideWhenUsed/>
    <w:rsid w:val="00A81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82E"/>
    <w:rPr>
      <w:kern w:val="0"/>
      <w:lang w:val="sr-Latn-ME"/>
      <w14:ligatures w14:val="none"/>
    </w:rPr>
  </w:style>
  <w:style w:type="paragraph" w:styleId="Footer">
    <w:name w:val="footer"/>
    <w:basedOn w:val="Normal"/>
    <w:link w:val="FooterChar"/>
    <w:uiPriority w:val="99"/>
    <w:unhideWhenUsed/>
    <w:rsid w:val="00A81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82E"/>
    <w:rPr>
      <w:kern w:val="0"/>
      <w:lang w:val="sr-Latn-ME"/>
      <w14:ligatures w14:val="none"/>
    </w:rPr>
  </w:style>
  <w:style w:type="character" w:customStyle="1" w:styleId="Heading1Char">
    <w:name w:val="Heading 1 Char"/>
    <w:basedOn w:val="DefaultParagraphFont"/>
    <w:link w:val="Heading1"/>
    <w:uiPriority w:val="9"/>
    <w:rsid w:val="00A8182E"/>
    <w:rPr>
      <w:rFonts w:asciiTheme="majorHAnsi" w:eastAsiaTheme="majorEastAsia" w:hAnsiTheme="majorHAnsi" w:cstheme="majorBidi"/>
      <w:color w:val="2F5496" w:themeColor="accent1" w:themeShade="BF"/>
      <w:kern w:val="0"/>
      <w:sz w:val="32"/>
      <w:szCs w:val="32"/>
      <w:lang w:val="sr-Latn-ME"/>
      <w14:ligatures w14:val="none"/>
    </w:rPr>
  </w:style>
  <w:style w:type="paragraph" w:styleId="TOCHeading">
    <w:name w:val="TOC Heading"/>
    <w:basedOn w:val="Heading1"/>
    <w:next w:val="Normal"/>
    <w:uiPriority w:val="39"/>
    <w:unhideWhenUsed/>
    <w:qFormat/>
    <w:rsid w:val="00A8182E"/>
    <w:pPr>
      <w:outlineLvl w:val="9"/>
    </w:pPr>
    <w:rPr>
      <w:lang w:val="en-US"/>
    </w:rPr>
  </w:style>
  <w:style w:type="paragraph" w:customStyle="1" w:styleId="Default">
    <w:name w:val="Default"/>
    <w:rsid w:val="00B35331"/>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2Char">
    <w:name w:val="Heading 2 Char"/>
    <w:basedOn w:val="DefaultParagraphFont"/>
    <w:link w:val="Heading2"/>
    <w:uiPriority w:val="9"/>
    <w:rsid w:val="00C151D7"/>
    <w:rPr>
      <w:rFonts w:asciiTheme="majorHAnsi" w:eastAsiaTheme="majorEastAsia" w:hAnsiTheme="majorHAnsi" w:cstheme="majorBidi"/>
      <w:color w:val="2F5496" w:themeColor="accent1" w:themeShade="BF"/>
      <w:kern w:val="0"/>
      <w:sz w:val="26"/>
      <w:szCs w:val="26"/>
      <w:lang w:val="sr-Latn-ME"/>
      <w14:ligatures w14:val="none"/>
    </w:rPr>
  </w:style>
  <w:style w:type="character" w:styleId="CommentReference">
    <w:name w:val="annotation reference"/>
    <w:basedOn w:val="DefaultParagraphFont"/>
    <w:uiPriority w:val="99"/>
    <w:semiHidden/>
    <w:unhideWhenUsed/>
    <w:rsid w:val="00BC609F"/>
    <w:rPr>
      <w:sz w:val="16"/>
      <w:szCs w:val="16"/>
    </w:rPr>
  </w:style>
  <w:style w:type="paragraph" w:styleId="CommentText">
    <w:name w:val="annotation text"/>
    <w:aliases w:val=" Char2"/>
    <w:basedOn w:val="Normal"/>
    <w:link w:val="CommentTextChar"/>
    <w:uiPriority w:val="99"/>
    <w:unhideWhenUsed/>
    <w:rsid w:val="00BC609F"/>
    <w:pPr>
      <w:spacing w:line="240" w:lineRule="auto"/>
    </w:pPr>
    <w:rPr>
      <w:sz w:val="20"/>
      <w:szCs w:val="20"/>
    </w:rPr>
  </w:style>
  <w:style w:type="character" w:customStyle="1" w:styleId="CommentTextChar">
    <w:name w:val="Comment Text Char"/>
    <w:aliases w:val=" Char2 Char"/>
    <w:basedOn w:val="DefaultParagraphFont"/>
    <w:link w:val="CommentText"/>
    <w:uiPriority w:val="99"/>
    <w:rsid w:val="00BC609F"/>
    <w:rPr>
      <w:kern w:val="0"/>
      <w:sz w:val="20"/>
      <w:szCs w:val="20"/>
      <w:lang w:val="sr-Latn-ME"/>
      <w14:ligatures w14:val="none"/>
    </w:rPr>
  </w:style>
  <w:style w:type="paragraph" w:styleId="CommentSubject">
    <w:name w:val="annotation subject"/>
    <w:basedOn w:val="CommentText"/>
    <w:next w:val="CommentText"/>
    <w:link w:val="CommentSubjectChar"/>
    <w:uiPriority w:val="99"/>
    <w:semiHidden/>
    <w:unhideWhenUsed/>
    <w:rsid w:val="00BC609F"/>
    <w:rPr>
      <w:b/>
      <w:bCs/>
    </w:rPr>
  </w:style>
  <w:style w:type="character" w:customStyle="1" w:styleId="CommentSubjectChar">
    <w:name w:val="Comment Subject Char"/>
    <w:basedOn w:val="CommentTextChar"/>
    <w:link w:val="CommentSubject"/>
    <w:uiPriority w:val="99"/>
    <w:semiHidden/>
    <w:rsid w:val="00BC609F"/>
    <w:rPr>
      <w:b/>
      <w:bCs/>
      <w:kern w:val="0"/>
      <w:sz w:val="20"/>
      <w:szCs w:val="20"/>
      <w:lang w:val="sr-Latn-ME"/>
      <w14:ligatures w14:val="none"/>
    </w:rPr>
  </w:style>
  <w:style w:type="paragraph" w:styleId="TOC1">
    <w:name w:val="toc 1"/>
    <w:basedOn w:val="Normal"/>
    <w:next w:val="Normal"/>
    <w:autoRedefine/>
    <w:uiPriority w:val="39"/>
    <w:unhideWhenUsed/>
    <w:rsid w:val="00DD6C15"/>
    <w:pPr>
      <w:spacing w:after="100"/>
    </w:pPr>
  </w:style>
  <w:style w:type="paragraph" w:styleId="TOC2">
    <w:name w:val="toc 2"/>
    <w:basedOn w:val="Normal"/>
    <w:next w:val="Normal"/>
    <w:autoRedefine/>
    <w:uiPriority w:val="39"/>
    <w:unhideWhenUsed/>
    <w:rsid w:val="00DD6C15"/>
    <w:pPr>
      <w:spacing w:after="100"/>
      <w:ind w:left="220"/>
    </w:pPr>
  </w:style>
  <w:style w:type="character" w:styleId="Hyperlink">
    <w:name w:val="Hyperlink"/>
    <w:basedOn w:val="DefaultParagraphFont"/>
    <w:uiPriority w:val="99"/>
    <w:unhideWhenUsed/>
    <w:rsid w:val="00DD6C15"/>
    <w:rPr>
      <w:color w:val="0563C1" w:themeColor="hyperlink"/>
      <w:u w:val="single"/>
    </w:rPr>
  </w:style>
  <w:style w:type="paragraph" w:styleId="FootnoteText">
    <w:name w:val="footnote text"/>
    <w:aliases w:val="Footnote Text Char1,Footnote Text Char Char,Char,Note de bas de page Car,Footnote Text Char Car,Footnote Text Char1 Char Car,Footnote Text Char Char Char Car,Char Char Char Char Car,Char Char1 Char Car,Char Char Char,poznppMV"/>
    <w:basedOn w:val="Normal"/>
    <w:link w:val="FootnoteTextChar"/>
    <w:rsid w:val="00DD543D"/>
    <w:pPr>
      <w:spacing w:after="0" w:line="240" w:lineRule="auto"/>
    </w:pPr>
    <w:rPr>
      <w:rFonts w:ascii="Calibri" w:eastAsia="Times New Roman" w:hAnsi="Calibri" w:cs="Times New Roman"/>
      <w:sz w:val="20"/>
      <w:szCs w:val="20"/>
      <w:lang w:val="en-GB"/>
    </w:rPr>
  </w:style>
  <w:style w:type="character" w:customStyle="1" w:styleId="FootnoteTextChar">
    <w:name w:val="Footnote Text Char"/>
    <w:aliases w:val="Footnote Text Char1 Char,Footnote Text Char Char Char,Char Char,Note de bas de page Car Char,Footnote Text Char Car Char,Footnote Text Char1 Char Car Char,Footnote Text Char Char Char Car Char,Char Char Char Char Car Char"/>
    <w:basedOn w:val="DefaultParagraphFont"/>
    <w:link w:val="FootnoteText"/>
    <w:rsid w:val="00DD543D"/>
    <w:rPr>
      <w:rFonts w:ascii="Calibri" w:eastAsia="Times New Roman" w:hAnsi="Calibri" w:cs="Times New Roman"/>
      <w:kern w:val="0"/>
      <w:sz w:val="20"/>
      <w:szCs w:val="20"/>
      <w:lang w:val="en-GB"/>
      <w14:ligatures w14:val="none"/>
    </w:rPr>
  </w:style>
  <w:style w:type="character" w:styleId="FootnoteReference">
    <w:name w:val="footnote reference"/>
    <w:aliases w:val="Знак Знак12, BVI fnr,BVI fnr, BVI fnr Car Car,BVI fnr Car, BVI fnr Car Car Car Car, BVI fnr Car Car Car Car Char,Footnotes refss,callout,callout Char Char,Footnotes refss Char Char,ftref Char Char Char"/>
    <w:basedOn w:val="DefaultParagraphFont"/>
    <w:link w:val="Char2"/>
    <w:rsid w:val="00DD543D"/>
    <w:rPr>
      <w:vertAlign w:val="superscript"/>
    </w:rPr>
  </w:style>
  <w:style w:type="character" w:customStyle="1" w:styleId="Heading3Char">
    <w:name w:val="Heading 3 Char"/>
    <w:basedOn w:val="DefaultParagraphFont"/>
    <w:link w:val="Heading3"/>
    <w:uiPriority w:val="9"/>
    <w:rsid w:val="00D831AD"/>
    <w:rPr>
      <w:rFonts w:eastAsiaTheme="majorEastAsia" w:cstheme="majorBidi"/>
      <w:i/>
      <w:color w:val="1F3864" w:themeColor="accent1" w:themeShade="80"/>
      <w:kern w:val="0"/>
      <w:sz w:val="24"/>
      <w:szCs w:val="24"/>
      <w:lang w:val="sr-Latn-ME"/>
      <w14:ligatures w14:val="none"/>
    </w:rPr>
  </w:style>
  <w:style w:type="paragraph" w:styleId="TOC3">
    <w:name w:val="toc 3"/>
    <w:basedOn w:val="Normal"/>
    <w:next w:val="Normal"/>
    <w:autoRedefine/>
    <w:uiPriority w:val="39"/>
    <w:unhideWhenUsed/>
    <w:rsid w:val="001F575B"/>
    <w:pPr>
      <w:spacing w:after="100"/>
      <w:ind w:left="440"/>
    </w:pPr>
  </w:style>
  <w:style w:type="character" w:customStyle="1" w:styleId="ListParagraphChar">
    <w:name w:val="List Paragraph Char"/>
    <w:link w:val="ListParagraph"/>
    <w:uiPriority w:val="34"/>
    <w:rsid w:val="006F7643"/>
    <w:rPr>
      <w:kern w:val="0"/>
      <w:lang w:val="sr-Latn-ME"/>
      <w14:ligatures w14:val="none"/>
    </w:rPr>
  </w:style>
  <w:style w:type="paragraph" w:customStyle="1" w:styleId="Char2">
    <w:name w:val="Char2"/>
    <w:basedOn w:val="Normal"/>
    <w:link w:val="FootnoteReference"/>
    <w:rsid w:val="00E96575"/>
    <w:pPr>
      <w:spacing w:line="240" w:lineRule="exact"/>
    </w:pPr>
    <w:rPr>
      <w:kern w:val="2"/>
      <w:vertAlign w:val="superscript"/>
      <w:lang w:val="en-US"/>
      <w14:ligatures w14:val="standardContextual"/>
    </w:rPr>
  </w:style>
  <w:style w:type="paragraph" w:styleId="Title">
    <w:name w:val="Title"/>
    <w:basedOn w:val="Normal"/>
    <w:next w:val="Normal"/>
    <w:link w:val="TitleChar"/>
    <w:uiPriority w:val="10"/>
    <w:qFormat/>
    <w:rsid w:val="00E96575"/>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575"/>
    <w:rPr>
      <w:rFonts w:asciiTheme="majorHAnsi" w:eastAsiaTheme="majorEastAsia" w:hAnsiTheme="majorHAnsi" w:cstheme="majorBidi"/>
      <w:spacing w:val="-10"/>
      <w:kern w:val="28"/>
      <w:sz w:val="56"/>
      <w:szCs w:val="56"/>
      <w:lang w:val="sr-Latn-ME"/>
      <w14:ligatures w14:val="none"/>
    </w:rPr>
  </w:style>
  <w:style w:type="paragraph" w:styleId="NormalWeb">
    <w:name w:val="Normal (Web)"/>
    <w:basedOn w:val="Normal"/>
    <w:uiPriority w:val="99"/>
    <w:unhideWhenUsed/>
    <w:rsid w:val="000B1213"/>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table" w:styleId="TableGrid">
    <w:name w:val="Table Grid"/>
    <w:basedOn w:val="TableNormal"/>
    <w:uiPriority w:val="39"/>
    <w:rsid w:val="00FF1837"/>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64A8B"/>
    <w:pPr>
      <w:spacing w:after="0" w:line="240" w:lineRule="auto"/>
    </w:pPr>
    <w:rPr>
      <w:rFonts w:ascii="Calibri" w:eastAsia="Times New Roman" w:hAnsi="Calibri"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5">
    <w:name w:val="Pa5"/>
    <w:basedOn w:val="Default"/>
    <w:next w:val="Default"/>
    <w:uiPriority w:val="99"/>
    <w:rsid w:val="00C638FC"/>
    <w:pPr>
      <w:spacing w:line="241" w:lineRule="atLeast"/>
    </w:pPr>
    <w:rPr>
      <w:rFonts w:ascii="Minion Pro" w:eastAsia="Times New Roman" w:hAnsi="Minion Pro" w:cs="Times New Roman"/>
      <w:color w:val="auto"/>
      <w:lang w:eastAsia="en-GB"/>
      <w14:ligatures w14:val="none"/>
    </w:rPr>
  </w:style>
  <w:style w:type="character" w:customStyle="1" w:styleId="A6">
    <w:name w:val="A6"/>
    <w:uiPriority w:val="99"/>
    <w:rsid w:val="00C638FC"/>
    <w:rPr>
      <w:rFonts w:cs="Minion Pro"/>
      <w:color w:val="000000"/>
      <w:sz w:val="20"/>
      <w:szCs w:val="20"/>
    </w:rPr>
  </w:style>
  <w:style w:type="character" w:customStyle="1" w:styleId="UnresolvedMention1">
    <w:name w:val="Unresolved Mention1"/>
    <w:basedOn w:val="DefaultParagraphFont"/>
    <w:uiPriority w:val="99"/>
    <w:semiHidden/>
    <w:unhideWhenUsed/>
    <w:rsid w:val="0007307E"/>
    <w:rPr>
      <w:color w:val="605E5C"/>
      <w:shd w:val="clear" w:color="auto" w:fill="E1DFDD"/>
    </w:rPr>
  </w:style>
  <w:style w:type="character" w:styleId="FollowedHyperlink">
    <w:name w:val="FollowedHyperlink"/>
    <w:basedOn w:val="DefaultParagraphFont"/>
    <w:uiPriority w:val="99"/>
    <w:semiHidden/>
    <w:unhideWhenUsed/>
    <w:rsid w:val="00863FC2"/>
    <w:rPr>
      <w:color w:val="954F72" w:themeColor="followedHyperlink"/>
      <w:u w:val="single"/>
    </w:rPr>
  </w:style>
  <w:style w:type="character" w:customStyle="1" w:styleId="Heading4Char">
    <w:name w:val="Heading 4 Char"/>
    <w:basedOn w:val="DefaultParagraphFont"/>
    <w:link w:val="Heading4"/>
    <w:uiPriority w:val="9"/>
    <w:semiHidden/>
    <w:rsid w:val="007A1451"/>
    <w:rPr>
      <w:rFonts w:asciiTheme="majorHAnsi" w:eastAsiaTheme="majorEastAsia" w:hAnsiTheme="majorHAnsi" w:cstheme="majorBidi"/>
      <w:i/>
      <w:iCs/>
      <w:color w:val="2F5496" w:themeColor="accent1" w:themeShade="BF"/>
      <w:kern w:val="0"/>
      <w:lang w:val="sr-Latn-ME"/>
      <w14:ligatures w14:val="none"/>
    </w:rPr>
  </w:style>
  <w:style w:type="paragraph" w:styleId="Revision">
    <w:name w:val="Revision"/>
    <w:hidden/>
    <w:uiPriority w:val="99"/>
    <w:semiHidden/>
    <w:rsid w:val="009B6323"/>
    <w:pPr>
      <w:spacing w:after="0" w:line="240" w:lineRule="auto"/>
    </w:pPr>
    <w:rPr>
      <w:kern w:val="0"/>
      <w:lang w:val="sr-Latn-ME"/>
      <w14:ligatures w14:val="none"/>
    </w:rPr>
  </w:style>
  <w:style w:type="paragraph" w:customStyle="1" w:styleId="pf0">
    <w:name w:val="pf0"/>
    <w:basedOn w:val="Normal"/>
    <w:rsid w:val="000B75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0B7585"/>
    <w:rPr>
      <w:rFonts w:ascii="Segoe UI" w:hAnsi="Segoe UI" w:cs="Segoe UI" w:hint="default"/>
      <w:sz w:val="18"/>
      <w:szCs w:val="18"/>
    </w:rPr>
  </w:style>
  <w:style w:type="paragraph" w:styleId="BalloonText">
    <w:name w:val="Balloon Text"/>
    <w:basedOn w:val="Normal"/>
    <w:link w:val="BalloonTextChar"/>
    <w:uiPriority w:val="99"/>
    <w:semiHidden/>
    <w:unhideWhenUsed/>
    <w:rsid w:val="008D7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220"/>
    <w:rPr>
      <w:rFonts w:ascii="Segoe UI" w:hAnsi="Segoe UI" w:cs="Segoe UI"/>
      <w:kern w:val="0"/>
      <w:sz w:val="18"/>
      <w:szCs w:val="18"/>
      <w:lang w:val="sr-Latn-M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1809">
      <w:bodyDiv w:val="1"/>
      <w:marLeft w:val="0"/>
      <w:marRight w:val="0"/>
      <w:marTop w:val="0"/>
      <w:marBottom w:val="0"/>
      <w:divBdr>
        <w:top w:val="none" w:sz="0" w:space="0" w:color="auto"/>
        <w:left w:val="none" w:sz="0" w:space="0" w:color="auto"/>
        <w:bottom w:val="none" w:sz="0" w:space="0" w:color="auto"/>
        <w:right w:val="none" w:sz="0" w:space="0" w:color="auto"/>
      </w:divBdr>
      <w:divsChild>
        <w:div w:id="883714498">
          <w:marLeft w:val="446"/>
          <w:marRight w:val="0"/>
          <w:marTop w:val="0"/>
          <w:marBottom w:val="0"/>
          <w:divBdr>
            <w:top w:val="none" w:sz="0" w:space="0" w:color="auto"/>
            <w:left w:val="none" w:sz="0" w:space="0" w:color="auto"/>
            <w:bottom w:val="none" w:sz="0" w:space="0" w:color="auto"/>
            <w:right w:val="none" w:sz="0" w:space="0" w:color="auto"/>
          </w:divBdr>
        </w:div>
        <w:div w:id="1179150462">
          <w:marLeft w:val="446"/>
          <w:marRight w:val="0"/>
          <w:marTop w:val="0"/>
          <w:marBottom w:val="0"/>
          <w:divBdr>
            <w:top w:val="none" w:sz="0" w:space="0" w:color="auto"/>
            <w:left w:val="none" w:sz="0" w:space="0" w:color="auto"/>
            <w:bottom w:val="none" w:sz="0" w:space="0" w:color="auto"/>
            <w:right w:val="none" w:sz="0" w:space="0" w:color="auto"/>
          </w:divBdr>
        </w:div>
        <w:div w:id="1867979047">
          <w:marLeft w:val="446"/>
          <w:marRight w:val="0"/>
          <w:marTop w:val="0"/>
          <w:marBottom w:val="0"/>
          <w:divBdr>
            <w:top w:val="none" w:sz="0" w:space="0" w:color="auto"/>
            <w:left w:val="none" w:sz="0" w:space="0" w:color="auto"/>
            <w:bottom w:val="none" w:sz="0" w:space="0" w:color="auto"/>
            <w:right w:val="none" w:sz="0" w:space="0" w:color="auto"/>
          </w:divBdr>
        </w:div>
      </w:divsChild>
    </w:div>
    <w:div w:id="34236408">
      <w:bodyDiv w:val="1"/>
      <w:marLeft w:val="0"/>
      <w:marRight w:val="0"/>
      <w:marTop w:val="0"/>
      <w:marBottom w:val="0"/>
      <w:divBdr>
        <w:top w:val="none" w:sz="0" w:space="0" w:color="auto"/>
        <w:left w:val="none" w:sz="0" w:space="0" w:color="auto"/>
        <w:bottom w:val="none" w:sz="0" w:space="0" w:color="auto"/>
        <w:right w:val="none" w:sz="0" w:space="0" w:color="auto"/>
      </w:divBdr>
      <w:divsChild>
        <w:div w:id="506796371">
          <w:marLeft w:val="446"/>
          <w:marRight w:val="0"/>
          <w:marTop w:val="0"/>
          <w:marBottom w:val="0"/>
          <w:divBdr>
            <w:top w:val="none" w:sz="0" w:space="0" w:color="auto"/>
            <w:left w:val="none" w:sz="0" w:space="0" w:color="auto"/>
            <w:bottom w:val="none" w:sz="0" w:space="0" w:color="auto"/>
            <w:right w:val="none" w:sz="0" w:space="0" w:color="auto"/>
          </w:divBdr>
        </w:div>
        <w:div w:id="2016884828">
          <w:marLeft w:val="446"/>
          <w:marRight w:val="0"/>
          <w:marTop w:val="0"/>
          <w:marBottom w:val="0"/>
          <w:divBdr>
            <w:top w:val="none" w:sz="0" w:space="0" w:color="auto"/>
            <w:left w:val="none" w:sz="0" w:space="0" w:color="auto"/>
            <w:bottom w:val="none" w:sz="0" w:space="0" w:color="auto"/>
            <w:right w:val="none" w:sz="0" w:space="0" w:color="auto"/>
          </w:divBdr>
        </w:div>
      </w:divsChild>
    </w:div>
    <w:div w:id="299193922">
      <w:bodyDiv w:val="1"/>
      <w:marLeft w:val="0"/>
      <w:marRight w:val="0"/>
      <w:marTop w:val="0"/>
      <w:marBottom w:val="0"/>
      <w:divBdr>
        <w:top w:val="none" w:sz="0" w:space="0" w:color="auto"/>
        <w:left w:val="none" w:sz="0" w:space="0" w:color="auto"/>
        <w:bottom w:val="none" w:sz="0" w:space="0" w:color="auto"/>
        <w:right w:val="none" w:sz="0" w:space="0" w:color="auto"/>
      </w:divBdr>
      <w:divsChild>
        <w:div w:id="188645020">
          <w:marLeft w:val="446"/>
          <w:marRight w:val="0"/>
          <w:marTop w:val="0"/>
          <w:marBottom w:val="0"/>
          <w:divBdr>
            <w:top w:val="none" w:sz="0" w:space="0" w:color="auto"/>
            <w:left w:val="none" w:sz="0" w:space="0" w:color="auto"/>
            <w:bottom w:val="none" w:sz="0" w:space="0" w:color="auto"/>
            <w:right w:val="none" w:sz="0" w:space="0" w:color="auto"/>
          </w:divBdr>
        </w:div>
        <w:div w:id="469132228">
          <w:marLeft w:val="446"/>
          <w:marRight w:val="0"/>
          <w:marTop w:val="0"/>
          <w:marBottom w:val="0"/>
          <w:divBdr>
            <w:top w:val="none" w:sz="0" w:space="0" w:color="auto"/>
            <w:left w:val="none" w:sz="0" w:space="0" w:color="auto"/>
            <w:bottom w:val="none" w:sz="0" w:space="0" w:color="auto"/>
            <w:right w:val="none" w:sz="0" w:space="0" w:color="auto"/>
          </w:divBdr>
        </w:div>
        <w:div w:id="1023088488">
          <w:marLeft w:val="446"/>
          <w:marRight w:val="0"/>
          <w:marTop w:val="0"/>
          <w:marBottom w:val="0"/>
          <w:divBdr>
            <w:top w:val="none" w:sz="0" w:space="0" w:color="auto"/>
            <w:left w:val="none" w:sz="0" w:space="0" w:color="auto"/>
            <w:bottom w:val="none" w:sz="0" w:space="0" w:color="auto"/>
            <w:right w:val="none" w:sz="0" w:space="0" w:color="auto"/>
          </w:divBdr>
        </w:div>
        <w:div w:id="1269773815">
          <w:marLeft w:val="446"/>
          <w:marRight w:val="0"/>
          <w:marTop w:val="0"/>
          <w:marBottom w:val="0"/>
          <w:divBdr>
            <w:top w:val="none" w:sz="0" w:space="0" w:color="auto"/>
            <w:left w:val="none" w:sz="0" w:space="0" w:color="auto"/>
            <w:bottom w:val="none" w:sz="0" w:space="0" w:color="auto"/>
            <w:right w:val="none" w:sz="0" w:space="0" w:color="auto"/>
          </w:divBdr>
        </w:div>
        <w:div w:id="1759330968">
          <w:marLeft w:val="446"/>
          <w:marRight w:val="0"/>
          <w:marTop w:val="0"/>
          <w:marBottom w:val="0"/>
          <w:divBdr>
            <w:top w:val="none" w:sz="0" w:space="0" w:color="auto"/>
            <w:left w:val="none" w:sz="0" w:space="0" w:color="auto"/>
            <w:bottom w:val="none" w:sz="0" w:space="0" w:color="auto"/>
            <w:right w:val="none" w:sz="0" w:space="0" w:color="auto"/>
          </w:divBdr>
        </w:div>
        <w:div w:id="1766223734">
          <w:marLeft w:val="446"/>
          <w:marRight w:val="0"/>
          <w:marTop w:val="0"/>
          <w:marBottom w:val="0"/>
          <w:divBdr>
            <w:top w:val="none" w:sz="0" w:space="0" w:color="auto"/>
            <w:left w:val="none" w:sz="0" w:space="0" w:color="auto"/>
            <w:bottom w:val="none" w:sz="0" w:space="0" w:color="auto"/>
            <w:right w:val="none" w:sz="0" w:space="0" w:color="auto"/>
          </w:divBdr>
        </w:div>
        <w:div w:id="1983849642">
          <w:marLeft w:val="446"/>
          <w:marRight w:val="0"/>
          <w:marTop w:val="0"/>
          <w:marBottom w:val="0"/>
          <w:divBdr>
            <w:top w:val="none" w:sz="0" w:space="0" w:color="auto"/>
            <w:left w:val="none" w:sz="0" w:space="0" w:color="auto"/>
            <w:bottom w:val="none" w:sz="0" w:space="0" w:color="auto"/>
            <w:right w:val="none" w:sz="0" w:space="0" w:color="auto"/>
          </w:divBdr>
        </w:div>
      </w:divsChild>
    </w:div>
    <w:div w:id="466437718">
      <w:bodyDiv w:val="1"/>
      <w:marLeft w:val="0"/>
      <w:marRight w:val="0"/>
      <w:marTop w:val="0"/>
      <w:marBottom w:val="0"/>
      <w:divBdr>
        <w:top w:val="none" w:sz="0" w:space="0" w:color="auto"/>
        <w:left w:val="none" w:sz="0" w:space="0" w:color="auto"/>
        <w:bottom w:val="none" w:sz="0" w:space="0" w:color="auto"/>
        <w:right w:val="none" w:sz="0" w:space="0" w:color="auto"/>
      </w:divBdr>
    </w:div>
    <w:div w:id="540361543">
      <w:bodyDiv w:val="1"/>
      <w:marLeft w:val="0"/>
      <w:marRight w:val="0"/>
      <w:marTop w:val="0"/>
      <w:marBottom w:val="0"/>
      <w:divBdr>
        <w:top w:val="none" w:sz="0" w:space="0" w:color="auto"/>
        <w:left w:val="none" w:sz="0" w:space="0" w:color="auto"/>
        <w:bottom w:val="none" w:sz="0" w:space="0" w:color="auto"/>
        <w:right w:val="none" w:sz="0" w:space="0" w:color="auto"/>
      </w:divBdr>
    </w:div>
    <w:div w:id="686978119">
      <w:bodyDiv w:val="1"/>
      <w:marLeft w:val="0"/>
      <w:marRight w:val="0"/>
      <w:marTop w:val="0"/>
      <w:marBottom w:val="0"/>
      <w:divBdr>
        <w:top w:val="none" w:sz="0" w:space="0" w:color="auto"/>
        <w:left w:val="none" w:sz="0" w:space="0" w:color="auto"/>
        <w:bottom w:val="none" w:sz="0" w:space="0" w:color="auto"/>
        <w:right w:val="none" w:sz="0" w:space="0" w:color="auto"/>
      </w:divBdr>
    </w:div>
    <w:div w:id="701445189">
      <w:bodyDiv w:val="1"/>
      <w:marLeft w:val="0"/>
      <w:marRight w:val="0"/>
      <w:marTop w:val="0"/>
      <w:marBottom w:val="0"/>
      <w:divBdr>
        <w:top w:val="none" w:sz="0" w:space="0" w:color="auto"/>
        <w:left w:val="none" w:sz="0" w:space="0" w:color="auto"/>
        <w:bottom w:val="none" w:sz="0" w:space="0" w:color="auto"/>
        <w:right w:val="none" w:sz="0" w:space="0" w:color="auto"/>
      </w:divBdr>
      <w:divsChild>
        <w:div w:id="344867652">
          <w:marLeft w:val="547"/>
          <w:marRight w:val="0"/>
          <w:marTop w:val="0"/>
          <w:marBottom w:val="200"/>
          <w:divBdr>
            <w:top w:val="none" w:sz="0" w:space="0" w:color="auto"/>
            <w:left w:val="none" w:sz="0" w:space="0" w:color="auto"/>
            <w:bottom w:val="none" w:sz="0" w:space="0" w:color="auto"/>
            <w:right w:val="none" w:sz="0" w:space="0" w:color="auto"/>
          </w:divBdr>
        </w:div>
        <w:div w:id="553388480">
          <w:marLeft w:val="547"/>
          <w:marRight w:val="0"/>
          <w:marTop w:val="0"/>
          <w:marBottom w:val="200"/>
          <w:divBdr>
            <w:top w:val="none" w:sz="0" w:space="0" w:color="auto"/>
            <w:left w:val="none" w:sz="0" w:space="0" w:color="auto"/>
            <w:bottom w:val="none" w:sz="0" w:space="0" w:color="auto"/>
            <w:right w:val="none" w:sz="0" w:space="0" w:color="auto"/>
          </w:divBdr>
        </w:div>
        <w:div w:id="1349600677">
          <w:marLeft w:val="547"/>
          <w:marRight w:val="0"/>
          <w:marTop w:val="0"/>
          <w:marBottom w:val="200"/>
          <w:divBdr>
            <w:top w:val="none" w:sz="0" w:space="0" w:color="auto"/>
            <w:left w:val="none" w:sz="0" w:space="0" w:color="auto"/>
            <w:bottom w:val="none" w:sz="0" w:space="0" w:color="auto"/>
            <w:right w:val="none" w:sz="0" w:space="0" w:color="auto"/>
          </w:divBdr>
        </w:div>
      </w:divsChild>
    </w:div>
    <w:div w:id="757676560">
      <w:bodyDiv w:val="1"/>
      <w:marLeft w:val="0"/>
      <w:marRight w:val="0"/>
      <w:marTop w:val="0"/>
      <w:marBottom w:val="0"/>
      <w:divBdr>
        <w:top w:val="none" w:sz="0" w:space="0" w:color="auto"/>
        <w:left w:val="none" w:sz="0" w:space="0" w:color="auto"/>
        <w:bottom w:val="none" w:sz="0" w:space="0" w:color="auto"/>
        <w:right w:val="none" w:sz="0" w:space="0" w:color="auto"/>
      </w:divBdr>
    </w:div>
    <w:div w:id="778795271">
      <w:bodyDiv w:val="1"/>
      <w:marLeft w:val="0"/>
      <w:marRight w:val="0"/>
      <w:marTop w:val="0"/>
      <w:marBottom w:val="0"/>
      <w:divBdr>
        <w:top w:val="none" w:sz="0" w:space="0" w:color="auto"/>
        <w:left w:val="none" w:sz="0" w:space="0" w:color="auto"/>
        <w:bottom w:val="none" w:sz="0" w:space="0" w:color="auto"/>
        <w:right w:val="none" w:sz="0" w:space="0" w:color="auto"/>
      </w:divBdr>
    </w:div>
    <w:div w:id="831069840">
      <w:bodyDiv w:val="1"/>
      <w:marLeft w:val="0"/>
      <w:marRight w:val="0"/>
      <w:marTop w:val="0"/>
      <w:marBottom w:val="0"/>
      <w:divBdr>
        <w:top w:val="none" w:sz="0" w:space="0" w:color="auto"/>
        <w:left w:val="none" w:sz="0" w:space="0" w:color="auto"/>
        <w:bottom w:val="none" w:sz="0" w:space="0" w:color="auto"/>
        <w:right w:val="none" w:sz="0" w:space="0" w:color="auto"/>
      </w:divBdr>
      <w:divsChild>
        <w:div w:id="72361392">
          <w:marLeft w:val="446"/>
          <w:marRight w:val="0"/>
          <w:marTop w:val="0"/>
          <w:marBottom w:val="0"/>
          <w:divBdr>
            <w:top w:val="none" w:sz="0" w:space="0" w:color="auto"/>
            <w:left w:val="none" w:sz="0" w:space="0" w:color="auto"/>
            <w:bottom w:val="none" w:sz="0" w:space="0" w:color="auto"/>
            <w:right w:val="none" w:sz="0" w:space="0" w:color="auto"/>
          </w:divBdr>
        </w:div>
        <w:div w:id="164899756">
          <w:marLeft w:val="446"/>
          <w:marRight w:val="0"/>
          <w:marTop w:val="0"/>
          <w:marBottom w:val="0"/>
          <w:divBdr>
            <w:top w:val="none" w:sz="0" w:space="0" w:color="auto"/>
            <w:left w:val="none" w:sz="0" w:space="0" w:color="auto"/>
            <w:bottom w:val="none" w:sz="0" w:space="0" w:color="auto"/>
            <w:right w:val="none" w:sz="0" w:space="0" w:color="auto"/>
          </w:divBdr>
        </w:div>
        <w:div w:id="1758556349">
          <w:marLeft w:val="446"/>
          <w:marRight w:val="0"/>
          <w:marTop w:val="0"/>
          <w:marBottom w:val="0"/>
          <w:divBdr>
            <w:top w:val="none" w:sz="0" w:space="0" w:color="auto"/>
            <w:left w:val="none" w:sz="0" w:space="0" w:color="auto"/>
            <w:bottom w:val="none" w:sz="0" w:space="0" w:color="auto"/>
            <w:right w:val="none" w:sz="0" w:space="0" w:color="auto"/>
          </w:divBdr>
        </w:div>
      </w:divsChild>
    </w:div>
    <w:div w:id="860968645">
      <w:bodyDiv w:val="1"/>
      <w:marLeft w:val="0"/>
      <w:marRight w:val="0"/>
      <w:marTop w:val="0"/>
      <w:marBottom w:val="0"/>
      <w:divBdr>
        <w:top w:val="none" w:sz="0" w:space="0" w:color="auto"/>
        <w:left w:val="none" w:sz="0" w:space="0" w:color="auto"/>
        <w:bottom w:val="none" w:sz="0" w:space="0" w:color="auto"/>
        <w:right w:val="none" w:sz="0" w:space="0" w:color="auto"/>
      </w:divBdr>
    </w:div>
    <w:div w:id="922379718">
      <w:bodyDiv w:val="1"/>
      <w:marLeft w:val="0"/>
      <w:marRight w:val="0"/>
      <w:marTop w:val="0"/>
      <w:marBottom w:val="0"/>
      <w:divBdr>
        <w:top w:val="none" w:sz="0" w:space="0" w:color="auto"/>
        <w:left w:val="none" w:sz="0" w:space="0" w:color="auto"/>
        <w:bottom w:val="none" w:sz="0" w:space="0" w:color="auto"/>
        <w:right w:val="none" w:sz="0" w:space="0" w:color="auto"/>
      </w:divBdr>
    </w:div>
    <w:div w:id="1077246698">
      <w:bodyDiv w:val="1"/>
      <w:marLeft w:val="0"/>
      <w:marRight w:val="0"/>
      <w:marTop w:val="0"/>
      <w:marBottom w:val="0"/>
      <w:divBdr>
        <w:top w:val="none" w:sz="0" w:space="0" w:color="auto"/>
        <w:left w:val="none" w:sz="0" w:space="0" w:color="auto"/>
        <w:bottom w:val="none" w:sz="0" w:space="0" w:color="auto"/>
        <w:right w:val="none" w:sz="0" w:space="0" w:color="auto"/>
      </w:divBdr>
    </w:div>
    <w:div w:id="1125924839">
      <w:bodyDiv w:val="1"/>
      <w:marLeft w:val="0"/>
      <w:marRight w:val="0"/>
      <w:marTop w:val="0"/>
      <w:marBottom w:val="0"/>
      <w:divBdr>
        <w:top w:val="none" w:sz="0" w:space="0" w:color="auto"/>
        <w:left w:val="none" w:sz="0" w:space="0" w:color="auto"/>
        <w:bottom w:val="none" w:sz="0" w:space="0" w:color="auto"/>
        <w:right w:val="none" w:sz="0" w:space="0" w:color="auto"/>
      </w:divBdr>
    </w:div>
    <w:div w:id="1178929407">
      <w:bodyDiv w:val="1"/>
      <w:marLeft w:val="0"/>
      <w:marRight w:val="0"/>
      <w:marTop w:val="0"/>
      <w:marBottom w:val="0"/>
      <w:divBdr>
        <w:top w:val="none" w:sz="0" w:space="0" w:color="auto"/>
        <w:left w:val="none" w:sz="0" w:space="0" w:color="auto"/>
        <w:bottom w:val="none" w:sz="0" w:space="0" w:color="auto"/>
        <w:right w:val="none" w:sz="0" w:space="0" w:color="auto"/>
      </w:divBdr>
      <w:divsChild>
        <w:div w:id="212812170">
          <w:marLeft w:val="0"/>
          <w:marRight w:val="0"/>
          <w:marTop w:val="0"/>
          <w:marBottom w:val="0"/>
          <w:divBdr>
            <w:top w:val="none" w:sz="0" w:space="0" w:color="auto"/>
            <w:left w:val="none" w:sz="0" w:space="0" w:color="auto"/>
            <w:bottom w:val="none" w:sz="0" w:space="0" w:color="auto"/>
            <w:right w:val="none" w:sz="0" w:space="0" w:color="auto"/>
          </w:divBdr>
        </w:div>
        <w:div w:id="969869565">
          <w:marLeft w:val="0"/>
          <w:marRight w:val="0"/>
          <w:marTop w:val="0"/>
          <w:marBottom w:val="0"/>
          <w:divBdr>
            <w:top w:val="none" w:sz="0" w:space="0" w:color="auto"/>
            <w:left w:val="none" w:sz="0" w:space="0" w:color="auto"/>
            <w:bottom w:val="none" w:sz="0" w:space="0" w:color="auto"/>
            <w:right w:val="none" w:sz="0" w:space="0" w:color="auto"/>
          </w:divBdr>
        </w:div>
        <w:div w:id="1532916140">
          <w:marLeft w:val="0"/>
          <w:marRight w:val="0"/>
          <w:marTop w:val="0"/>
          <w:marBottom w:val="0"/>
          <w:divBdr>
            <w:top w:val="none" w:sz="0" w:space="0" w:color="auto"/>
            <w:left w:val="none" w:sz="0" w:space="0" w:color="auto"/>
            <w:bottom w:val="none" w:sz="0" w:space="0" w:color="auto"/>
            <w:right w:val="none" w:sz="0" w:space="0" w:color="auto"/>
          </w:divBdr>
        </w:div>
        <w:div w:id="1683702945">
          <w:marLeft w:val="0"/>
          <w:marRight w:val="0"/>
          <w:marTop w:val="0"/>
          <w:marBottom w:val="0"/>
          <w:divBdr>
            <w:top w:val="none" w:sz="0" w:space="0" w:color="auto"/>
            <w:left w:val="none" w:sz="0" w:space="0" w:color="auto"/>
            <w:bottom w:val="none" w:sz="0" w:space="0" w:color="auto"/>
            <w:right w:val="none" w:sz="0" w:space="0" w:color="auto"/>
          </w:divBdr>
        </w:div>
        <w:div w:id="1793791764">
          <w:marLeft w:val="0"/>
          <w:marRight w:val="0"/>
          <w:marTop w:val="0"/>
          <w:marBottom w:val="0"/>
          <w:divBdr>
            <w:top w:val="none" w:sz="0" w:space="0" w:color="auto"/>
            <w:left w:val="none" w:sz="0" w:space="0" w:color="auto"/>
            <w:bottom w:val="none" w:sz="0" w:space="0" w:color="auto"/>
            <w:right w:val="none" w:sz="0" w:space="0" w:color="auto"/>
          </w:divBdr>
        </w:div>
        <w:div w:id="1825975137">
          <w:marLeft w:val="0"/>
          <w:marRight w:val="0"/>
          <w:marTop w:val="0"/>
          <w:marBottom w:val="0"/>
          <w:divBdr>
            <w:top w:val="none" w:sz="0" w:space="0" w:color="auto"/>
            <w:left w:val="none" w:sz="0" w:space="0" w:color="auto"/>
            <w:bottom w:val="none" w:sz="0" w:space="0" w:color="auto"/>
            <w:right w:val="none" w:sz="0" w:space="0" w:color="auto"/>
          </w:divBdr>
        </w:div>
        <w:div w:id="1844006699">
          <w:marLeft w:val="0"/>
          <w:marRight w:val="0"/>
          <w:marTop w:val="0"/>
          <w:marBottom w:val="0"/>
          <w:divBdr>
            <w:top w:val="none" w:sz="0" w:space="0" w:color="auto"/>
            <w:left w:val="none" w:sz="0" w:space="0" w:color="auto"/>
            <w:bottom w:val="none" w:sz="0" w:space="0" w:color="auto"/>
            <w:right w:val="none" w:sz="0" w:space="0" w:color="auto"/>
          </w:divBdr>
        </w:div>
        <w:div w:id="1882130509">
          <w:marLeft w:val="0"/>
          <w:marRight w:val="0"/>
          <w:marTop w:val="0"/>
          <w:marBottom w:val="0"/>
          <w:divBdr>
            <w:top w:val="none" w:sz="0" w:space="0" w:color="auto"/>
            <w:left w:val="none" w:sz="0" w:space="0" w:color="auto"/>
            <w:bottom w:val="none" w:sz="0" w:space="0" w:color="auto"/>
            <w:right w:val="none" w:sz="0" w:space="0" w:color="auto"/>
          </w:divBdr>
        </w:div>
      </w:divsChild>
    </w:div>
    <w:div w:id="1198547437">
      <w:bodyDiv w:val="1"/>
      <w:marLeft w:val="0"/>
      <w:marRight w:val="0"/>
      <w:marTop w:val="0"/>
      <w:marBottom w:val="0"/>
      <w:divBdr>
        <w:top w:val="none" w:sz="0" w:space="0" w:color="auto"/>
        <w:left w:val="none" w:sz="0" w:space="0" w:color="auto"/>
        <w:bottom w:val="none" w:sz="0" w:space="0" w:color="auto"/>
        <w:right w:val="none" w:sz="0" w:space="0" w:color="auto"/>
      </w:divBdr>
    </w:div>
    <w:div w:id="1327784266">
      <w:bodyDiv w:val="1"/>
      <w:marLeft w:val="0"/>
      <w:marRight w:val="0"/>
      <w:marTop w:val="0"/>
      <w:marBottom w:val="0"/>
      <w:divBdr>
        <w:top w:val="none" w:sz="0" w:space="0" w:color="auto"/>
        <w:left w:val="none" w:sz="0" w:space="0" w:color="auto"/>
        <w:bottom w:val="none" w:sz="0" w:space="0" w:color="auto"/>
        <w:right w:val="none" w:sz="0" w:space="0" w:color="auto"/>
      </w:divBdr>
      <w:divsChild>
        <w:div w:id="117334642">
          <w:marLeft w:val="547"/>
          <w:marRight w:val="0"/>
          <w:marTop w:val="0"/>
          <w:marBottom w:val="200"/>
          <w:divBdr>
            <w:top w:val="none" w:sz="0" w:space="0" w:color="auto"/>
            <w:left w:val="none" w:sz="0" w:space="0" w:color="auto"/>
            <w:bottom w:val="none" w:sz="0" w:space="0" w:color="auto"/>
            <w:right w:val="none" w:sz="0" w:space="0" w:color="auto"/>
          </w:divBdr>
        </w:div>
        <w:div w:id="1472408230">
          <w:marLeft w:val="547"/>
          <w:marRight w:val="0"/>
          <w:marTop w:val="0"/>
          <w:marBottom w:val="200"/>
          <w:divBdr>
            <w:top w:val="none" w:sz="0" w:space="0" w:color="auto"/>
            <w:left w:val="none" w:sz="0" w:space="0" w:color="auto"/>
            <w:bottom w:val="none" w:sz="0" w:space="0" w:color="auto"/>
            <w:right w:val="none" w:sz="0" w:space="0" w:color="auto"/>
          </w:divBdr>
        </w:div>
      </w:divsChild>
    </w:div>
    <w:div w:id="1429346890">
      <w:bodyDiv w:val="1"/>
      <w:marLeft w:val="0"/>
      <w:marRight w:val="0"/>
      <w:marTop w:val="0"/>
      <w:marBottom w:val="0"/>
      <w:divBdr>
        <w:top w:val="none" w:sz="0" w:space="0" w:color="auto"/>
        <w:left w:val="none" w:sz="0" w:space="0" w:color="auto"/>
        <w:bottom w:val="none" w:sz="0" w:space="0" w:color="auto"/>
        <w:right w:val="none" w:sz="0" w:space="0" w:color="auto"/>
      </w:divBdr>
      <w:divsChild>
        <w:div w:id="1075737550">
          <w:marLeft w:val="446"/>
          <w:marRight w:val="0"/>
          <w:marTop w:val="0"/>
          <w:marBottom w:val="0"/>
          <w:divBdr>
            <w:top w:val="none" w:sz="0" w:space="0" w:color="auto"/>
            <w:left w:val="none" w:sz="0" w:space="0" w:color="auto"/>
            <w:bottom w:val="none" w:sz="0" w:space="0" w:color="auto"/>
            <w:right w:val="none" w:sz="0" w:space="0" w:color="auto"/>
          </w:divBdr>
        </w:div>
        <w:div w:id="1678573728">
          <w:marLeft w:val="446"/>
          <w:marRight w:val="0"/>
          <w:marTop w:val="0"/>
          <w:marBottom w:val="0"/>
          <w:divBdr>
            <w:top w:val="none" w:sz="0" w:space="0" w:color="auto"/>
            <w:left w:val="none" w:sz="0" w:space="0" w:color="auto"/>
            <w:bottom w:val="none" w:sz="0" w:space="0" w:color="auto"/>
            <w:right w:val="none" w:sz="0" w:space="0" w:color="auto"/>
          </w:divBdr>
        </w:div>
      </w:divsChild>
    </w:div>
    <w:div w:id="1526751582">
      <w:bodyDiv w:val="1"/>
      <w:marLeft w:val="0"/>
      <w:marRight w:val="0"/>
      <w:marTop w:val="0"/>
      <w:marBottom w:val="0"/>
      <w:divBdr>
        <w:top w:val="none" w:sz="0" w:space="0" w:color="auto"/>
        <w:left w:val="none" w:sz="0" w:space="0" w:color="auto"/>
        <w:bottom w:val="none" w:sz="0" w:space="0" w:color="auto"/>
        <w:right w:val="none" w:sz="0" w:space="0" w:color="auto"/>
      </w:divBdr>
    </w:div>
    <w:div w:id="1718580125">
      <w:bodyDiv w:val="1"/>
      <w:marLeft w:val="0"/>
      <w:marRight w:val="0"/>
      <w:marTop w:val="0"/>
      <w:marBottom w:val="0"/>
      <w:divBdr>
        <w:top w:val="none" w:sz="0" w:space="0" w:color="auto"/>
        <w:left w:val="none" w:sz="0" w:space="0" w:color="auto"/>
        <w:bottom w:val="none" w:sz="0" w:space="0" w:color="auto"/>
        <w:right w:val="none" w:sz="0" w:space="0" w:color="auto"/>
      </w:divBdr>
      <w:divsChild>
        <w:div w:id="1321081187">
          <w:marLeft w:val="446"/>
          <w:marRight w:val="0"/>
          <w:marTop w:val="0"/>
          <w:marBottom w:val="200"/>
          <w:divBdr>
            <w:top w:val="none" w:sz="0" w:space="0" w:color="auto"/>
            <w:left w:val="none" w:sz="0" w:space="0" w:color="auto"/>
            <w:bottom w:val="none" w:sz="0" w:space="0" w:color="auto"/>
            <w:right w:val="none" w:sz="0" w:space="0" w:color="auto"/>
          </w:divBdr>
        </w:div>
        <w:div w:id="1365863511">
          <w:marLeft w:val="446"/>
          <w:marRight w:val="0"/>
          <w:marTop w:val="0"/>
          <w:marBottom w:val="200"/>
          <w:divBdr>
            <w:top w:val="none" w:sz="0" w:space="0" w:color="auto"/>
            <w:left w:val="none" w:sz="0" w:space="0" w:color="auto"/>
            <w:bottom w:val="none" w:sz="0" w:space="0" w:color="auto"/>
            <w:right w:val="none" w:sz="0" w:space="0" w:color="auto"/>
          </w:divBdr>
        </w:div>
      </w:divsChild>
    </w:div>
    <w:div w:id="1765108226">
      <w:bodyDiv w:val="1"/>
      <w:marLeft w:val="0"/>
      <w:marRight w:val="0"/>
      <w:marTop w:val="0"/>
      <w:marBottom w:val="0"/>
      <w:divBdr>
        <w:top w:val="none" w:sz="0" w:space="0" w:color="auto"/>
        <w:left w:val="none" w:sz="0" w:space="0" w:color="auto"/>
        <w:bottom w:val="none" w:sz="0" w:space="0" w:color="auto"/>
        <w:right w:val="none" w:sz="0" w:space="0" w:color="auto"/>
      </w:divBdr>
    </w:div>
    <w:div w:id="1933857457">
      <w:bodyDiv w:val="1"/>
      <w:marLeft w:val="0"/>
      <w:marRight w:val="0"/>
      <w:marTop w:val="0"/>
      <w:marBottom w:val="0"/>
      <w:divBdr>
        <w:top w:val="none" w:sz="0" w:space="0" w:color="auto"/>
        <w:left w:val="none" w:sz="0" w:space="0" w:color="auto"/>
        <w:bottom w:val="none" w:sz="0" w:space="0" w:color="auto"/>
        <w:right w:val="none" w:sz="0" w:space="0" w:color="auto"/>
      </w:divBdr>
    </w:div>
    <w:div w:id="206020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neighbourhood-enlargement.ec.europa.eu/system/files/2023-11/SWD_2023_694%20Montenegro%20report.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m.coe.int/moneyval-2019-31rev-mgr-4thfollowuprep/16809e648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op.europa.eu/en/publication-detail/-/publication/a9b0d6b3-4b02-11ed-92ed-01aa75ed71a1/language-fr" TargetMode="Externa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coe.int/en/web/cepej/special-file-report-european-judicial-systems-cepej-evaluation-report-2022-evaluation-cycle-2020-data-" TargetMode="External"/><Relationship Id="rId20" Type="http://schemas.openxmlformats.org/officeDocument/2006/relationships/hyperlink" Target="https://rm.coe.int/evaluation-report-on-the-implementation-of-the-council-of-europe-conve/1680a2ae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rm.coe.int/fifth-evaluation-round-preventing-corruption-and-promoting-integrity-i/1680a8a108"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yperlink" Target="https://www.gov.me/dokumenta/7ba33ee1-9c9e-4b32-9afe-c87760d49ed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me/dokumenta/26b0c8cc-3890-426e-a275-a29e1ff69648" TargetMode="External"/><Relationship Id="rId13" Type="http://schemas.openxmlformats.org/officeDocument/2006/relationships/hyperlink" Target="https://www.eu.me/poglavlje-24-pravda-sloboda-i-bezbjednost/" TargetMode="External"/><Relationship Id="rId18" Type="http://schemas.openxmlformats.org/officeDocument/2006/relationships/hyperlink" Target="https://rm.coe.int/moneyval-2019-31rev-mgr-4thfollowuprep/16809e6485" TargetMode="External"/><Relationship Id="rId3" Type="http://schemas.openxmlformats.org/officeDocument/2006/relationships/hyperlink" Target="https://www.gov.me/biblioteka?page=1&amp;sort=published_at&amp;q=23&amp;dt=7" TargetMode="External"/><Relationship Id="rId21" Type="http://schemas.openxmlformats.org/officeDocument/2006/relationships/hyperlink" Target="https://op.europa.eu/en/publication-detail/-/publication/a9b0d6b3-4b02-11ed-92ed-01aa75ed71a1/language-fr" TargetMode="External"/><Relationship Id="rId7" Type="http://schemas.openxmlformats.org/officeDocument/2006/relationships/hyperlink" Target="https://www.gov.me/dokumenta/74aa43fb-3f67-4ecf-b741-e3dad584a5d2" TargetMode="External"/><Relationship Id="rId12" Type="http://schemas.openxmlformats.org/officeDocument/2006/relationships/hyperlink" Target="https://www.eu.me/dokumenti-pregovori-o-pristupanju/" TargetMode="External"/><Relationship Id="rId17" Type="http://schemas.openxmlformats.org/officeDocument/2006/relationships/hyperlink" Target="https://rm.coe.int/evaluation-report-on-the-implementation-of-the-council-of-europe-conve/1680a2aefc" TargetMode="External"/><Relationship Id="rId2" Type="http://schemas.openxmlformats.org/officeDocument/2006/relationships/hyperlink" Target="https://www.eu.me/wpfd_file/akcioni-plan-za-poglavlje-23-pravosudje-i-temeljna-prava/" TargetMode="External"/><Relationship Id="rId16" Type="http://schemas.openxmlformats.org/officeDocument/2006/relationships/hyperlink" Target="https://rm.coe.int/fifth-evaluation-round-preventing-corruption-and-promoting-integrity-i/1680a8a108" TargetMode="External"/><Relationship Id="rId20" Type="http://schemas.openxmlformats.org/officeDocument/2006/relationships/hyperlink" Target="https://cemi.org.me/me/post/istrazivanje-javnog-mnjenja-o-percepciji-nezavisnosti-i-integriteta-pravosuda-u-crnoj-gori-1053" TargetMode="External"/><Relationship Id="rId1" Type="http://schemas.openxmlformats.org/officeDocument/2006/relationships/hyperlink" Target="https://www.gov.me/dokumenta/fab71e67-b278-42cf-89c5-ac69741d82b1" TargetMode="External"/><Relationship Id="rId6" Type="http://schemas.openxmlformats.org/officeDocument/2006/relationships/hyperlink" Target="https://www.gov.me/dokumenta/7ba33ee1-9c9e-4b32-9afe-c87760d49ed6" TargetMode="External"/><Relationship Id="rId11" Type="http://schemas.openxmlformats.org/officeDocument/2006/relationships/hyperlink" Target="https://www.eu.me/wpfd_file/program-pristupanja-crne-gore-evropskoj-uniji-2023-2024" TargetMode="External"/><Relationship Id="rId5" Type="http://schemas.openxmlformats.org/officeDocument/2006/relationships/hyperlink" Target="https://www.gov.me/dokumenta/ffaddb5a-c40e-4ab2-ad5d-3606cfca4a97" TargetMode="External"/><Relationship Id="rId15" Type="http://schemas.openxmlformats.org/officeDocument/2006/relationships/hyperlink" Target="https://neighbourhood-enlargement.ec.europa.eu/system/files/2023-11/SWD_2023_694%20Montenegro%20report.pdf" TargetMode="External"/><Relationship Id="rId10" Type="http://schemas.openxmlformats.org/officeDocument/2006/relationships/hyperlink" Target="https://www.gov.me/dokumenta/3ab0d094-2b75-4c84-b40d-c71d7b8c7d6f" TargetMode="External"/><Relationship Id="rId19" Type="http://schemas.openxmlformats.org/officeDocument/2006/relationships/hyperlink" Target="https://javnepolitike.me/wp-content/uploads/2020/11/Metodologija-razvijanja-politika-draft3-preview-22SEP20.pdf" TargetMode="External"/><Relationship Id="rId4" Type="http://schemas.openxmlformats.org/officeDocument/2006/relationships/hyperlink" Target="https://www.gov.me/dokumenta/6852d215-af43-4671-b940-cbd0525896c1" TargetMode="External"/><Relationship Id="rId9" Type="http://schemas.openxmlformats.org/officeDocument/2006/relationships/hyperlink" Target="https://wapi.gov.me/download/b70528ed-0bba-4140-a576-addab76998e4?version=1.0" TargetMode="External"/><Relationship Id="rId14" Type="http://schemas.openxmlformats.org/officeDocument/2006/relationships/hyperlink" Target="https://op.europa.eu/en/publication-detail/-/publication/a9b0d6b3-4b02-11ed-92ed-01aa75ed71a1/language-f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My%20Drive\PROJEKTI\Crna%20Gora\Strategija\materijal\20230629%20-%20WB%20Dashboard%20-%20Deliverable%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Stepen realizacije aktivnosti po godinama (%)</a:t>
            </a:r>
          </a:p>
        </c:rich>
      </c:tx>
      <c:layout>
        <c:manualLayout>
          <c:xMode val="edge"/>
          <c:yMode val="edge"/>
          <c:x val="0.12709540079041845"/>
          <c:y val="2.75491631385272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3726468458684047E-2"/>
          <c:y val="0.17206867671691795"/>
          <c:w val="0.88993253537273354"/>
          <c:h val="0.63499419670531121"/>
        </c:manualLayout>
      </c:layout>
      <c:barChart>
        <c:barDir val="col"/>
        <c:grouping val="clustered"/>
        <c:varyColors val="0"/>
        <c:ser>
          <c:idx val="1"/>
          <c:order val="1"/>
          <c:tx>
            <c:strRef>
              <c:f>'1'!$D$11</c:f>
              <c:strCache>
                <c:ptCount val="1"/>
                <c:pt idx="0">
                  <c:v>Realizovane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'1'!$B$12:$B$16</c:f>
              <c:strCache>
                <c:ptCount val="5"/>
                <c:pt idx="0">
                  <c:v>2019</c:v>
                </c:pt>
                <c:pt idx="1">
                  <c:v>2020</c:v>
                </c:pt>
                <c:pt idx="2">
                  <c:v>2021</c:v>
                </c:pt>
                <c:pt idx="3">
                  <c:v>2022</c:v>
                </c:pt>
                <c:pt idx="4">
                  <c:v>Ukupno:</c:v>
                </c:pt>
              </c:strCache>
            </c:strRef>
          </c:cat>
          <c:val>
            <c:numRef>
              <c:f>'1'!$D$12:$D$16</c:f>
              <c:numCache>
                <c:formatCode>0.00%</c:formatCode>
                <c:ptCount val="5"/>
                <c:pt idx="0">
                  <c:v>0.98701298701298701</c:v>
                </c:pt>
                <c:pt idx="1">
                  <c:v>0.71304347826086956</c:v>
                </c:pt>
                <c:pt idx="2">
                  <c:v>0.5714285714285714</c:v>
                </c:pt>
                <c:pt idx="3">
                  <c:v>0.69230769230769229</c:v>
                </c:pt>
                <c:pt idx="4">
                  <c:v>0.76340694006309151</c:v>
                </c:pt>
              </c:numCache>
            </c:numRef>
          </c:val>
          <c:extLst>
            <c:ext xmlns:c16="http://schemas.microsoft.com/office/drawing/2014/chart" uri="{C3380CC4-5D6E-409C-BE32-E72D297353CC}">
              <c16:uniqueId val="{00000000-669A-433C-9C2A-D043CA123FE8}"/>
            </c:ext>
          </c:extLst>
        </c:ser>
        <c:ser>
          <c:idx val="2"/>
          <c:order val="2"/>
          <c:tx>
            <c:strRef>
              <c:f>'1'!$E$11</c:f>
              <c:strCache>
                <c:ptCount val="1"/>
                <c:pt idx="0">
                  <c:v>Djelimično realizovane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'1'!$B$12:$B$16</c:f>
              <c:strCache>
                <c:ptCount val="5"/>
                <c:pt idx="0">
                  <c:v>2019</c:v>
                </c:pt>
                <c:pt idx="1">
                  <c:v>2020</c:v>
                </c:pt>
                <c:pt idx="2">
                  <c:v>2021</c:v>
                </c:pt>
                <c:pt idx="3">
                  <c:v>2022</c:v>
                </c:pt>
                <c:pt idx="4">
                  <c:v>Ukupno:</c:v>
                </c:pt>
              </c:strCache>
            </c:strRef>
          </c:cat>
          <c:val>
            <c:numRef>
              <c:f>'1'!$E$12:$E$16</c:f>
              <c:numCache>
                <c:formatCode>0.00%</c:formatCode>
                <c:ptCount val="5"/>
                <c:pt idx="0">
                  <c:v>1.2987012987012988E-2</c:v>
                </c:pt>
                <c:pt idx="1">
                  <c:v>0.18260869565217391</c:v>
                </c:pt>
                <c:pt idx="2">
                  <c:v>9.5238095238095233E-2</c:v>
                </c:pt>
                <c:pt idx="3">
                  <c:v>0.15384615384615385</c:v>
                </c:pt>
                <c:pt idx="4">
                  <c:v>0.12618296529968454</c:v>
                </c:pt>
              </c:numCache>
            </c:numRef>
          </c:val>
          <c:extLst>
            <c:ext xmlns:c16="http://schemas.microsoft.com/office/drawing/2014/chart" uri="{C3380CC4-5D6E-409C-BE32-E72D297353CC}">
              <c16:uniqueId val="{00000001-669A-433C-9C2A-D043CA123FE8}"/>
            </c:ext>
          </c:extLst>
        </c:ser>
        <c:ser>
          <c:idx val="3"/>
          <c:order val="3"/>
          <c:tx>
            <c:strRef>
              <c:f>'1'!$F$11</c:f>
              <c:strCache>
                <c:ptCount val="1"/>
                <c:pt idx="0">
                  <c:v>Nerealizovane</c:v>
                </c:pt>
              </c:strCache>
            </c:strRef>
          </c:tx>
          <c:spPr>
            <a:solidFill>
              <a:schemeClr val="accent1">
                <a:lumMod val="60000"/>
              </a:schemeClr>
            </a:solidFill>
            <a:ln>
              <a:noFill/>
            </a:ln>
            <a:effectLst/>
          </c:spPr>
          <c:invertIfNegative val="0"/>
          <c:dLbls>
            <c:dLbl>
              <c:idx val="0"/>
              <c:layout>
                <c:manualLayout>
                  <c:x val="0"/>
                  <c:y val="-5.86264656616415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9A-433C-9C2A-D043CA123FE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'1'!$B$12:$B$16</c:f>
              <c:strCache>
                <c:ptCount val="5"/>
                <c:pt idx="0">
                  <c:v>2019</c:v>
                </c:pt>
                <c:pt idx="1">
                  <c:v>2020</c:v>
                </c:pt>
                <c:pt idx="2">
                  <c:v>2021</c:v>
                </c:pt>
                <c:pt idx="3">
                  <c:v>2022</c:v>
                </c:pt>
                <c:pt idx="4">
                  <c:v>Ukupno:</c:v>
                </c:pt>
              </c:strCache>
            </c:strRef>
          </c:cat>
          <c:val>
            <c:numRef>
              <c:f>'1'!$F$12:$F$16</c:f>
              <c:numCache>
                <c:formatCode>0.00%</c:formatCode>
                <c:ptCount val="5"/>
                <c:pt idx="0">
                  <c:v>0</c:v>
                </c:pt>
                <c:pt idx="1">
                  <c:v>0.10434782608695652</c:v>
                </c:pt>
                <c:pt idx="2">
                  <c:v>0.33333333333333331</c:v>
                </c:pt>
                <c:pt idx="3">
                  <c:v>0.15384615384615385</c:v>
                </c:pt>
                <c:pt idx="4">
                  <c:v>0.11041009463722397</c:v>
                </c:pt>
              </c:numCache>
            </c:numRef>
          </c:val>
          <c:extLst>
            <c:ext xmlns:c16="http://schemas.microsoft.com/office/drawing/2014/chart" uri="{C3380CC4-5D6E-409C-BE32-E72D297353CC}">
              <c16:uniqueId val="{00000003-669A-433C-9C2A-D043CA123FE8}"/>
            </c:ext>
          </c:extLst>
        </c:ser>
        <c:dLbls>
          <c:dLblPos val="ctr"/>
          <c:showLegendKey val="0"/>
          <c:showVal val="1"/>
          <c:showCatName val="0"/>
          <c:showSerName val="0"/>
          <c:showPercent val="0"/>
          <c:showBubbleSize val="0"/>
        </c:dLbls>
        <c:gapWidth val="219"/>
        <c:overlap val="-27"/>
        <c:axId val="899758320"/>
        <c:axId val="899745008"/>
        <c:extLst>
          <c:ext xmlns:c15="http://schemas.microsoft.com/office/drawing/2012/chart" uri="{02D57815-91ED-43cb-92C2-25804820EDAC}">
            <c15:filteredBarSeries>
              <c15:ser>
                <c:idx val="0"/>
                <c:order val="0"/>
                <c:tx>
                  <c:strRef>
                    <c:extLst>
                      <c:ext uri="{02D57815-91ED-43cb-92C2-25804820EDAC}">
                        <c15:formulaRef>
                          <c15:sqref>'1'!$C$11</c15:sqref>
                        </c15:formulaRef>
                      </c:ext>
                    </c:extLst>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'1'!$B$12:$B$16</c15:sqref>
                        </c15:formulaRef>
                      </c:ext>
                    </c:extLst>
                    <c:strCache>
                      <c:ptCount val="5"/>
                      <c:pt idx="0">
                        <c:v>2019</c:v>
                      </c:pt>
                      <c:pt idx="1">
                        <c:v>2020</c:v>
                      </c:pt>
                      <c:pt idx="2">
                        <c:v>2021</c:v>
                      </c:pt>
                      <c:pt idx="3">
                        <c:v>2022</c:v>
                      </c:pt>
                      <c:pt idx="4">
                        <c:v>Ukupno:</c:v>
                      </c:pt>
                    </c:strCache>
                  </c:strRef>
                </c:cat>
                <c:val>
                  <c:numRef>
                    <c:extLst>
                      <c:ext uri="{02D57815-91ED-43cb-92C2-25804820EDAC}">
                        <c15:formulaRef>
                          <c15:sqref>'1'!$C$12:$C$16</c15:sqref>
                        </c15:formulaRef>
                      </c:ext>
                    </c:extLst>
                    <c:numCache>
                      <c:formatCode>General</c:formatCode>
                      <c:ptCount val="5"/>
                    </c:numCache>
                  </c:numRef>
                </c:val>
                <c:extLst>
                  <c:ext xmlns:c16="http://schemas.microsoft.com/office/drawing/2014/chart" uri="{C3380CC4-5D6E-409C-BE32-E72D297353CC}">
                    <c16:uniqueId val="{00000004-669A-433C-9C2A-D043CA123FE8}"/>
                  </c:ext>
                </c:extLst>
              </c15:ser>
            </c15:filteredBarSeries>
          </c:ext>
        </c:extLst>
      </c:barChart>
      <c:catAx>
        <c:axId val="8997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45008"/>
        <c:crosses val="autoZero"/>
        <c:auto val="1"/>
        <c:lblAlgn val="ctr"/>
        <c:lblOffset val="100"/>
        <c:noMultiLvlLbl val="0"/>
      </c:catAx>
      <c:valAx>
        <c:axId val="899745008"/>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5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100" b="0"/>
              <a:t>Procenat uspešno realizovanih aktivnosti</a:t>
            </a:r>
            <a:r>
              <a:rPr lang="sr-Latn-RS" sz="1100" b="0"/>
              <a:t> po strateškim ciljevima</a:t>
            </a:r>
            <a:endParaRPr lang="en-US" sz="1100" b="0"/>
          </a:p>
        </c:rich>
      </c:tx>
      <c:layout>
        <c:manualLayout>
          <c:xMode val="edge"/>
          <c:yMode val="edge"/>
          <c:x val="0.12640025678061306"/>
          <c:y val="0"/>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Procenat uspešno realizovanih aktivnosti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Strateški cilj 1</c:v>
                </c:pt>
                <c:pt idx="1">
                  <c:v>Strateški cilj 2</c:v>
                </c:pt>
                <c:pt idx="2">
                  <c:v>Strateški cilj 3</c:v>
                </c:pt>
                <c:pt idx="3">
                  <c:v>Strateški cilj 4</c:v>
                </c:pt>
                <c:pt idx="4">
                  <c:v>Strateški cilj 5</c:v>
                </c:pt>
                <c:pt idx="5">
                  <c:v>Ukupno</c:v>
                </c:pt>
              </c:strCache>
            </c:strRef>
          </c:cat>
          <c:val>
            <c:numRef>
              <c:f>Sheet1!$B$2:$B$7</c:f>
              <c:numCache>
                <c:formatCode>General</c:formatCode>
                <c:ptCount val="6"/>
                <c:pt idx="0">
                  <c:v>80.28</c:v>
                </c:pt>
                <c:pt idx="1">
                  <c:v>79.59</c:v>
                </c:pt>
                <c:pt idx="2">
                  <c:v>55.56</c:v>
                </c:pt>
                <c:pt idx="3">
                  <c:v>80</c:v>
                </c:pt>
                <c:pt idx="4">
                  <c:v>71.739999999999995</c:v>
                </c:pt>
                <c:pt idx="5">
                  <c:v>76.34</c:v>
                </c:pt>
              </c:numCache>
            </c:numRef>
          </c:val>
          <c:extLst>
            <c:ext xmlns:c16="http://schemas.microsoft.com/office/drawing/2014/chart" uri="{C3380CC4-5D6E-409C-BE32-E72D297353CC}">
              <c16:uniqueId val="{00000000-D224-4D9F-9D06-C656F1333664}"/>
            </c:ext>
          </c:extLst>
        </c:ser>
        <c:dLbls>
          <c:dLblPos val="outEnd"/>
          <c:showLegendKey val="0"/>
          <c:showVal val="1"/>
          <c:showCatName val="0"/>
          <c:showSerName val="0"/>
          <c:showPercent val="0"/>
          <c:showBubbleSize val="0"/>
        </c:dLbls>
        <c:gapWidth val="164"/>
        <c:overlap val="-22"/>
        <c:axId val="2079800336"/>
        <c:axId val="1933521872"/>
      </c:barChart>
      <c:catAx>
        <c:axId val="20798003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3521872"/>
        <c:crosses val="autoZero"/>
        <c:auto val="1"/>
        <c:lblAlgn val="ctr"/>
        <c:lblOffset val="100"/>
        <c:noMultiLvlLbl val="0"/>
      </c:catAx>
      <c:valAx>
        <c:axId val="19335218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800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sr-Latn-RS" sz="1600" b="0"/>
              <a:t>Prosječna godišnja zarada u EUR</a:t>
            </a:r>
            <a:endParaRPr lang="en-US" sz="1600" b="0"/>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Crna Gora</c:v>
                </c:pt>
              </c:strCache>
            </c:strRef>
          </c:tx>
          <c:spPr>
            <a:pattFill prst="narHorz">
              <a:fgClr>
                <a:schemeClr val="accent5">
                  <a:shade val="76000"/>
                </a:schemeClr>
              </a:fgClr>
              <a:bgClr>
                <a:schemeClr val="accent5">
                  <a:shade val="76000"/>
                  <a:lumMod val="20000"/>
                  <a:lumOff val="80000"/>
                </a:schemeClr>
              </a:bgClr>
            </a:pattFill>
            <a:ln>
              <a:noFill/>
            </a:ln>
            <a:effectLst>
              <a:innerShdw blurRad="114300">
                <a:schemeClr val="accent5">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Sudije na početku karijere</c:v>
                </c:pt>
                <c:pt idx="1">
                  <c:v>Sudije u Vrhovnom sudu</c:v>
                </c:pt>
                <c:pt idx="2">
                  <c:v>Tužioci na početku karijere</c:v>
                </c:pt>
                <c:pt idx="3">
                  <c:v>Tužoci u Vrhovnom tužilaštvu</c:v>
                </c:pt>
              </c:strCache>
            </c:strRef>
          </c:cat>
          <c:val>
            <c:numRef>
              <c:f>Sheet1!$B$2:$B$5</c:f>
              <c:numCache>
                <c:formatCode>General</c:formatCode>
                <c:ptCount val="4"/>
                <c:pt idx="0">
                  <c:v>19557</c:v>
                </c:pt>
                <c:pt idx="1">
                  <c:v>32864</c:v>
                </c:pt>
                <c:pt idx="2">
                  <c:v>18310</c:v>
                </c:pt>
                <c:pt idx="3">
                  <c:v>32650</c:v>
                </c:pt>
              </c:numCache>
            </c:numRef>
          </c:val>
          <c:extLst>
            <c:ext xmlns:c16="http://schemas.microsoft.com/office/drawing/2014/chart" uri="{C3380CC4-5D6E-409C-BE32-E72D297353CC}">
              <c16:uniqueId val="{00000000-6A36-493F-A9CB-74D392C836B2}"/>
            </c:ext>
          </c:extLst>
        </c:ser>
        <c:ser>
          <c:idx val="1"/>
          <c:order val="1"/>
          <c:tx>
            <c:strRef>
              <c:f>Sheet1!$C$1</c:f>
              <c:strCache>
                <c:ptCount val="1"/>
                <c:pt idx="0">
                  <c:v>Zapadni Balkan</c:v>
                </c:pt>
              </c:strCache>
            </c:strRef>
          </c:tx>
          <c:spPr>
            <a:pattFill prst="narHorz">
              <a:fgClr>
                <a:schemeClr val="accent5">
                  <a:tint val="77000"/>
                </a:schemeClr>
              </a:fgClr>
              <a:bgClr>
                <a:schemeClr val="accent5">
                  <a:tint val="77000"/>
                  <a:lumMod val="20000"/>
                  <a:lumOff val="80000"/>
                </a:schemeClr>
              </a:bgClr>
            </a:pattFill>
            <a:ln>
              <a:noFill/>
            </a:ln>
            <a:effectLst>
              <a:innerShdw blurRad="114300">
                <a:schemeClr val="accent5">
                  <a:tint val="7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Sudije na početku karijere</c:v>
                </c:pt>
                <c:pt idx="1">
                  <c:v>Sudije u Vrhovnom sudu</c:v>
                </c:pt>
                <c:pt idx="2">
                  <c:v>Tužioci na početku karijere</c:v>
                </c:pt>
                <c:pt idx="3">
                  <c:v>Tužoci u Vrhovnom tužilaštvu</c:v>
                </c:pt>
              </c:strCache>
            </c:strRef>
          </c:cat>
          <c:val>
            <c:numRef>
              <c:f>Sheet1!$C$2:$C$5</c:f>
              <c:numCache>
                <c:formatCode>General</c:formatCode>
                <c:ptCount val="4"/>
                <c:pt idx="0">
                  <c:v>22844</c:v>
                </c:pt>
                <c:pt idx="1">
                  <c:v>39591</c:v>
                </c:pt>
                <c:pt idx="2">
                  <c:v>21493</c:v>
                </c:pt>
                <c:pt idx="3">
                  <c:v>35998</c:v>
                </c:pt>
              </c:numCache>
            </c:numRef>
          </c:val>
          <c:extLst>
            <c:ext xmlns:c16="http://schemas.microsoft.com/office/drawing/2014/chart" uri="{C3380CC4-5D6E-409C-BE32-E72D297353CC}">
              <c16:uniqueId val="{00000001-6A36-493F-A9CB-74D392C836B2}"/>
            </c:ext>
          </c:extLst>
        </c:ser>
        <c:dLbls>
          <c:dLblPos val="outEnd"/>
          <c:showLegendKey val="0"/>
          <c:showVal val="1"/>
          <c:showCatName val="0"/>
          <c:showSerName val="0"/>
          <c:showPercent val="0"/>
          <c:showBubbleSize val="0"/>
        </c:dLbls>
        <c:gapWidth val="164"/>
        <c:overlap val="-22"/>
        <c:axId val="333191263"/>
        <c:axId val="1988020192"/>
      </c:barChart>
      <c:catAx>
        <c:axId val="3331912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8020192"/>
        <c:crosses val="autoZero"/>
        <c:auto val="1"/>
        <c:lblAlgn val="ctr"/>
        <c:lblOffset val="100"/>
        <c:noMultiLvlLbl val="0"/>
      </c:catAx>
      <c:valAx>
        <c:axId val="1988020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1912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714860059731442"/>
          <c:y val="0.15097512633110541"/>
          <c:w val="0.8148232720909887"/>
          <c:h val="0.78286648133325354"/>
        </c:manualLayout>
      </c:layout>
      <c:barChart>
        <c:barDir val="bar"/>
        <c:grouping val="stacked"/>
        <c:varyColors val="0"/>
        <c:ser>
          <c:idx val="0"/>
          <c:order val="0"/>
          <c:tx>
            <c:strRef>
              <c:f>'2.Professionals -  Overview'!$D$21</c:f>
              <c:strCache>
                <c:ptCount val="1"/>
                <c:pt idx="0">
                  <c:v>Judges</c:v>
                </c:pt>
              </c:strCache>
            </c:strRef>
          </c:tx>
          <c:spPr>
            <a:solidFill>
              <a:schemeClr val="accent5">
                <a:shade val="50000"/>
              </a:schemeClr>
            </a:solidFill>
            <a:ln>
              <a:noFill/>
            </a:ln>
            <a:effectLst/>
          </c:spPr>
          <c:invertIfNegative val="0"/>
          <c:dLbls>
            <c:dLbl>
              <c:idx val="0"/>
              <c:tx>
                <c:rich>
                  <a:bodyPr/>
                  <a:lstStyle/>
                  <a:p>
                    <a:fld id="{6BCB34CC-A755-4BAB-858D-A7772CDC06C8}"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C919-4D81-9432-F457B8E5AAF1}"/>
                </c:ext>
              </c:extLst>
            </c:dLbl>
            <c:dLbl>
              <c:idx val="1"/>
              <c:tx>
                <c:rich>
                  <a:bodyPr/>
                  <a:lstStyle/>
                  <a:p>
                    <a:fld id="{529493F9-99C3-4257-B331-D2E32CE6694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C919-4D81-9432-F457B8E5AAF1}"/>
                </c:ext>
              </c:extLst>
            </c:dLbl>
            <c:dLbl>
              <c:idx val="2"/>
              <c:tx>
                <c:rich>
                  <a:bodyPr/>
                  <a:lstStyle/>
                  <a:p>
                    <a:fld id="{E5316423-7805-43A7-B870-6BBD2C327383}"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C919-4D81-9432-F457B8E5AAF1}"/>
                </c:ext>
              </c:extLst>
            </c:dLbl>
            <c:dLbl>
              <c:idx val="3"/>
              <c:tx>
                <c:rich>
                  <a:bodyPr/>
                  <a:lstStyle/>
                  <a:p>
                    <a:fld id="{856CC9CC-900E-4C1E-AD60-FA8B0D5B6B6C}"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C919-4D81-9432-F457B8E5AAF1}"/>
                </c:ext>
              </c:extLst>
            </c:dLbl>
            <c:dLbl>
              <c:idx val="4"/>
              <c:tx>
                <c:rich>
                  <a:bodyPr/>
                  <a:lstStyle/>
                  <a:p>
                    <a:fld id="{8DCBF3D6-A372-4BCB-ABAD-A5B8E9A7AF30}"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C919-4D81-9432-F457B8E5AAF1}"/>
                </c:ext>
              </c:extLst>
            </c:dLbl>
            <c:dLbl>
              <c:idx val="5"/>
              <c:tx>
                <c:rich>
                  <a:bodyPr/>
                  <a:lstStyle/>
                  <a:p>
                    <a:fld id="{457A57BA-4988-4B36-99CD-0E405AD54177}" type="CELLRANGE">
                      <a:rPr lang="en-GB"/>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C919-4D81-9432-F457B8E5AAF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('2.Professionals -  Overview'!$C$22:$C$26,'2.Professionals -  Overview'!$C$30)</c:f>
              <c:strCache>
                <c:ptCount val="6"/>
                <c:pt idx="0">
                  <c:v>Albania</c:v>
                </c:pt>
                <c:pt idx="1">
                  <c:v>Bosnia and Herzegovina</c:v>
                </c:pt>
                <c:pt idx="2">
                  <c:v>Montenegro</c:v>
                </c:pt>
                <c:pt idx="3">
                  <c:v>North Macedonia</c:v>
                </c:pt>
                <c:pt idx="4">
                  <c:v>Serbia</c:v>
                </c:pt>
                <c:pt idx="5">
                  <c:v>WB Average</c:v>
                </c:pt>
              </c:strCache>
              <c:extLst/>
            </c:strRef>
          </c:cat>
          <c:val>
            <c:numRef>
              <c:f>('2.Professionals -  Overview'!$D$22:$D$26,'2.Professionals -  Overview'!$D$30)</c:f>
              <c:numCache>
                <c:formatCode>0.0</c:formatCode>
                <c:ptCount val="6"/>
                <c:pt idx="0">
                  <c:v>11.38319410994877</c:v>
                </c:pt>
                <c:pt idx="1">
                  <c:v>28.960324355632782</c:v>
                </c:pt>
                <c:pt idx="2">
                  <c:v>42.417370800398047</c:v>
                </c:pt>
                <c:pt idx="3">
                  <c:v>22.263180183701174</c:v>
                </c:pt>
                <c:pt idx="4">
                  <c:v>39.090171477415751</c:v>
                </c:pt>
                <c:pt idx="5">
                  <c:v>28.822848185419311</c:v>
                </c:pt>
              </c:numCache>
              <c:extLst/>
            </c:numRef>
          </c:val>
          <c:extLst>
            <c:ext xmlns:c15="http://schemas.microsoft.com/office/drawing/2012/chart" uri="{02D57815-91ED-43cb-92C2-25804820EDAC}">
              <c15:datalabelsRange>
                <c15:f>'2.Professionals -  Overview'!$D$22:$D$30</c15:f>
                <c15:dlblRangeCache>
                  <c:ptCount val="9"/>
                  <c:pt idx="0">
                    <c:v>11.4</c:v>
                  </c:pt>
                  <c:pt idx="1">
                    <c:v>29.0</c:v>
                  </c:pt>
                  <c:pt idx="2">
                    <c:v>42.4</c:v>
                  </c:pt>
                  <c:pt idx="3">
                    <c:v>22.3</c:v>
                  </c:pt>
                  <c:pt idx="4">
                    <c:v>39.1</c:v>
                  </c:pt>
                  <c:pt idx="6">
                    <c:v>23.3</c:v>
                  </c:pt>
                  <c:pt idx="8">
                    <c:v>28.8</c:v>
                  </c:pt>
                </c15:dlblRangeCache>
              </c15:datalabelsRange>
            </c:ext>
            <c:ext xmlns:c16="http://schemas.microsoft.com/office/drawing/2014/chart" uri="{C3380CC4-5D6E-409C-BE32-E72D297353CC}">
              <c16:uniqueId val="{00000006-C919-4D81-9432-F457B8E5AAF1}"/>
            </c:ext>
          </c:extLst>
        </c:ser>
        <c:ser>
          <c:idx val="2"/>
          <c:order val="2"/>
          <c:tx>
            <c:strRef>
              <c:f>'2.Professionals -  Overview'!$F$21</c:f>
              <c:strCache>
                <c:ptCount val="1"/>
                <c:pt idx="0">
                  <c:v>Non-judge staff</c:v>
                </c:pt>
              </c:strCache>
            </c:strRef>
          </c:tx>
          <c:spPr>
            <a:solidFill>
              <a:schemeClr val="accent5">
                <a:lumMod val="60000"/>
                <a:lumOff val="40000"/>
              </a:schemeClr>
            </a:solidFill>
            <a:ln>
              <a:noFill/>
            </a:ln>
            <a:effectLst/>
          </c:spPr>
          <c:invertIfNegative val="0"/>
          <c:dLbls>
            <c:dLbl>
              <c:idx val="0"/>
              <c:tx>
                <c:rich>
                  <a:bodyPr/>
                  <a:lstStyle/>
                  <a:p>
                    <a:fld id="{1475F45E-11BA-4788-8A50-802C2A0A30D6}"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C919-4D81-9432-F457B8E5AAF1}"/>
                </c:ext>
              </c:extLst>
            </c:dLbl>
            <c:dLbl>
              <c:idx val="1"/>
              <c:tx>
                <c:rich>
                  <a:bodyPr/>
                  <a:lstStyle/>
                  <a:p>
                    <a:fld id="{8CDDD843-4FDA-40E8-BE60-DA329D38A14D}"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C919-4D81-9432-F457B8E5AAF1}"/>
                </c:ext>
              </c:extLst>
            </c:dLbl>
            <c:dLbl>
              <c:idx val="2"/>
              <c:tx>
                <c:rich>
                  <a:bodyPr/>
                  <a:lstStyle/>
                  <a:p>
                    <a:fld id="{C1AA098E-0689-478B-B4E6-9AC72B0A740B}"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C919-4D81-9432-F457B8E5AAF1}"/>
                </c:ext>
              </c:extLst>
            </c:dLbl>
            <c:dLbl>
              <c:idx val="3"/>
              <c:tx>
                <c:rich>
                  <a:bodyPr/>
                  <a:lstStyle/>
                  <a:p>
                    <a:fld id="{FF784ACD-A0A0-4ACC-8C1F-738E5CE146AF}"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C919-4D81-9432-F457B8E5AAF1}"/>
                </c:ext>
              </c:extLst>
            </c:dLbl>
            <c:dLbl>
              <c:idx val="4"/>
              <c:tx>
                <c:rich>
                  <a:bodyPr/>
                  <a:lstStyle/>
                  <a:p>
                    <a:fld id="{A81BE240-5EA8-4674-84BC-A81E7BE95C14}" type="CELLRANGE">
                      <a:rPr lang="en-US"/>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C919-4D81-9432-F457B8E5AAF1}"/>
                </c:ext>
              </c:extLst>
            </c:dLbl>
            <c:dLbl>
              <c:idx val="5"/>
              <c:tx>
                <c:rich>
                  <a:bodyPr/>
                  <a:lstStyle/>
                  <a:p>
                    <a:fld id="{A1211D07-E493-4B0C-A048-1050F203447E}" type="CELLRANGE">
                      <a:rPr lang="en-GB"/>
                      <a:pPr/>
                      <a:t>[CELLRANGE]</a:t>
                    </a:fld>
                    <a:endParaRPr 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C-C919-4D81-9432-F457B8E5AAF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('2.Professionals -  Overview'!$C$22:$C$26,'2.Professionals -  Overview'!$C$30)</c:f>
              <c:strCache>
                <c:ptCount val="6"/>
                <c:pt idx="0">
                  <c:v>Albania</c:v>
                </c:pt>
                <c:pt idx="1">
                  <c:v>Bosnia and Herzegovina</c:v>
                </c:pt>
                <c:pt idx="2">
                  <c:v>Montenegro</c:v>
                </c:pt>
                <c:pt idx="3">
                  <c:v>North Macedonia</c:v>
                </c:pt>
                <c:pt idx="4">
                  <c:v>Serbia</c:v>
                </c:pt>
                <c:pt idx="5">
                  <c:v>WB Average</c:v>
                </c:pt>
              </c:strCache>
              <c:extLst/>
            </c:strRef>
          </c:cat>
          <c:val>
            <c:numRef>
              <c:f>('2.Professionals -  Overview'!$F$22:$F$26,'2.Professionals -  Overview'!$F$30)</c:f>
              <c:numCache>
                <c:formatCode>0.0</c:formatCode>
                <c:ptCount val="6"/>
                <c:pt idx="0">
                  <c:v>37.836591742817134</c:v>
                </c:pt>
                <c:pt idx="1">
                  <c:v>99.884158702577466</c:v>
                </c:pt>
                <c:pt idx="2">
                  <c:v>179.02388436669898</c:v>
                </c:pt>
                <c:pt idx="3">
                  <c:v>119.64418103612513</c:v>
                </c:pt>
                <c:pt idx="4">
                  <c:v>133.52743557735241</c:v>
                </c:pt>
                <c:pt idx="5">
                  <c:v>113.98325028511422</c:v>
                </c:pt>
              </c:numCache>
              <c:extLst/>
            </c:numRef>
          </c:val>
          <c:extLst>
            <c:ext xmlns:c15="http://schemas.microsoft.com/office/drawing/2012/chart" uri="{02D57815-91ED-43cb-92C2-25804820EDAC}">
              <c15:datalabelsRange>
                <c15:f>'2.Professionals -  Overview'!$F$22:$F$30</c15:f>
                <c15:dlblRangeCache>
                  <c:ptCount val="9"/>
                  <c:pt idx="0">
                    <c:v>37.8</c:v>
                  </c:pt>
                  <c:pt idx="1">
                    <c:v>99.9</c:v>
                  </c:pt>
                  <c:pt idx="2">
                    <c:v>179.0</c:v>
                  </c:pt>
                  <c:pt idx="3">
                    <c:v>119.6</c:v>
                  </c:pt>
                  <c:pt idx="4">
                    <c:v>133.5</c:v>
                  </c:pt>
                  <c:pt idx="6">
                    <c:v>87.7</c:v>
                  </c:pt>
                  <c:pt idx="8">
                    <c:v>114.0</c:v>
                  </c:pt>
                </c15:dlblRangeCache>
              </c15:datalabelsRange>
            </c:ext>
            <c:ext xmlns:c16="http://schemas.microsoft.com/office/drawing/2014/chart" uri="{C3380CC4-5D6E-409C-BE32-E72D297353CC}">
              <c16:uniqueId val="{0000000D-C919-4D81-9432-F457B8E5AAF1}"/>
            </c:ext>
          </c:extLst>
        </c:ser>
        <c:ser>
          <c:idx val="3"/>
          <c:order val="3"/>
          <c:tx>
            <c:strRef>
              <c:f>'2.Professionals -  Overview'!$G$21</c:f>
              <c:strCache>
                <c:ptCount val="1"/>
                <c:pt idx="0">
                  <c:v>Prosecutors</c:v>
                </c:pt>
              </c:strCache>
            </c:strRef>
          </c:tx>
          <c:spPr>
            <a:solidFill>
              <a:schemeClr val="accent6">
                <a:lumMod val="75000"/>
              </a:schemeClr>
            </a:solidFill>
            <a:ln>
              <a:noFill/>
            </a:ln>
            <a:effectLst/>
          </c:spPr>
          <c:invertIfNegative val="0"/>
          <c:dLbls>
            <c:dLbl>
              <c:idx val="0"/>
              <c:tx>
                <c:rich>
                  <a:bodyPr/>
                  <a:lstStyle/>
                  <a:p>
                    <a:fld id="{C6430D2A-B71D-4737-A749-BAE4A6DE71C7}"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E-C919-4D81-9432-F457B8E5AAF1}"/>
                </c:ext>
              </c:extLst>
            </c:dLbl>
            <c:dLbl>
              <c:idx val="1"/>
              <c:tx>
                <c:rich>
                  <a:bodyPr/>
                  <a:lstStyle/>
                  <a:p>
                    <a:fld id="{09AD7FC4-5831-4442-977C-8A3FAE2F777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C919-4D81-9432-F457B8E5AAF1}"/>
                </c:ext>
              </c:extLst>
            </c:dLbl>
            <c:dLbl>
              <c:idx val="2"/>
              <c:tx>
                <c:rich>
                  <a:bodyPr/>
                  <a:lstStyle/>
                  <a:p>
                    <a:fld id="{7D7E01EE-68BB-41BF-8085-247D50C04EF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C919-4D81-9432-F457B8E5AAF1}"/>
                </c:ext>
              </c:extLst>
            </c:dLbl>
            <c:dLbl>
              <c:idx val="3"/>
              <c:tx>
                <c:rich>
                  <a:bodyPr/>
                  <a:lstStyle/>
                  <a:p>
                    <a:fld id="{9DEA7687-4DC8-496C-8A22-573E3A34AC8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C919-4D81-9432-F457B8E5AAF1}"/>
                </c:ext>
              </c:extLst>
            </c:dLbl>
            <c:dLbl>
              <c:idx val="4"/>
              <c:tx>
                <c:rich>
                  <a:bodyPr/>
                  <a:lstStyle/>
                  <a:p>
                    <a:fld id="{0D53606D-B30D-42B2-BFAE-4C2E48BA6F3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C919-4D81-9432-F457B8E5AAF1}"/>
                </c:ext>
              </c:extLst>
            </c:dLbl>
            <c:dLbl>
              <c:idx val="5"/>
              <c:tx>
                <c:rich>
                  <a:bodyPr/>
                  <a:lstStyle/>
                  <a:p>
                    <a:fld id="{2576499D-8CFD-4798-9824-06F375A5F373}" type="CELLRANGE">
                      <a:rPr lang="en-GB"/>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3-C919-4D81-9432-F457B8E5AAF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('2.Professionals -  Overview'!$C$22:$C$26,'2.Professionals -  Overview'!$C$30)</c:f>
              <c:strCache>
                <c:ptCount val="6"/>
                <c:pt idx="0">
                  <c:v>Albania</c:v>
                </c:pt>
                <c:pt idx="1">
                  <c:v>Bosnia and Herzegovina</c:v>
                </c:pt>
                <c:pt idx="2">
                  <c:v>Montenegro</c:v>
                </c:pt>
                <c:pt idx="3">
                  <c:v>North Macedonia</c:v>
                </c:pt>
                <c:pt idx="4">
                  <c:v>Serbia</c:v>
                </c:pt>
                <c:pt idx="5">
                  <c:v>WB Average</c:v>
                </c:pt>
              </c:strCache>
              <c:extLst/>
            </c:strRef>
          </c:cat>
          <c:val>
            <c:numRef>
              <c:f>('2.Professionals -  Overview'!$G$22:$G$26,'2.Professionals -  Overview'!$G$30)</c:f>
              <c:numCache>
                <c:formatCode>0.0</c:formatCode>
                <c:ptCount val="6"/>
                <c:pt idx="0">
                  <c:v>7.2308339943699718</c:v>
                </c:pt>
                <c:pt idx="1">
                  <c:v>10.367796119316536</c:v>
                </c:pt>
                <c:pt idx="2">
                  <c:v>16.612126206999996</c:v>
                </c:pt>
                <c:pt idx="3">
                  <c:v>8.5460129311517949</c:v>
                </c:pt>
                <c:pt idx="4">
                  <c:v>10.41619924953344</c:v>
                </c:pt>
                <c:pt idx="5">
                  <c:v>10.634593700274348</c:v>
                </c:pt>
              </c:numCache>
              <c:extLst/>
            </c:numRef>
          </c:val>
          <c:extLst>
            <c:ext xmlns:c15="http://schemas.microsoft.com/office/drawing/2012/chart" uri="{02D57815-91ED-43cb-92C2-25804820EDAC}">
              <c15:datalabelsRange>
                <c15:f>'2.Professionals -  Overview'!$G$22:$G$30</c15:f>
                <c15:dlblRangeCache>
                  <c:ptCount val="9"/>
                  <c:pt idx="0">
                    <c:v>7.2</c:v>
                  </c:pt>
                  <c:pt idx="1">
                    <c:v>10.4</c:v>
                  </c:pt>
                  <c:pt idx="2">
                    <c:v>16.6</c:v>
                  </c:pt>
                  <c:pt idx="3">
                    <c:v>8.5</c:v>
                  </c:pt>
                  <c:pt idx="4">
                    <c:v>10.4</c:v>
                  </c:pt>
                  <c:pt idx="6">
                    <c:v>8.9</c:v>
                  </c:pt>
                  <c:pt idx="8">
                    <c:v>10.6</c:v>
                  </c:pt>
                </c15:dlblRangeCache>
              </c15:datalabelsRange>
            </c:ext>
            <c:ext xmlns:c16="http://schemas.microsoft.com/office/drawing/2014/chart" uri="{C3380CC4-5D6E-409C-BE32-E72D297353CC}">
              <c16:uniqueId val="{00000014-C919-4D81-9432-F457B8E5AAF1}"/>
            </c:ext>
          </c:extLst>
        </c:ser>
        <c:ser>
          <c:idx val="5"/>
          <c:order val="5"/>
          <c:tx>
            <c:strRef>
              <c:f>'2.Professionals -  Overview'!$I$21</c:f>
              <c:strCache>
                <c:ptCount val="1"/>
                <c:pt idx="0">
                  <c:v>Non-prosecutor staff</c:v>
                </c:pt>
              </c:strCache>
            </c:strRef>
          </c:tx>
          <c:spPr>
            <a:solidFill>
              <a:schemeClr val="accent6">
                <a:lumMod val="40000"/>
                <a:lumOff val="60000"/>
              </a:schemeClr>
            </a:solidFill>
            <a:ln>
              <a:noFill/>
            </a:ln>
            <a:effectLst/>
          </c:spPr>
          <c:invertIfNegative val="0"/>
          <c:dLbls>
            <c:dLbl>
              <c:idx val="0"/>
              <c:tx>
                <c:rich>
                  <a:bodyPr/>
                  <a:lstStyle/>
                  <a:p>
                    <a:fld id="{32EF6600-59C4-4F59-945B-05C6EEFF2B9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5-C919-4D81-9432-F457B8E5AAF1}"/>
                </c:ext>
              </c:extLst>
            </c:dLbl>
            <c:dLbl>
              <c:idx val="1"/>
              <c:tx>
                <c:rich>
                  <a:bodyPr/>
                  <a:lstStyle/>
                  <a:p>
                    <a:fld id="{A5DD94AF-A509-4474-BFE6-47814AF5253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C919-4D81-9432-F457B8E5AAF1}"/>
                </c:ext>
              </c:extLst>
            </c:dLbl>
            <c:dLbl>
              <c:idx val="2"/>
              <c:tx>
                <c:rich>
                  <a:bodyPr/>
                  <a:lstStyle/>
                  <a:p>
                    <a:fld id="{8BC544A4-269C-4423-A561-94E499E3567F}"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C919-4D81-9432-F457B8E5AAF1}"/>
                </c:ext>
              </c:extLst>
            </c:dLbl>
            <c:dLbl>
              <c:idx val="3"/>
              <c:tx>
                <c:rich>
                  <a:bodyPr/>
                  <a:lstStyle/>
                  <a:p>
                    <a:fld id="{B8346CAC-0C0D-4B96-9F18-0BBEF4E0802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C919-4D81-9432-F457B8E5AAF1}"/>
                </c:ext>
              </c:extLst>
            </c:dLbl>
            <c:dLbl>
              <c:idx val="4"/>
              <c:tx>
                <c:rich>
                  <a:bodyPr/>
                  <a:lstStyle/>
                  <a:p>
                    <a:fld id="{339FA54B-361C-4633-A30C-B6B1661A4FC6}"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C919-4D81-9432-F457B8E5AAF1}"/>
                </c:ext>
              </c:extLst>
            </c:dLbl>
            <c:dLbl>
              <c:idx val="5"/>
              <c:tx>
                <c:rich>
                  <a:bodyPr/>
                  <a:lstStyle/>
                  <a:p>
                    <a:fld id="{7BF7179C-C317-44AB-9238-0B19BBF7F2D1}" type="CELLRANGE">
                      <a:rPr lang="en-GB"/>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A-C919-4D81-9432-F457B8E5AAF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('2.Professionals -  Overview'!$C$22:$C$26,'2.Professionals -  Overview'!$C$30)</c:f>
              <c:strCache>
                <c:ptCount val="6"/>
                <c:pt idx="0">
                  <c:v>Albania</c:v>
                </c:pt>
                <c:pt idx="1">
                  <c:v>Bosnia and Herzegovina</c:v>
                </c:pt>
                <c:pt idx="2">
                  <c:v>Montenegro</c:v>
                </c:pt>
                <c:pt idx="3">
                  <c:v>North Macedonia</c:v>
                </c:pt>
                <c:pt idx="4">
                  <c:v>Serbia</c:v>
                </c:pt>
                <c:pt idx="5">
                  <c:v>WB Average</c:v>
                </c:pt>
              </c:strCache>
              <c:extLst/>
            </c:strRef>
          </c:cat>
          <c:val>
            <c:numRef>
              <c:f>('2.Professionals -  Overview'!$I$22:$I$26,'2.Professionals -  Overview'!$I$30)</c:f>
              <c:numCache>
                <c:formatCode>0.0</c:formatCode>
                <c:ptCount val="6"/>
                <c:pt idx="0">
                  <c:v>21.22715128050195</c:v>
                </c:pt>
                <c:pt idx="1">
                  <c:v>21.720243266724587</c:v>
                </c:pt>
                <c:pt idx="2">
                  <c:v>43.546350251359215</c:v>
                </c:pt>
                <c:pt idx="3">
                  <c:v>20.031418844992746</c:v>
                </c:pt>
                <c:pt idx="4">
                  <c:v>20.905959228230255</c:v>
                </c:pt>
                <c:pt idx="5">
                  <c:v>25.486224574361749</c:v>
                </c:pt>
              </c:numCache>
              <c:extLst/>
            </c:numRef>
          </c:val>
          <c:extLst>
            <c:ext xmlns:c15="http://schemas.microsoft.com/office/drawing/2012/chart" uri="{02D57815-91ED-43cb-92C2-25804820EDAC}">
              <c15:datalabelsRange>
                <c15:f>'2.Professionals -  Overview'!$I$22:$I$30</c15:f>
                <c15:dlblRangeCache>
                  <c:ptCount val="9"/>
                  <c:pt idx="0">
                    <c:v>21.2</c:v>
                  </c:pt>
                  <c:pt idx="1">
                    <c:v>21.7</c:v>
                  </c:pt>
                  <c:pt idx="2">
                    <c:v>43.5</c:v>
                  </c:pt>
                  <c:pt idx="3">
                    <c:v>20.0</c:v>
                  </c:pt>
                  <c:pt idx="4">
                    <c:v>20.9</c:v>
                  </c:pt>
                  <c:pt idx="6">
                    <c:v>36.5</c:v>
                  </c:pt>
                  <c:pt idx="8">
                    <c:v>25.5</c:v>
                  </c:pt>
                </c15:dlblRangeCache>
              </c15:datalabelsRange>
            </c:ext>
            <c:ext xmlns:c16="http://schemas.microsoft.com/office/drawing/2014/chart" uri="{C3380CC4-5D6E-409C-BE32-E72D297353CC}">
              <c16:uniqueId val="{0000001B-C919-4D81-9432-F457B8E5AAF1}"/>
            </c:ext>
          </c:extLst>
        </c:ser>
        <c:dLbls>
          <c:showLegendKey val="0"/>
          <c:showVal val="0"/>
          <c:showCatName val="0"/>
          <c:showSerName val="0"/>
          <c:showPercent val="0"/>
          <c:showBubbleSize val="0"/>
        </c:dLbls>
        <c:gapWidth val="95"/>
        <c:overlap val="100"/>
        <c:axId val="1074576840"/>
        <c:axId val="1074582416"/>
        <c:extLst>
          <c:ext xmlns:c15="http://schemas.microsoft.com/office/drawing/2012/chart" uri="{02D57815-91ED-43cb-92C2-25804820EDAC}">
            <c15:filteredBarSeries>
              <c15:ser>
                <c:idx val="1"/>
                <c:order val="1"/>
                <c:tx>
                  <c:strRef>
                    <c:extLst>
                      <c:ext uri="{02D57815-91ED-43cb-92C2-25804820EDAC}">
                        <c15:formulaRef>
                          <c15:sqref>'2.Professionals -  Overview'!$E$21</c15:sqref>
                        </c15:formulaRef>
                      </c:ext>
                    </c:extLst>
                    <c:strCache>
                      <c:ptCount val="1"/>
                      <c:pt idx="0">
                        <c:v>Court Presidents</c:v>
                      </c:pt>
                    </c:strCache>
                  </c:strRef>
                </c:tx>
                <c:spPr>
                  <a:solidFill>
                    <a:schemeClr val="accent5">
                      <a:shade val="70000"/>
                    </a:schemeClr>
                  </a:solidFill>
                  <a:ln>
                    <a:noFill/>
                  </a:ln>
                  <a:effectLst/>
                </c:spPr>
                <c:invertIfNegative val="0"/>
                <c:cat>
                  <c:strRef>
                    <c:extLst>
                      <c:ext uri="{02D57815-91ED-43cb-92C2-25804820EDAC}">
                        <c15:formulaRef>
                          <c15:sqref>('2.Professionals -  Overview'!$C$22:$C$26,'2.Professionals -  Overview'!$C$30)</c15:sqref>
                        </c15:formulaRef>
                      </c:ext>
                    </c:extLst>
                    <c:strCache>
                      <c:ptCount val="6"/>
                      <c:pt idx="0">
                        <c:v>Albania</c:v>
                      </c:pt>
                      <c:pt idx="1">
                        <c:v>Bosnia and Herzegovina</c:v>
                      </c:pt>
                      <c:pt idx="2">
                        <c:v>Montenegro</c:v>
                      </c:pt>
                      <c:pt idx="3">
                        <c:v>North Macedonia</c:v>
                      </c:pt>
                      <c:pt idx="4">
                        <c:v>Serbia</c:v>
                      </c:pt>
                      <c:pt idx="5">
                        <c:v>WB Average</c:v>
                      </c:pt>
                    </c:strCache>
                  </c:strRef>
                </c:cat>
                <c:val>
                  <c:numRef>
                    <c:extLst>
                      <c:ext uri="{02D57815-91ED-43cb-92C2-25804820EDAC}">
                        <c15:formulaRef>
                          <c15:sqref>('2.Professionals -  Overview'!$E$22:$E$26,'2.Professionals -  Overview'!$E$30)</c15:sqref>
                        </c15:formulaRef>
                      </c:ext>
                    </c:extLst>
                    <c:numCache>
                      <c:formatCode>0.0</c:formatCode>
                      <c:ptCount val="6"/>
                      <c:pt idx="0">
                        <c:v>0.25057345525044455</c:v>
                      </c:pt>
                      <c:pt idx="1">
                        <c:v>2.2733812949640289</c:v>
                      </c:pt>
                      <c:pt idx="2">
                        <c:v>4.0320694677184452</c:v>
                      </c:pt>
                      <c:pt idx="3">
                        <c:v>1.8511329750483607</c:v>
                      </c:pt>
                      <c:pt idx="4">
                        <c:v>2.3138894342132859</c:v>
                      </c:pt>
                      <c:pt idx="5">
                        <c:v>2.1442093254389127</c:v>
                      </c:pt>
                    </c:numCache>
                  </c:numRef>
                </c:val>
                <c:extLst>
                  <c:ext xmlns:c16="http://schemas.microsoft.com/office/drawing/2014/chart" uri="{C3380CC4-5D6E-409C-BE32-E72D297353CC}">
                    <c16:uniqueId val="{0000001C-C919-4D81-9432-F457B8E5AAF1}"/>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'2.Professionals -  Overview'!$H$21</c15:sqref>
                        </c15:formulaRef>
                      </c:ext>
                    </c:extLst>
                    <c:strCache>
                      <c:ptCount val="1"/>
                      <c:pt idx="0">
                        <c:v>Heads of prosecution services</c:v>
                      </c:pt>
                    </c:strCache>
                  </c:strRef>
                </c:tx>
                <c:spPr>
                  <a:solidFill>
                    <a:schemeClr val="accent5">
                      <a:tint val="70000"/>
                    </a:schemeClr>
                  </a:solidFill>
                  <a:ln>
                    <a:noFill/>
                  </a:ln>
                  <a:effectLst/>
                </c:spPr>
                <c:invertIfNegative val="0"/>
                <c:cat>
                  <c:strRef>
                    <c:extLst xmlns:c15="http://schemas.microsoft.com/office/drawing/2012/chart">
                      <c:ext xmlns:c15="http://schemas.microsoft.com/office/drawing/2012/chart" uri="{02D57815-91ED-43cb-92C2-25804820EDAC}">
                        <c15:formulaRef>
                          <c15:sqref>('2.Professionals -  Overview'!$C$22:$C$26,'2.Professionals -  Overview'!$C$30)</c15:sqref>
                        </c15:formulaRef>
                      </c:ext>
                    </c:extLst>
                    <c:strCache>
                      <c:ptCount val="6"/>
                      <c:pt idx="0">
                        <c:v>Albania</c:v>
                      </c:pt>
                      <c:pt idx="1">
                        <c:v>Bosnia and Herzegovina</c:v>
                      </c:pt>
                      <c:pt idx="2">
                        <c:v>Montenegro</c:v>
                      </c:pt>
                      <c:pt idx="3">
                        <c:v>North Macedonia</c:v>
                      </c:pt>
                      <c:pt idx="4">
                        <c:v>Serbia</c:v>
                      </c:pt>
                      <c:pt idx="5">
                        <c:v>WB Average</c:v>
                      </c:pt>
                    </c:strCache>
                  </c:strRef>
                </c:cat>
                <c:val>
                  <c:numRef>
                    <c:extLst xmlns:c15="http://schemas.microsoft.com/office/drawing/2012/chart">
                      <c:ext xmlns:c15="http://schemas.microsoft.com/office/drawing/2012/chart" uri="{02D57815-91ED-43cb-92C2-25804820EDAC}">
                        <c15:formulaRef>
                          <c15:sqref>('2.Professionals -  Overview'!$H$22:$H$26,'2.Professionals -  Overview'!$H$30)</c15:sqref>
                        </c15:formulaRef>
                      </c:ext>
                    </c:extLst>
                    <c:numCache>
                      <c:formatCode>General</c:formatCode>
                      <c:ptCount val="6"/>
                      <c:pt idx="0">
                        <c:v>1.252867276252223</c:v>
                      </c:pt>
                      <c:pt idx="1">
                        <c:v>0.52128583840139009</c:v>
                      </c:pt>
                      <c:pt idx="2">
                        <c:v>2.7418072380485428</c:v>
                      </c:pt>
                      <c:pt idx="3">
                        <c:v>1.2519636778120466</c:v>
                      </c:pt>
                      <c:pt idx="4">
                        <c:v>1.3240931249406918</c:v>
                      </c:pt>
                      <c:pt idx="5">
                        <c:v>1.418403431090979</c:v>
                      </c:pt>
                    </c:numCache>
                  </c:numRef>
                </c:val>
                <c:extLst xmlns:c15="http://schemas.microsoft.com/office/drawing/2012/chart">
                  <c:ext xmlns:c16="http://schemas.microsoft.com/office/drawing/2014/chart" uri="{C3380CC4-5D6E-409C-BE32-E72D297353CC}">
                    <c16:uniqueId val="{0000001D-C919-4D81-9432-F457B8E5AAF1}"/>
                  </c:ext>
                </c:extLst>
              </c15:ser>
            </c15:filteredBarSeries>
          </c:ext>
        </c:extLst>
      </c:barChart>
      <c:catAx>
        <c:axId val="10745768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4582416"/>
        <c:crosses val="autoZero"/>
        <c:auto val="1"/>
        <c:lblAlgn val="ctr"/>
        <c:lblOffset val="100"/>
        <c:noMultiLvlLbl val="0"/>
      </c:catAx>
      <c:valAx>
        <c:axId val="1074582416"/>
        <c:scaling>
          <c:orientation val="minMax"/>
        </c:scaling>
        <c:delete val="0"/>
        <c:axPos val="t"/>
        <c:numFmt formatCode="0" sourceLinked="0"/>
        <c:majorTickMark val="none"/>
        <c:minorTickMark val="none"/>
        <c:tickLblPos val="high"/>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074576840"/>
        <c:crosses val="autoZero"/>
        <c:crossBetween val="between"/>
      </c:valAx>
      <c:spPr>
        <a:noFill/>
        <a:ln>
          <a:noFill/>
        </a:ln>
        <a:effectLst/>
      </c:spPr>
    </c:plotArea>
    <c:legend>
      <c:legendPos val="b"/>
      <c:layout>
        <c:manualLayout>
          <c:xMode val="edge"/>
          <c:yMode val="edge"/>
          <c:x val="0.34096536129107996"/>
          <c:y val="0.12419124230253827"/>
          <c:w val="0.35674375425294058"/>
          <c:h val="4.65331890457215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252456-1376-459C-9457-FB0C8892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56</Pages>
  <Words>18426</Words>
  <Characters>105032</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dc:creator>
  <cp:keywords/>
  <dc:description/>
  <cp:lastModifiedBy>Momir Jaukovic</cp:lastModifiedBy>
  <cp:revision>144</cp:revision>
  <cp:lastPrinted>2023-11-27T07:21:00Z</cp:lastPrinted>
  <dcterms:created xsi:type="dcterms:W3CDTF">2023-12-22T16:27:00Z</dcterms:created>
  <dcterms:modified xsi:type="dcterms:W3CDTF">2024-01-24T06:31:00Z</dcterms:modified>
</cp:coreProperties>
</file>