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711" w:type="dxa"/>
        <w:tblInd w:w="-108" w:type="dxa"/>
        <w:tblBorders>
          <w:top w:val="single" w:color="70AD47" w:themeColor="accent6" w:sz="12" w:space="0"/>
          <w:left w:val="single" w:color="70AD47" w:themeColor="accent6" w:sz="12" w:space="0"/>
          <w:bottom w:val="single" w:color="70AD47" w:themeColor="accent6" w:sz="12" w:space="0"/>
          <w:right w:val="single" w:color="70AD47" w:themeColor="accent6" w:sz="12" w:space="0"/>
          <w:insideH w:val="single" w:color="70AD47" w:themeColor="accent6" w:sz="12" w:space="0"/>
          <w:insideV w:val="single" w:color="70AD47" w:themeColor="accent6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3"/>
        <w:gridCol w:w="10"/>
        <w:gridCol w:w="6638"/>
      </w:tblGrid>
      <w:tr>
        <w:tblPrEx>
          <w:tblBorders>
            <w:top w:val="single" w:color="70AD47" w:themeColor="accent6" w:sz="12" w:space="0"/>
            <w:left w:val="single" w:color="70AD47" w:themeColor="accent6" w:sz="12" w:space="0"/>
            <w:bottom w:val="single" w:color="70AD47" w:themeColor="accent6" w:sz="12" w:space="0"/>
            <w:right w:val="single" w:color="70AD47" w:themeColor="accent6" w:sz="12" w:space="0"/>
            <w:insideH w:val="single" w:color="70AD47" w:themeColor="accent6" w:sz="12" w:space="0"/>
            <w:insideV w:val="single" w:color="70AD47" w:themeColor="accent6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9711" w:type="dxa"/>
            <w:gridSpan w:val="3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FFFF"/>
                <w:sz w:val="28"/>
                <w:szCs w:val="28"/>
                <w:lang w:val="sr-Latn-ME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sz w:val="28"/>
                <w:szCs w:val="28"/>
                <w:lang w:val="sr-Latn-ME"/>
              </w:rPr>
              <w:t>Scenario za čas</w:t>
            </w:r>
          </w:p>
        </w:tc>
      </w:tr>
      <w:tr>
        <w:tblPrEx>
          <w:tblBorders>
            <w:top w:val="single" w:color="70AD47" w:themeColor="accent6" w:sz="12" w:space="0"/>
            <w:left w:val="single" w:color="70AD47" w:themeColor="accent6" w:sz="12" w:space="0"/>
            <w:bottom w:val="single" w:color="70AD47" w:themeColor="accent6" w:sz="12" w:space="0"/>
            <w:right w:val="single" w:color="70AD47" w:themeColor="accent6" w:sz="12" w:space="0"/>
            <w:insideH w:val="single" w:color="70AD47" w:themeColor="accent6" w:sz="12" w:space="0"/>
            <w:insideV w:val="single" w:color="70AD47" w:themeColor="accent6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3073" w:type="dxa"/>
            <w:gridSpan w:val="2"/>
            <w:shd w:val="clear" w:color="auto" w:fill="E2EFD9" w:themeFill="accent6" w:themeFillTint="33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sr-Latn-ME"/>
              </w:rPr>
              <w:t xml:space="preserve">Predmet </w:t>
            </w:r>
          </w:p>
        </w:tc>
        <w:tc>
          <w:tcPr>
            <w:tcW w:w="6638" w:type="dxa"/>
            <w:shd w:val="clear" w:color="auto" w:fill="E2EFD9" w:themeFill="accent6" w:themeFillTint="33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Interdisciplinarna tema: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Fizika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 xml:space="preserve">Hemija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Geografija</w:t>
            </w:r>
          </w:p>
        </w:tc>
      </w:tr>
      <w:tr>
        <w:tblPrEx>
          <w:tblBorders>
            <w:top w:val="single" w:color="70AD47" w:themeColor="accent6" w:sz="12" w:space="0"/>
            <w:left w:val="single" w:color="70AD47" w:themeColor="accent6" w:sz="12" w:space="0"/>
            <w:bottom w:val="single" w:color="70AD47" w:themeColor="accent6" w:sz="12" w:space="0"/>
            <w:right w:val="single" w:color="70AD47" w:themeColor="accent6" w:sz="12" w:space="0"/>
            <w:insideH w:val="single" w:color="70AD47" w:themeColor="accent6" w:sz="12" w:space="0"/>
            <w:insideV w:val="single" w:color="70AD47" w:themeColor="accent6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3073" w:type="dxa"/>
            <w:gridSpan w:val="2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sr-Latn-ME"/>
              </w:rPr>
              <w:t xml:space="preserve">Tema </w:t>
            </w:r>
          </w:p>
        </w:tc>
        <w:tc>
          <w:tcPr>
            <w:tcW w:w="6638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Klimatske promjene</w:t>
            </w:r>
          </w:p>
        </w:tc>
      </w:tr>
      <w:tr>
        <w:tblPrEx>
          <w:tblBorders>
            <w:top w:val="single" w:color="70AD47" w:themeColor="accent6" w:sz="12" w:space="0"/>
            <w:left w:val="single" w:color="70AD47" w:themeColor="accent6" w:sz="12" w:space="0"/>
            <w:bottom w:val="single" w:color="70AD47" w:themeColor="accent6" w:sz="12" w:space="0"/>
            <w:right w:val="single" w:color="70AD47" w:themeColor="accent6" w:sz="12" w:space="0"/>
            <w:insideH w:val="single" w:color="70AD47" w:themeColor="accent6" w:sz="12" w:space="0"/>
            <w:insideV w:val="single" w:color="70AD47" w:themeColor="accent6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063" w:type="dxa"/>
            <w:shd w:val="clear" w:color="auto" w:fill="E2EFD9" w:themeFill="accent6" w:themeFillTint="33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sr-Latn-ME"/>
              </w:rPr>
              <w:t xml:space="preserve">Uzrast učenika </w:t>
            </w:r>
          </w:p>
        </w:tc>
        <w:tc>
          <w:tcPr>
            <w:tcW w:w="6648" w:type="dxa"/>
            <w:gridSpan w:val="2"/>
            <w:shd w:val="clear" w:color="auto" w:fill="E2EFD9" w:themeFill="accent6" w:themeFillTint="33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sr-Latn-ME"/>
              </w:rPr>
            </w:pPr>
            <w:r>
              <w:rPr>
                <w:rFonts w:ascii="Calibri" w:hAnsi="Calibri" w:cs="Calibri"/>
                <w:color w:val="000000"/>
                <w:lang w:val="sr-Latn-ME"/>
              </w:rPr>
              <w:t>11-14 godina</w:t>
            </w:r>
          </w:p>
        </w:tc>
      </w:tr>
      <w:tr>
        <w:tblPrEx>
          <w:tblBorders>
            <w:top w:val="single" w:color="70AD47" w:themeColor="accent6" w:sz="12" w:space="0"/>
            <w:left w:val="single" w:color="70AD47" w:themeColor="accent6" w:sz="12" w:space="0"/>
            <w:bottom w:val="single" w:color="70AD47" w:themeColor="accent6" w:sz="12" w:space="0"/>
            <w:right w:val="single" w:color="70AD47" w:themeColor="accent6" w:sz="12" w:space="0"/>
            <w:insideH w:val="single" w:color="70AD47" w:themeColor="accent6" w:sz="12" w:space="0"/>
            <w:insideV w:val="single" w:color="70AD47" w:themeColor="accent6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063" w:type="dxa"/>
            <w:shd w:val="clear" w:color="auto" w:fill="E2EFD9" w:themeFill="accent6" w:themeFillTint="33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sr-Latn-ME"/>
              </w:rPr>
              <w:t>Vrijeme nastave</w:t>
            </w:r>
          </w:p>
        </w:tc>
        <w:tc>
          <w:tcPr>
            <w:tcW w:w="6648" w:type="dxa"/>
            <w:gridSpan w:val="2"/>
            <w:shd w:val="clear" w:color="auto" w:fill="E2EFD9" w:themeFill="accent6" w:themeFillTint="33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sr-Latn-ME"/>
              </w:rPr>
              <w:t>1 čas</w:t>
            </w:r>
          </w:p>
        </w:tc>
      </w:tr>
      <w:tr>
        <w:tblPrEx>
          <w:tblBorders>
            <w:top w:val="single" w:color="70AD47" w:themeColor="accent6" w:sz="12" w:space="0"/>
            <w:left w:val="single" w:color="70AD47" w:themeColor="accent6" w:sz="12" w:space="0"/>
            <w:bottom w:val="single" w:color="70AD47" w:themeColor="accent6" w:sz="12" w:space="0"/>
            <w:right w:val="single" w:color="70AD47" w:themeColor="accent6" w:sz="12" w:space="0"/>
            <w:insideH w:val="single" w:color="70AD47" w:themeColor="accent6" w:sz="12" w:space="0"/>
            <w:insideV w:val="single" w:color="70AD47" w:themeColor="accent6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063" w:type="dxa"/>
            <w:shd w:val="clear" w:color="auto" w:fill="E2EFD9" w:themeFill="accent6" w:themeFillTint="33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sr-Latn-ME"/>
              </w:rPr>
              <w:t>Vrijeme potrebno za pripremu</w:t>
            </w:r>
          </w:p>
        </w:tc>
        <w:tc>
          <w:tcPr>
            <w:tcW w:w="6648" w:type="dxa"/>
            <w:gridSpan w:val="2"/>
            <w:shd w:val="clear" w:color="auto" w:fill="E2EFD9" w:themeFill="accent6" w:themeFillTint="33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sr-Latn-ME"/>
              </w:rPr>
              <w:t>120 minuta</w:t>
            </w:r>
          </w:p>
        </w:tc>
      </w:tr>
      <w:tr>
        <w:tblPrEx>
          <w:tblBorders>
            <w:top w:val="single" w:color="70AD47" w:themeColor="accent6" w:sz="12" w:space="0"/>
            <w:left w:val="single" w:color="70AD47" w:themeColor="accent6" w:sz="12" w:space="0"/>
            <w:bottom w:val="single" w:color="70AD47" w:themeColor="accent6" w:sz="12" w:space="0"/>
            <w:right w:val="single" w:color="70AD47" w:themeColor="accent6" w:sz="12" w:space="0"/>
            <w:insideH w:val="single" w:color="70AD47" w:themeColor="accent6" w:sz="12" w:space="0"/>
            <w:insideV w:val="single" w:color="70AD47" w:themeColor="accent6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73" w:type="dxa"/>
            <w:gridSpan w:val="2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sr-Latn-ME"/>
              </w:rPr>
              <w:t>Nastavni materijali</w:t>
            </w:r>
          </w:p>
        </w:tc>
        <w:tc>
          <w:tcPr>
            <w:tcW w:w="6638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 xml:space="preserve">Padlet, mobilni telefoni, računar i projektor, Petko, 3D štampač, </w:t>
            </w:r>
          </w:p>
        </w:tc>
      </w:tr>
      <w:tr>
        <w:tblPrEx>
          <w:tblBorders>
            <w:top w:val="single" w:color="70AD47" w:themeColor="accent6" w:sz="12" w:space="0"/>
            <w:left w:val="single" w:color="70AD47" w:themeColor="accent6" w:sz="12" w:space="0"/>
            <w:bottom w:val="single" w:color="70AD47" w:themeColor="accent6" w:sz="12" w:space="0"/>
            <w:right w:val="single" w:color="70AD47" w:themeColor="accent6" w:sz="12" w:space="0"/>
            <w:insideH w:val="single" w:color="70AD47" w:themeColor="accent6" w:sz="12" w:space="0"/>
            <w:insideV w:val="single" w:color="70AD47" w:themeColor="accent6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3073" w:type="dxa"/>
            <w:gridSpan w:val="2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sr-Latn-ME"/>
              </w:rPr>
              <w:t>Korišćeni resursi</w:t>
            </w:r>
          </w:p>
        </w:tc>
        <w:tc>
          <w:tcPr>
            <w:tcW w:w="6638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sr-Latn-ME"/>
              </w:rPr>
            </w:pPr>
            <w:r>
              <w:fldChar w:fldCharType="begin"/>
            </w:r>
            <w:r>
              <w:instrText xml:space="preserve"> HYPERLINK "https://www.youtube.com/watch?v=tykLKCT7DyY" </w:instrText>
            </w:r>
            <w:r>
              <w:fldChar w:fldCharType="separate"/>
            </w:r>
            <w:r>
              <w:rPr>
                <w:rStyle w:val="8"/>
                <w:rFonts w:ascii="Calibri" w:hAnsi="Calibri" w:cs="Calibri"/>
                <w:lang w:val="sr-Latn-ME"/>
              </w:rPr>
              <w:t>https://www.youtube.com/watch?v=tykLKCT7DyY</w:t>
            </w:r>
            <w:r>
              <w:rPr>
                <w:rStyle w:val="8"/>
                <w:rFonts w:ascii="Calibri" w:hAnsi="Calibri" w:cs="Calibri"/>
                <w:lang w:val="sr-Latn-ME"/>
              </w:rPr>
              <w:fldChar w:fldCharType="end"/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"https://www.youtube.com/watch?v=sVtjRKOGgUE&amp;t=85s" </w:instrText>
            </w:r>
            <w:r>
              <w:fldChar w:fldCharType="separate"/>
            </w:r>
            <w:r>
              <w:rPr>
                <w:rStyle w:val="8"/>
                <w:bCs/>
                <w:lang w:val="sr-Latn-ME"/>
              </w:rPr>
              <w:t>https://www.youtube.com/watch?v=sVtjRKOGgUE&amp;t=85s</w:t>
            </w:r>
            <w:r>
              <w:rPr>
                <w:rStyle w:val="8"/>
                <w:bCs/>
                <w:lang w:val="sr-Latn-ME"/>
              </w:rPr>
              <w:fldChar w:fldCharType="end"/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sr-Latn-ME"/>
              </w:rPr>
            </w:pPr>
            <w:r>
              <w:rPr>
                <w:rFonts w:ascii="Calibri" w:hAnsi="Calibri" w:cs="Calibri"/>
                <w:color w:val="000000"/>
                <w:lang w:val="sr-Latn-ME"/>
              </w:rPr>
              <w:t xml:space="preserve">zeleni paket </w:t>
            </w:r>
          </w:p>
        </w:tc>
      </w:tr>
    </w:tbl>
    <w:p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i/>
          <w:iCs/>
          <w:color w:val="000000"/>
          <w:highlight w:val="green"/>
          <w:lang w:val="sr-Latn-ME"/>
        </w:rPr>
      </w:pPr>
      <w:r>
        <w:rPr>
          <w:rFonts w:ascii="Calibri" w:hAnsi="Calibri" w:cs="Calibri"/>
          <w:i/>
          <w:iCs/>
          <w:color w:val="000000"/>
          <w:highlight w:val="green"/>
          <w:lang w:val="sr-Latn-ME"/>
        </w:rPr>
        <w:t>Ishodi učenja: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i/>
          <w:iCs/>
          <w:color w:val="000000"/>
          <w:lang w:val="sr-Latn-ME"/>
        </w:rPr>
        <w:t>• Razumiju šta su klimatske promjene,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i/>
          <w:iCs/>
          <w:color w:val="000000"/>
          <w:lang w:val="sr-Latn-ME"/>
        </w:rPr>
        <w:t>• Razumiju šta uzrokuje klimatske promjene,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i/>
          <w:iCs/>
          <w:color w:val="000000"/>
          <w:lang w:val="sr-Latn-ME"/>
        </w:rPr>
        <w:t>• Istražuju primjere klimatskih promjena u svom okruženju,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i/>
          <w:iCs/>
          <w:color w:val="000000"/>
          <w:lang w:val="sr-Latn-ME"/>
        </w:rPr>
        <w:t>• Pronalaze  rješenja za smanjenje negativnih posledica klimatskih promjena,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i/>
          <w:iCs/>
          <w:color w:val="000000"/>
          <w:lang w:val="sr-Latn-ME"/>
        </w:rPr>
        <w:t>• Promovišu cirkularnu ekonomiju i princip 5R.</w:t>
      </w:r>
    </w:p>
    <w:p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i/>
          <w:iCs/>
          <w:color w:val="000000"/>
          <w:highlight w:val="green"/>
          <w:lang w:val="sr-Latn-ME"/>
        </w:rPr>
      </w:pPr>
      <w:r>
        <w:rPr>
          <w:rFonts w:ascii="Calibri" w:hAnsi="Calibri" w:cs="Calibri"/>
          <w:i/>
          <w:iCs/>
          <w:color w:val="000000"/>
          <w:highlight w:val="green"/>
          <w:lang w:val="sr-Latn-ME"/>
        </w:rPr>
        <w:t>Metode: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b/>
          <w:i/>
          <w:iCs/>
          <w:color w:val="000000"/>
          <w:lang w:val="sr-Latn-ME"/>
        </w:rPr>
        <w:t>Aktivno učenje:</w:t>
      </w:r>
      <w:r>
        <w:rPr>
          <w:rFonts w:ascii="Calibri" w:hAnsi="Calibri" w:cs="Calibri"/>
          <w:i/>
          <w:iCs/>
          <w:color w:val="000000"/>
          <w:lang w:val="sr-Latn-ME"/>
        </w:rPr>
        <w:t xml:space="preserve"> Učenici su aktivno uključeni u nastavu kroz diskusije, rješavanje problema, učenje na otvorenom.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b/>
          <w:i/>
          <w:iCs/>
          <w:color w:val="000000"/>
          <w:lang w:val="sr-Latn-ME"/>
        </w:rPr>
        <w:t>Učenje zasnovano na projektu:</w:t>
      </w:r>
      <w:r>
        <w:rPr>
          <w:rFonts w:ascii="Calibri" w:hAnsi="Calibri" w:cs="Calibri"/>
          <w:i/>
          <w:iCs/>
          <w:color w:val="000000"/>
          <w:lang w:val="sr-Latn-ME"/>
        </w:rPr>
        <w:t xml:space="preserve"> Učenici se suočavaju sa problemima iz svoje okoline  koje trebaju riješiti.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b/>
          <w:i/>
          <w:iCs/>
          <w:color w:val="000000"/>
          <w:lang w:val="sr-Latn-ME"/>
        </w:rPr>
        <w:t>Obrazovanje na otvorenom</w:t>
      </w:r>
      <w:r>
        <w:rPr>
          <w:rFonts w:ascii="Calibri" w:hAnsi="Calibri" w:cs="Calibri"/>
          <w:i/>
          <w:iCs/>
          <w:color w:val="000000"/>
          <w:lang w:val="sr-Latn-ME"/>
        </w:rPr>
        <w:t>: Učenje van škole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b/>
          <w:i/>
          <w:iCs/>
          <w:color w:val="000000"/>
          <w:lang w:val="sr-Latn-ME"/>
        </w:rPr>
        <w:t>Učenje vršnjaka</w:t>
      </w:r>
      <w:r>
        <w:rPr>
          <w:rFonts w:ascii="Calibri" w:hAnsi="Calibri" w:cs="Calibri"/>
          <w:i/>
          <w:iCs/>
          <w:color w:val="000000"/>
          <w:lang w:val="sr-Latn-ME"/>
        </w:rPr>
        <w:t>: Učenici uče od svojih vršnjaka i daju konstruktivne povratne informacije.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b/>
          <w:i/>
          <w:iCs/>
          <w:color w:val="000000"/>
          <w:lang w:val="sr-Latn-ME"/>
        </w:rPr>
        <w:t>STEM učenje:</w:t>
      </w:r>
      <w:r>
        <w:rPr>
          <w:rFonts w:ascii="Calibri" w:hAnsi="Calibri" w:cs="Calibri"/>
          <w:i/>
          <w:iCs/>
          <w:color w:val="000000"/>
          <w:lang w:val="sr-Latn-ME"/>
        </w:rPr>
        <w:t xml:space="preserve"> Fokus na nauku, tehnologiju, inženjering i matematiku.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b/>
          <w:i/>
          <w:iCs/>
          <w:color w:val="000000"/>
          <w:lang w:val="sr-Latn-ME"/>
        </w:rPr>
        <w:t>Kolaborativno učenje</w:t>
      </w:r>
      <w:r>
        <w:rPr>
          <w:rFonts w:ascii="Calibri" w:hAnsi="Calibri" w:cs="Calibri"/>
          <w:i/>
          <w:iCs/>
          <w:color w:val="000000"/>
          <w:lang w:val="sr-Latn-ME"/>
        </w:rPr>
        <w:t>: fokus na grupni rad i interakciju.</w:t>
      </w:r>
    </w:p>
    <w:p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i/>
          <w:iCs/>
          <w:color w:val="000000"/>
          <w:highlight w:val="green"/>
          <w:lang w:val="sr-Latn-ME"/>
        </w:rPr>
        <w:t>Veštine i21. veka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b/>
          <w:i/>
          <w:iCs/>
          <w:color w:val="000000"/>
          <w:lang w:val="sr-Latn-ME"/>
        </w:rPr>
        <w:t>Kreativnost:</w:t>
      </w:r>
      <w:r>
        <w:rPr>
          <w:rFonts w:ascii="Calibri" w:hAnsi="Calibri" w:cs="Calibri"/>
          <w:i/>
          <w:iCs/>
          <w:color w:val="000000"/>
          <w:lang w:val="sr-Latn-ME"/>
        </w:rPr>
        <w:t xml:space="preserve"> kreirajući video zapise učenici razvijaju kreativnost.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b/>
          <w:i/>
          <w:iCs/>
          <w:color w:val="000000"/>
          <w:lang w:val="sr-Latn-ME"/>
        </w:rPr>
        <w:t>Saradnja:</w:t>
      </w:r>
      <w:r>
        <w:rPr>
          <w:rFonts w:ascii="Calibri" w:hAnsi="Calibri" w:cs="Calibri"/>
          <w:i/>
          <w:iCs/>
          <w:color w:val="000000"/>
          <w:lang w:val="sr-Latn-ME"/>
        </w:rPr>
        <w:t xml:space="preserve"> radeći u manjnim grupama (po 3–4 učenika), učenici mogu da nauče kako da rade zajedno, razmjenjuju ideje i uče jedni od drugih.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b/>
          <w:i/>
          <w:iCs/>
          <w:color w:val="000000"/>
          <w:lang w:val="sr-Latn-ME"/>
        </w:rPr>
        <w:t>Komunikacija:</w:t>
      </w:r>
      <w:r>
        <w:rPr>
          <w:rFonts w:ascii="Calibri" w:hAnsi="Calibri" w:cs="Calibri"/>
          <w:i/>
          <w:iCs/>
          <w:color w:val="000000"/>
          <w:lang w:val="sr-Latn-ME"/>
        </w:rPr>
        <w:t xml:space="preserve"> učenici mogu unaprijediti svoje komunikacijske veštine tako što će svoje zaključke predstaviti svojim drugovima iz razreda (i lokalnoj zajednici) na uspešan način.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b/>
          <w:i/>
          <w:iCs/>
          <w:color w:val="000000"/>
          <w:lang w:val="sr-Latn-ME"/>
        </w:rPr>
        <w:t>Rešavanje problema:</w:t>
      </w:r>
      <w:r>
        <w:rPr>
          <w:rFonts w:ascii="Calibri" w:hAnsi="Calibri" w:cs="Calibri"/>
          <w:i/>
          <w:iCs/>
          <w:color w:val="000000"/>
          <w:lang w:val="sr-Latn-ME"/>
        </w:rPr>
        <w:t xml:space="preserve"> učenici će se suočiti sa problemom iz stvarnog života i razviti sposobnost pronalaženja rešenja.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b/>
          <w:i/>
          <w:iCs/>
          <w:color w:val="000000"/>
          <w:lang w:val="sr-Latn-ME"/>
        </w:rPr>
        <w:t>Digitalna pismenost:</w:t>
      </w:r>
      <w:r>
        <w:rPr>
          <w:rFonts w:ascii="Calibri" w:hAnsi="Calibri" w:cs="Calibri"/>
          <w:i/>
          <w:iCs/>
          <w:color w:val="000000"/>
          <w:lang w:val="sr-Latn-ME"/>
        </w:rPr>
        <w:t xml:space="preserve"> Učenici će naučiti da koriste onlajn alate i kreiraju video poruke.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b/>
          <w:i/>
          <w:iCs/>
          <w:color w:val="000000"/>
          <w:lang w:val="sr-Latn-ME"/>
        </w:rPr>
        <w:t>Liderstvo i odgovornosti</w:t>
      </w:r>
      <w:r>
        <w:rPr>
          <w:rFonts w:ascii="Calibri" w:hAnsi="Calibri" w:cs="Calibri"/>
          <w:i/>
          <w:iCs/>
          <w:color w:val="000000"/>
          <w:lang w:val="sr-Latn-ME"/>
        </w:rPr>
        <w:t xml:space="preserve">: Učenici će razviti sposobnost da usmeravaju i motivišu jedni druge. 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highlight w:val="green"/>
          <w:lang w:val="sr-Latn-ME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highlight w:val="green"/>
          <w:lang w:val="sr-Latn-ME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highlight w:val="green"/>
          <w:lang w:val="sr-Latn-ME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highlight w:val="green"/>
          <w:lang w:val="sr-Latn-ME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highlight w:val="green"/>
          <w:lang w:val="sr-Latn-ME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highlight w:val="green"/>
          <w:lang w:val="sr-Latn-ME"/>
        </w:rPr>
      </w:pPr>
      <w:r>
        <w:rPr>
          <w:rFonts w:ascii="Calibri" w:hAnsi="Calibri" w:cs="Calibri"/>
          <w:i/>
          <w:iCs/>
          <w:color w:val="000000"/>
          <w:highlight w:val="green"/>
          <w:lang w:val="sr-Latn-ME"/>
        </w:rPr>
        <w:t>Scenario časa</w:t>
      </w:r>
    </w:p>
    <w:tbl>
      <w:tblPr>
        <w:tblStyle w:val="10"/>
        <w:tblW w:w="9621" w:type="dxa"/>
        <w:tblInd w:w="0" w:type="dxa"/>
        <w:tblBorders>
          <w:top w:val="single" w:color="70AD47" w:themeColor="accent6" w:sz="12" w:space="0"/>
          <w:left w:val="single" w:color="70AD47" w:themeColor="accent6" w:sz="12" w:space="0"/>
          <w:bottom w:val="single" w:color="70AD47" w:themeColor="accent6" w:sz="12" w:space="0"/>
          <w:right w:val="single" w:color="70AD47" w:themeColor="accent6" w:sz="12" w:space="0"/>
          <w:insideH w:val="single" w:color="70AD47" w:themeColor="accent6" w:sz="12" w:space="0"/>
          <w:insideV w:val="single" w:color="70AD47" w:themeColor="accent6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7110"/>
        <w:gridCol w:w="996"/>
      </w:tblGrid>
      <w:tr>
        <w:tblPrEx>
          <w:tblBorders>
            <w:top w:val="single" w:color="70AD47" w:themeColor="accent6" w:sz="12" w:space="0"/>
            <w:left w:val="single" w:color="70AD47" w:themeColor="accent6" w:sz="12" w:space="0"/>
            <w:bottom w:val="single" w:color="70AD47" w:themeColor="accent6" w:sz="12" w:space="0"/>
            <w:right w:val="single" w:color="70AD47" w:themeColor="accent6" w:sz="12" w:space="0"/>
            <w:insideH w:val="single" w:color="70AD47" w:themeColor="accent6" w:sz="12" w:space="0"/>
            <w:insideV w:val="single" w:color="70AD47" w:themeColor="accent6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15" w:type="dxa"/>
            <w:shd w:val="clear" w:color="auto" w:fill="A8D08D" w:themeFill="accent6" w:themeFillTint="99"/>
            <w:vAlign w:val="center"/>
          </w:tcPr>
          <w:p>
            <w:pPr>
              <w:spacing w:after="0" w:line="240" w:lineRule="auto"/>
              <w:jc w:val="center"/>
              <w:rPr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Naziv aktivnosti</w:t>
            </w:r>
          </w:p>
        </w:tc>
        <w:tc>
          <w:tcPr>
            <w:tcW w:w="7110" w:type="dxa"/>
            <w:shd w:val="clear" w:color="auto" w:fill="A8D08D" w:themeFill="accent6" w:themeFillTint="99"/>
            <w:vAlign w:val="center"/>
          </w:tcPr>
          <w:p>
            <w:pPr>
              <w:spacing w:after="0" w:line="240" w:lineRule="auto"/>
              <w:jc w:val="center"/>
              <w:rPr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Postupak</w:t>
            </w:r>
          </w:p>
        </w:tc>
        <w:tc>
          <w:tcPr>
            <w:tcW w:w="996" w:type="dxa"/>
            <w:shd w:val="clear" w:color="auto" w:fill="A8D08D" w:themeFill="accent6" w:themeFillTint="99"/>
            <w:vAlign w:val="center"/>
          </w:tcPr>
          <w:p>
            <w:pPr>
              <w:spacing w:after="0" w:line="240" w:lineRule="auto"/>
              <w:jc w:val="center"/>
              <w:rPr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Trajanje</w:t>
            </w:r>
          </w:p>
        </w:tc>
      </w:tr>
      <w:tr>
        <w:tblPrEx>
          <w:tblBorders>
            <w:top w:val="single" w:color="70AD47" w:themeColor="accent6" w:sz="12" w:space="0"/>
            <w:left w:val="single" w:color="70AD47" w:themeColor="accent6" w:sz="12" w:space="0"/>
            <w:bottom w:val="single" w:color="70AD47" w:themeColor="accent6" w:sz="12" w:space="0"/>
            <w:right w:val="single" w:color="70AD47" w:themeColor="accent6" w:sz="12" w:space="0"/>
            <w:insideH w:val="single" w:color="70AD47" w:themeColor="accent6" w:sz="12" w:space="0"/>
            <w:insideV w:val="single" w:color="70AD47" w:themeColor="accent6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51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Brainstorming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 xml:space="preserve">Padlet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Animirani film</w:t>
            </w:r>
            <w:r>
              <w:rPr>
                <w:b/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Padlet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Informativni list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 xml:space="preserve">Diskusija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Drvo problema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 xml:space="preserve">Video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 xml:space="preserve">Timovi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Domaći zadatak: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Istraživanje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Terenski rad</w:t>
            </w:r>
          </w:p>
        </w:tc>
        <w:tc>
          <w:tcPr>
            <w:tcW w:w="7110" w:type="dxa"/>
          </w:tcPr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 xml:space="preserve">Na mobilnim telefonima učenici koriste </w:t>
            </w:r>
            <w:r>
              <w:rPr>
                <w:bCs/>
                <w:i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Padlet</w:t>
            </w: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 xml:space="preserve"> i zapisuju asocijacije na temu klimatskih promjena. </w:t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Calibri" w:hAnsi="Calibri" w:cs="Calibri"/>
                <w:lang w:val="sr-Latn-ME"/>
              </w:rPr>
            </w:pPr>
            <w:r>
              <w:rPr>
                <w:b/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Gledaju posebno prilagođen</w:t>
            </w: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animirani film</w:t>
            </w: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 xml:space="preserve"> Climate Change For Kids - Global Warming </w:t>
            </w:r>
            <w:r>
              <w:fldChar w:fldCharType="begin"/>
            </w:r>
            <w:r>
              <w:instrText xml:space="preserve"> HYPERLINK "https://www.youtube.com/watch?v=tykLKCT7DyY" </w:instrText>
            </w:r>
            <w:r>
              <w:fldChar w:fldCharType="separate"/>
            </w:r>
            <w:r>
              <w:rPr>
                <w:rStyle w:val="8"/>
                <w:rFonts w:ascii="Calibri" w:hAnsi="Calibri" w:cs="Calibri"/>
                <w:lang w:val="sr-Latn-ME"/>
              </w:rPr>
              <w:t>https://www.youtube.com/watch?v=tykLKCT7DyY</w:t>
            </w:r>
            <w:r>
              <w:rPr>
                <w:rStyle w:val="8"/>
                <w:rFonts w:ascii="Calibri" w:hAnsi="Calibri" w:cs="Calibri"/>
                <w:lang w:val="sr-Latn-ME"/>
              </w:rPr>
              <w:fldChar w:fldCharType="end"/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 xml:space="preserve">Nastavnice učenike usmjeravaju na šta posebno treba da usmjere pažnju tokom gledanja filma i da će se naredna aktivnost nadovezati na sadržaje koje su imali priliku da vide u filmu. </w:t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Na mobilnom telefonu koriste Padlet i dopune tablu novim informacijama o klimatskim promjenama.</w:t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Čitaju informativni list i sagledavaju uticaj klimatskih promjena na kvalitet života. (Zeleni paket)</w:t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 xml:space="preserve">Diskutuju o uzrocima i posljedicama klimatskih promjena. </w:t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Uočavaju djelovanja čovjeka u njihovoj okolini koja štetno djeluju na klimatske promjene.</w:t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Prave drvo problema ističući uzroke, posljedice i rješenja.</w:t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Predlažu šta oni kao pojedinci u svojoj lokalnoj zajednici mogu uradi da smanje efekte klimatskih promjena.</w:t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Gledaju video materijal pomoću kojeg upoznaju princip 5R kao moguće načine u borbi protiv klimatskih promjena.</w:t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"https://www.youtube.com/watch?v=sVtjRKOGgUE&amp;t=85s" </w:instrText>
            </w:r>
            <w:r>
              <w:fldChar w:fldCharType="separate"/>
            </w:r>
            <w:r>
              <w:rPr>
                <w:rStyle w:val="8"/>
                <w:bCs/>
                <w:lang w:val="sr-Latn-ME"/>
              </w:rPr>
              <w:t>https://www.youtube.com/watch?v=sVtjRKOGgUE&amp;t=85s</w:t>
            </w:r>
            <w:r>
              <w:rPr>
                <w:rStyle w:val="8"/>
                <w:bCs/>
                <w:lang w:val="sr-Latn-ME"/>
              </w:rPr>
              <w:fldChar w:fldCharType="end"/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Nastavnica dijeli učenike u 5 timova, slučajnim uzorkom. Učenici sami delegiraju predstavnika na nivou grupe.</w:t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Nazivi timova su jedno R (</w:t>
            </w:r>
            <w:r>
              <w:rPr>
                <w:bCs/>
                <w:i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Reduce, Reuse, Recycle, Recover, Repair</w:t>
            </w: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). Naziv tima je način na koji će tim rješavati problem sa otpadom u svom naselju.</w:t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 xml:space="preserve">Svaki tim ima zadatak da istraži probleme sa otpadom u svom naselju. Nakon što osmisle ideju koju žele da prikažu, prave fotografije i snimke i osmisle slogan (tekst). Tim </w:t>
            </w:r>
            <w:r>
              <w:rPr>
                <w:bCs/>
                <w:i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Recycle</w:t>
            </w: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 xml:space="preserve"> u svom videu treba da predstavi uređaj Petko i 3D štampač. Od prikupljenog materijala kreiraju video poruke i pokreću kampanju: STOP KLIMATSKIM PROMJENAMA. Video poruka treba da bude do 40s.</w:t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Kampanju voditi preko društvenih mreža. U kampanju uključiti i lokalne medije.</w:t>
            </w:r>
          </w:p>
          <w:p>
            <w:pPr>
              <w:pStyle w:val="9"/>
              <w:shd w:val="clear" w:color="auto" w:fill="FFFFFF"/>
              <w:spacing w:before="0" w:beforeAutospacing="0" w:after="0" w:afterAutospacing="0" w:line="276" w:lineRule="auto"/>
              <w:ind w:left="72"/>
              <w:jc w:val="both"/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lang w:val="sr-Latn-ME"/>
                <w14:textFill>
                  <w14:solidFill>
                    <w14:schemeClr w14:val="tx1"/>
                  </w14:solidFill>
                </w14:textFill>
              </w:rPr>
              <w:t>U okviru kampanje u školskom dvorištu postaviti kontejnere za selektivno odlaganje otpada. Plastične boce preraditi u trake za 3D štampač, pomoću uređaja Petko. Materijal se može koristiti za štampanje nakita za novodišnji Bazar.</w:t>
            </w:r>
          </w:p>
        </w:tc>
        <w:tc>
          <w:tcPr>
            <w:tcW w:w="996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5 min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10  min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5 min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10 min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10 min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sr-Latn-ME"/>
              </w:rPr>
              <w:t>5 min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lang w:val="sr-Latn-ME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highlight w:val="green"/>
          <w:lang w:val="sr-Latn-ME"/>
        </w:rPr>
      </w:pPr>
      <w:r>
        <w:rPr>
          <w:rFonts w:ascii="Calibri" w:hAnsi="Calibri" w:cs="Calibri"/>
          <w:i/>
          <w:iCs/>
          <w:color w:val="000000"/>
          <w:highlight w:val="green"/>
          <w:lang w:val="sr-Latn-ME"/>
        </w:rPr>
        <w:t>Očekivani rezultati: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i/>
          <w:iCs/>
          <w:color w:val="000000"/>
          <w:lang w:val="sr-Latn-ME"/>
        </w:rPr>
        <w:t xml:space="preserve">Popunjena tabla na Padletu. 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i/>
          <w:iCs/>
          <w:color w:val="000000"/>
          <w:lang w:val="sr-Latn-ME"/>
        </w:rPr>
        <w:t>Urađeno drvo problema.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i/>
          <w:iCs/>
          <w:color w:val="000000"/>
          <w:lang w:val="sr-Latn-ME"/>
        </w:rPr>
        <w:t>Kreirane video poruke.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i/>
          <w:iCs/>
          <w:color w:val="000000"/>
          <w:lang w:val="sr-Latn-ME"/>
        </w:rPr>
        <w:t>Postavljeni kontejneri.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i/>
          <w:iCs/>
          <w:color w:val="000000"/>
          <w:lang w:val="sr-Latn-ME"/>
        </w:rPr>
        <w:t>Prikupljena plastična ambalaža.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i/>
          <w:iCs/>
          <w:color w:val="000000"/>
          <w:lang w:val="sr-Latn-ME"/>
        </w:rPr>
        <w:t>Izrađen nakit na 3D štampaču.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highlight w:val="green"/>
          <w:lang w:val="sr-Latn-ME"/>
        </w:rPr>
      </w:pPr>
      <w:r>
        <w:rPr>
          <w:rFonts w:ascii="Calibri" w:hAnsi="Calibri" w:cs="Calibri"/>
          <w:i/>
          <w:iCs/>
          <w:color w:val="000000"/>
          <w:highlight w:val="green"/>
          <w:lang w:val="sr-Latn-ME"/>
        </w:rPr>
        <w:t>Opis sistema vrednovanja: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  <w:r>
        <w:rPr>
          <w:rFonts w:ascii="Calibri" w:hAnsi="Calibri" w:cs="Calibri"/>
          <w:i/>
          <w:iCs/>
          <w:color w:val="000000"/>
          <w:lang w:val="sr-Latn-ME"/>
        </w:rPr>
        <w:t>Kvalitet video poruka.</w:t>
      </w: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lang w:val="sr-Latn-ME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highlight w:val="green"/>
          <w:lang w:val="sr-Latn-ME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lang w:val="sr-Latn-ME"/>
        </w:rPr>
      </w:pPr>
      <w:r>
        <w:rPr>
          <w:rFonts w:ascii="Calibri" w:hAnsi="Calibri" w:cs="Calibri"/>
          <w:color w:val="FFFFFF"/>
          <w:lang w:val="sr-Latn-ME"/>
        </w:rPr>
        <w:t>://www.youtube.c</w:t>
      </w:r>
      <w:r>
        <w:drawing>
          <wp:inline distT="0" distB="0" distL="0" distR="0">
            <wp:extent cx="4842510" cy="8216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rcRect l="36325" t="11653" r="36467" b="6274"/>
                    <a:stretch>
                      <a:fillRect/>
                    </a:stretch>
                  </pic:blipFill>
                  <pic:spPr>
                    <a:xfrm>
                      <a:off x="0" y="0"/>
                      <a:ext cx="4842933" cy="821731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FFFFFF"/>
          <w:lang w:val="sr-Latn-ME"/>
        </w:rPr>
        <w:t>ch?v=tykLKCT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4E7"/>
    <w:rsid w:val="00003912"/>
    <w:rsid w:val="000704E7"/>
    <w:rsid w:val="000729FB"/>
    <w:rsid w:val="000E22A1"/>
    <w:rsid w:val="000E6D3A"/>
    <w:rsid w:val="00222033"/>
    <w:rsid w:val="003065E7"/>
    <w:rsid w:val="0034086E"/>
    <w:rsid w:val="00374E87"/>
    <w:rsid w:val="00437D31"/>
    <w:rsid w:val="00463D47"/>
    <w:rsid w:val="00494F73"/>
    <w:rsid w:val="004E1B92"/>
    <w:rsid w:val="00547220"/>
    <w:rsid w:val="006033C9"/>
    <w:rsid w:val="006B0F25"/>
    <w:rsid w:val="00723750"/>
    <w:rsid w:val="00827BBA"/>
    <w:rsid w:val="00852C87"/>
    <w:rsid w:val="00895A66"/>
    <w:rsid w:val="008C1B8A"/>
    <w:rsid w:val="0099704D"/>
    <w:rsid w:val="00A961F5"/>
    <w:rsid w:val="00C4288E"/>
    <w:rsid w:val="00C66522"/>
    <w:rsid w:val="00C81B9C"/>
    <w:rsid w:val="00CC2519"/>
    <w:rsid w:val="00DA4838"/>
    <w:rsid w:val="00DB3FBE"/>
    <w:rsid w:val="00E23857"/>
    <w:rsid w:val="00E24BF8"/>
    <w:rsid w:val="00F27F55"/>
    <w:rsid w:val="00F54F54"/>
    <w:rsid w:val="00FA0E7F"/>
    <w:rsid w:val="2F70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TML Preformatted"/>
    <w:basedOn w:val="1"/>
    <w:link w:val="1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character" w:styleId="8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table" w:styleId="10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HTML Preformatted Char"/>
    <w:basedOn w:val="2"/>
    <w:link w:val="7"/>
    <w:semiHidden/>
    <w:qFormat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12">
    <w:name w:val="y2iqfc"/>
    <w:basedOn w:val="2"/>
    <w:qFormat/>
    <w:uiPriority w:val="0"/>
  </w:style>
  <w:style w:type="paragraph" w:customStyle="1" w:styleId="1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en-US" w:eastAsia="en-US" w:bidi="ar-SA"/>
    </w:rPr>
  </w:style>
  <w:style w:type="character" w:customStyle="1" w:styleId="14">
    <w:name w:val="Header Char"/>
    <w:basedOn w:val="2"/>
    <w:link w:val="6"/>
    <w:qFormat/>
    <w:uiPriority w:val="99"/>
  </w:style>
  <w:style w:type="character" w:customStyle="1" w:styleId="15">
    <w:name w:val="Footer Char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706</Words>
  <Characters>4030</Characters>
  <Lines>33</Lines>
  <Paragraphs>9</Paragraphs>
  <TotalTime>278</TotalTime>
  <ScaleCrop>false</ScaleCrop>
  <LinksUpToDate>false</LinksUpToDate>
  <CharactersWithSpaces>4727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2023-09-27T19:06:00Z</dcterms:created>
  <dc:creator>Biljana Veličković</dc:creator>
  <cp:lastModifiedBy>owner</cp:lastModifiedBy>
  <dcterms:modified xsi:type="dcterms:W3CDTF">2023-09-29T11:02:20Z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4F5889C1D7FF455E81A9DA1557C72ADC_13</vt:lpwstr>
  </property>
</Properties>
</file>