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ED" w:rsidRPr="002A7DED" w:rsidRDefault="002A7DED" w:rsidP="002A7DED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GoBack"/>
      <w:bookmarkEnd w:id="0"/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Na osnovu člana 12 st. 2 i 3 Uredbe o Vladi Crne Gore ("Službeni list CG", br. 80/08, 14/17 i 28/18), Vlada Crne Gore, na sjednici od ________ 2021. godine, donijela je </w:t>
      </w:r>
    </w:p>
    <w:p w:rsidR="002A7DED" w:rsidRPr="002A7DED" w:rsidRDefault="002A7DED">
      <w:pPr>
        <w:pStyle w:val="4clan"/>
        <w:rPr>
          <w:rFonts w:ascii="Arial" w:hAnsi="Arial" w:cs="Arial"/>
        </w:rPr>
      </w:pPr>
    </w:p>
    <w:p w:rsidR="002A7DED" w:rsidRPr="002A7DED" w:rsidRDefault="002A7DED" w:rsidP="002A7D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val="es-ES"/>
        </w:rPr>
      </w:pPr>
      <w:r w:rsidRPr="002A7DED">
        <w:rPr>
          <w:rFonts w:ascii="Arial" w:eastAsiaTheme="minorHAnsi" w:hAnsi="Arial" w:cs="Arial"/>
          <w:b/>
          <w:bCs/>
          <w:color w:val="000000"/>
          <w:sz w:val="22"/>
          <w:szCs w:val="22"/>
          <w:lang w:val="es-ES"/>
        </w:rPr>
        <w:t xml:space="preserve">ODLUKU O </w:t>
      </w:r>
      <w:bookmarkStart w:id="1" w:name="_Hlk65670867"/>
      <w:r w:rsidRPr="002A7DED">
        <w:rPr>
          <w:rFonts w:ascii="Arial" w:eastAsiaTheme="minorHAnsi" w:hAnsi="Arial" w:cs="Arial"/>
          <w:b/>
          <w:bCs/>
          <w:color w:val="000000"/>
          <w:sz w:val="22"/>
          <w:szCs w:val="22"/>
          <w:lang w:val="es-ES"/>
        </w:rPr>
        <w:t xml:space="preserve">SAVJETU ZA SARADNJU </w:t>
      </w:r>
    </w:p>
    <w:p w:rsidR="002A7DED" w:rsidRPr="002A7DED" w:rsidRDefault="002A7DED" w:rsidP="002A7D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/>
          <w:bCs/>
          <w:color w:val="000000"/>
          <w:sz w:val="22"/>
          <w:szCs w:val="22"/>
        </w:rPr>
        <w:t>ORGANA DRŽAVNE UPRAVE I NEVLADINIH ORGANIZACIJA</w:t>
      </w:r>
    </w:p>
    <w:bookmarkEnd w:id="1"/>
    <w:p w:rsidR="002A7DED" w:rsidRPr="002A7DED" w:rsidRDefault="002A7DED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Ovom odlukom uređuju se poslovi, sastav i način obrazovanja Savjeta za saradnju organa državne uprave i nevladinih organizacija (u daljem tekstu: Savjet).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2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Izrazi koji se u ovoj odluci koriste za fizička lica u muškom rodu podrazumijevaju iste izraze u ženskom rodu.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3</w:t>
      </w:r>
    </w:p>
    <w:p w:rsidR="00FB5F13" w:rsidRPr="002A7DED" w:rsidRDefault="005C1F5F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Zadaci Savjeta su da</w:t>
      </w:r>
      <w:r w:rsidR="006665D4" w:rsidRPr="002A7DED">
        <w:rPr>
          <w:rFonts w:ascii="Arial" w:eastAsiaTheme="minorHAnsi" w:hAnsi="Arial" w:cs="Arial"/>
          <w:color w:val="000000"/>
          <w:sz w:val="22"/>
          <w:szCs w:val="22"/>
        </w:rPr>
        <w:t>: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razmatra i daje mišljenje na predloge strateških i normativnih </w:t>
      </w:r>
      <w:r w:rsidR="005C1F5F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akata 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koja su u vezi sa unapređenjem saradnje 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>s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nevladini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>m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organizacija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>ma</w:t>
      </w:r>
      <w:r w:rsidR="0061466B" w:rsidRPr="002A7DED">
        <w:rPr>
          <w:rFonts w:ascii="Arial" w:eastAsiaTheme="minorHAnsi" w:hAnsi="Arial" w:cs="Arial"/>
          <w:color w:val="000000"/>
          <w:sz w:val="22"/>
          <w:szCs w:val="22"/>
        </w:rPr>
        <w:t>;</w:t>
      </w:r>
    </w:p>
    <w:p w:rsidR="0061466B" w:rsidRPr="002A7DED" w:rsidRDefault="0061466B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prati realizaciju strateških </w:t>
      </w:r>
      <w:r w:rsidR="00A03A4B" w:rsidRPr="002A7DED">
        <w:rPr>
          <w:rFonts w:ascii="Arial" w:eastAsiaTheme="minorHAnsi" w:hAnsi="Arial" w:cs="Arial"/>
          <w:color w:val="000000"/>
          <w:sz w:val="22"/>
          <w:szCs w:val="22"/>
        </w:rPr>
        <w:t>i normativnih akata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iz 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>oblasti unapređenj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510F19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saradnje s nevladinim organizacijama;</w:t>
      </w:r>
    </w:p>
    <w:p w:rsidR="00510F19" w:rsidRPr="002A7DED" w:rsidRDefault="00510F19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daje predloge za unapređenje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saradnje 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organa državne uprave i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nevladini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h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organizacij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>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</w:t>
      </w:r>
      <w:r w:rsidR="00011936" w:rsidRPr="002A7DED">
        <w:rPr>
          <w:rFonts w:ascii="Arial" w:eastAsiaTheme="minorHAnsi" w:hAnsi="Arial" w:cs="Arial"/>
          <w:color w:val="000000"/>
          <w:sz w:val="22"/>
          <w:szCs w:val="22"/>
        </w:rPr>
        <w:t>podnosi inicijative za donošenje, izmjene i dopune zakona i drugih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propisa kojima se uređuje saradnja s nevladinim organizacijama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>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vrši druge poslove od značaja za saradnju s nevladinim organizacijama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4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Savjet ima predsjednika i 12 članova. Predsjednik Savjeta je ministar javne uprave, digitalnog društva i medija.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 Savjeta ima zamjenika koga iz reda članova - predstavnika nevladinih organizacija u Savjetu, na predlog predsjednika Savjeta, bira Savjet.</w:t>
      </w:r>
    </w:p>
    <w:p w:rsidR="0061466B" w:rsidRPr="002A7DED" w:rsidRDefault="0061466B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5</w:t>
      </w:r>
    </w:p>
    <w:p w:rsidR="0061466B" w:rsidRPr="002A7DED" w:rsidRDefault="0061466B" w:rsidP="0061466B">
      <w:pPr>
        <w:pStyle w:val="4clan"/>
        <w:ind w:firstLine="720"/>
        <w:jc w:val="left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Savjet ima sekretara.</w:t>
      </w:r>
    </w:p>
    <w:p w:rsidR="0061466B" w:rsidRPr="002A7DED" w:rsidRDefault="0061466B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 xml:space="preserve">Član 6 </w:t>
      </w:r>
    </w:p>
    <w:p w:rsidR="0061466B" w:rsidRPr="002A7DED" w:rsidRDefault="0061466B" w:rsidP="0061466B">
      <w:pPr>
        <w:pStyle w:val="4clan"/>
        <w:jc w:val="left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ab/>
        <w:t xml:space="preserve">Savjet donosi </w:t>
      </w:r>
      <w:r w:rsidR="00AD6EC1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P</w:t>
      </w: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oslovnik o radu.</w:t>
      </w:r>
    </w:p>
    <w:p w:rsidR="0061466B" w:rsidRPr="002A7DED" w:rsidRDefault="0061466B" w:rsidP="0061466B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7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Predsjednika i članove Savjeta imenuje Vlada, na period od tri godine.</w:t>
      </w:r>
    </w:p>
    <w:p w:rsidR="0061466B" w:rsidRPr="002A7DED" w:rsidRDefault="0061466B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</w:p>
    <w:p w:rsidR="002A7DED" w:rsidRPr="002A7DED" w:rsidRDefault="002A7DED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</w:p>
    <w:p w:rsidR="002A7DED" w:rsidRPr="002A7DED" w:rsidRDefault="002A7DED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 xml:space="preserve">Član 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8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Članove Savjeta čine šest predstavnika organa državne uprave i šest predstavnika nevladinih organizacija.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 xml:space="preserve">Član 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9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Članovi Savjeta - predstavnici organa državne uprave imenuju se na predlog</w:t>
      </w:r>
      <w:r w:rsidR="001E4C71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organa nadležnih za sljedeće oblasti:</w:t>
      </w:r>
    </w:p>
    <w:p w:rsidR="00F04714" w:rsidRPr="002A7DED" w:rsidRDefault="006665D4" w:rsidP="00F04714">
      <w:pPr>
        <w:ind w:right="313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</w:t>
      </w:r>
      <w:r w:rsidR="00F04714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Ministarstva javne uprave, digitalnog društva i medija, 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jedan predstavnik,</w:t>
      </w:r>
    </w:p>
    <w:p w:rsidR="00F04714" w:rsidRPr="002A7DED" w:rsidRDefault="00F04714" w:rsidP="00F04714">
      <w:pPr>
        <w:ind w:right="313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- Ministarstva pravde, ljudskih i manjinskih prava, 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jedan predstavnik,</w:t>
      </w:r>
    </w:p>
    <w:p w:rsidR="00F04714" w:rsidRPr="002A7DED" w:rsidRDefault="00F04714" w:rsidP="00F04714">
      <w:pPr>
        <w:ind w:right="313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Ministarstva finansija i socijalnog staranja,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dva predstavnika,</w:t>
      </w:r>
    </w:p>
    <w:p w:rsidR="00F04714" w:rsidRPr="002A7DED" w:rsidRDefault="00F04714" w:rsidP="00F04714">
      <w:pPr>
        <w:ind w:right="313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Ministarstva ekonomskog razvoja,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jedan predstavnik,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i </w:t>
      </w:r>
    </w:p>
    <w:p w:rsidR="00F04714" w:rsidRPr="002A7DED" w:rsidRDefault="00F04714" w:rsidP="00F04714">
      <w:pPr>
        <w:ind w:right="313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Kancelarije za evropske integracije</w:t>
      </w:r>
      <w:r w:rsidR="002A7DED" w:rsidRPr="002A7DED">
        <w:rPr>
          <w:rFonts w:ascii="Arial" w:eastAsiaTheme="minorHAnsi" w:hAnsi="Arial" w:cs="Arial"/>
          <w:color w:val="000000"/>
          <w:sz w:val="22"/>
          <w:szCs w:val="22"/>
        </w:rPr>
        <w:t>, jedan predstavnik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:rsidR="00FB5F13" w:rsidRPr="002A7DED" w:rsidRDefault="006665D4" w:rsidP="00F0471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Za članove Savjeta iz stava 1 al. 1 do 4 ovog člana mogu biti predloženi državni sekretari u ministarstvima ili državni službenici iz kategorije visoki rukovodni kadar, a za člana Savjeta iz stava 1 alineja 5 ovog člana može biti predložen zamjenik glavnog pregovarača za poglavlje pravne tekovine Evropske unije ili zamjenik glavnog pregovarača - Nacionalni IPA koordinator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 xml:space="preserve">Član 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10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Članovi Savjeta - predstavnici nevladinih organizacija u Savjetu imenuju se na predlog nevladinih organizacija čija su područja djelovanja: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razvoj nevladinih organizacija,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volonterizam,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zaštita lica sa invaliditetom,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socijalno preduzetništvo.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razvoj filantropije,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evropske integracije.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Za svako područje djelovanja iz stava 1 ovog člana, imenuje se po jedan član.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 xml:space="preserve">Član 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11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Postupak predlaganja kandidata - predstavnika nevladinih organizacija za članstvo u Savjetu, prema strukturi utvrđenoj u skladu sa članom 8 ove odluke, sprovodi Ministarstvo javne uprave, digitalnog društva i medija (u daljem tekstu: Ministarstvo), u skladu sa aktom Vlade kojim se uređuje izbor predstavnika nevladinih organizacija u radne grupe i druga radna tijela koje obrazuju organi državne uprave.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Ako dva kandidata za članstvo u Savjetu - predstavnici nevladinih organizacija, za određenu oblast iz člana 8 ove odluke imaju isti broj podrški, izbor člana vrši ministar javne uprave, digitalnog društva i medija.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U slučaju da nema predloženih kandidata - predstavnika nevladinih organizacija u određenoj oblasti iz člana 8 ove odluke</w:t>
      </w:r>
      <w:r w:rsidR="0061466B" w:rsidRPr="002A7DED">
        <w:rPr>
          <w:rFonts w:ascii="Arial" w:eastAsiaTheme="minorHAnsi" w:hAnsi="Arial" w:cs="Arial"/>
          <w:color w:val="000000"/>
          <w:sz w:val="22"/>
          <w:szCs w:val="22"/>
        </w:rPr>
        <w:t>,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Ministarstvo će, u roku od pet dana od dana isteka javnog poziva, ponovo pokrenuti postupak predlaganja kandidata nevladinih organizacija za člana Savjeta u toj oblasti.</w:t>
      </w:r>
    </w:p>
    <w:p w:rsidR="0061466B" w:rsidRPr="002A7DED" w:rsidRDefault="0061466B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lastRenderedPageBreak/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2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Predsjednik, odnosno član Savjeta biće razriješen ako: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je pravosnažnom odlukom osuđen na bezuslovnu kaznu zatvora u trajanju od najmanje šest mjeseci;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je pravosnažnom odlukom lišen poslovne sposobnosti;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se utvrdi da je u postupku imenovanja dao o sebi netačne podatke ili je propustio da iznese podatke i okolnosti koji su bile od uticaja na imenovanje;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neopravdano izostane sa sjednica Savjeta dva puta uzastopno;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- prestane da ispunjava uslove za članstvo u Savjetu.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Savjet predlaže Vladi razrješenje predsjednika, odnosno člana Savjeta.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U slučajevima iz stava 1 ovog člana. Ministarstvo će, u roku od tri dana od dana razrješenja člana Savjeta, pokrenuti postupak predlaganja kandidata za novog člana Savjeta, u skladu sa ovom odlukom.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3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 Savjeta saziva sjednicu po sopstvenoj inicijativi ili na predlog najmanje trećine članova Savjeta.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 Savjeta može, po potrebi, pozvati na sjednicu i lica koja nijesu članovi Savjeta radi davanja stručnih mišljenja i objašnjenja.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bookmarkStart w:id="2" w:name="_Hlk85630465"/>
      <w:r w:rsidRPr="002A7DED">
        <w:rPr>
          <w:rFonts w:ascii="Arial" w:eastAsiaTheme="minorHAnsi" w:hAnsi="Arial" w:cs="Arial"/>
          <w:color w:val="000000"/>
          <w:sz w:val="22"/>
          <w:szCs w:val="22"/>
        </w:rPr>
        <w:t>Predsjednik Savjeta može, po potrebi, pozvati na sjednicu i predstavnike društveno ranjivih grupa kad Savjet razmatra pitanja koja se odnose na društveno ranjive grupe kojim ti predstavnici pripadaju i koje se tiču funkcionisanja i razvoja njihovih udruženja</w:t>
      </w:r>
      <w:bookmarkEnd w:id="2"/>
      <w:r w:rsidRPr="002A7DED"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4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O svom radu Savjet izvještava Vladu, najmanje jedanput godišnje.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5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Administrativno-tehničke poslove za potrebe Savjeta obavlja Ministarstvo.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6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Rad Savjeta je javan.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Materijali za raspravu, zaključci, mišljenja i zapisnici Savjeta objavljuju se na internet stranici Savjeta.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7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Imenovanje predsjednika i članova Savjeta, u skladu sa ovom odlukom, izvršiće se u roku od 60 dana od dana stupanja na snagu ove odluke.</w:t>
      </w: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8</w:t>
      </w:r>
    </w:p>
    <w:p w:rsidR="00FB5F13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Danom stupanja na snagu ove odluke prestaje da važi Odluka o obrazovanju Savjeta za razvoj nevladinih organizacija ("Službeni list CG", br</w:t>
      </w:r>
      <w:r w:rsidR="0061466B" w:rsidRPr="002A7DED">
        <w:rPr>
          <w:rFonts w:ascii="Arial" w:eastAsiaTheme="minorHAnsi" w:hAnsi="Arial" w:cs="Arial"/>
          <w:color w:val="000000"/>
          <w:sz w:val="22"/>
          <w:szCs w:val="22"/>
        </w:rPr>
        <w:t>.</w:t>
      </w:r>
      <w:r w:rsidRPr="002A7DED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hyperlink r:id="rId6" w:history="1">
        <w:r w:rsidR="0061466B" w:rsidRPr="002A7DED">
          <w:rPr>
            <w:rFonts w:ascii="Arial" w:eastAsiaTheme="minorHAnsi" w:hAnsi="Arial" w:cs="Arial"/>
            <w:color w:val="000000"/>
            <w:sz w:val="22"/>
            <w:szCs w:val="22"/>
          </w:rPr>
          <w:t>47/2018</w:t>
        </w:r>
      </w:hyperlink>
      <w:r w:rsidR="0061466B" w:rsidRPr="002A7DED">
        <w:rPr>
          <w:rFonts w:ascii="Arial" w:eastAsiaTheme="minorHAnsi" w:hAnsi="Arial" w:cs="Arial"/>
          <w:color w:val="000000"/>
          <w:sz w:val="22"/>
          <w:szCs w:val="22"/>
        </w:rPr>
        <w:t>, </w:t>
      </w:r>
      <w:hyperlink r:id="rId7" w:history="1">
        <w:r w:rsidR="0061466B" w:rsidRPr="002A7DED">
          <w:rPr>
            <w:rFonts w:ascii="Arial" w:eastAsiaTheme="minorHAnsi" w:hAnsi="Arial" w:cs="Arial"/>
            <w:color w:val="000000"/>
            <w:sz w:val="22"/>
            <w:szCs w:val="22"/>
          </w:rPr>
          <w:t>36/2021</w:t>
        </w:r>
      </w:hyperlink>
      <w:r w:rsidR="0061466B" w:rsidRPr="002A7DED">
        <w:rPr>
          <w:rFonts w:ascii="Arial" w:eastAsiaTheme="minorHAnsi" w:hAnsi="Arial" w:cs="Arial"/>
          <w:color w:val="000000"/>
          <w:sz w:val="22"/>
          <w:szCs w:val="22"/>
        </w:rPr>
        <w:t> i </w:t>
      </w:r>
      <w:hyperlink r:id="rId8" w:history="1">
        <w:r w:rsidR="0061466B" w:rsidRPr="002A7DED">
          <w:rPr>
            <w:rFonts w:ascii="Arial" w:eastAsiaTheme="minorHAnsi" w:hAnsi="Arial" w:cs="Arial"/>
            <w:color w:val="000000"/>
            <w:sz w:val="22"/>
            <w:szCs w:val="22"/>
          </w:rPr>
          <w:t>75/2021</w:t>
        </w:r>
      </w:hyperlink>
      <w:r w:rsidRPr="002A7DED">
        <w:rPr>
          <w:rFonts w:ascii="Arial" w:eastAsiaTheme="minorHAnsi" w:hAnsi="Arial" w:cs="Arial"/>
          <w:color w:val="000000"/>
          <w:sz w:val="22"/>
          <w:szCs w:val="22"/>
        </w:rPr>
        <w:t>).</w:t>
      </w:r>
    </w:p>
    <w:p w:rsidR="002A7DED" w:rsidRDefault="002A7DED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</w:p>
    <w:p w:rsidR="00FB5F13" w:rsidRPr="002A7DED" w:rsidRDefault="006665D4">
      <w:pPr>
        <w:pStyle w:val="4clan"/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lastRenderedPageBreak/>
        <w:t>Član 1</w:t>
      </w:r>
      <w:r w:rsidR="0061466B" w:rsidRPr="002A7DED">
        <w:rPr>
          <w:rFonts w:ascii="Arial" w:eastAsiaTheme="minorHAnsi" w:hAnsi="Arial" w:cs="Arial"/>
          <w:b w:val="0"/>
          <w:bCs w:val="0"/>
          <w:color w:val="000000"/>
          <w:sz w:val="22"/>
          <w:szCs w:val="22"/>
        </w:rPr>
        <w:t>9</w:t>
      </w:r>
    </w:p>
    <w:p w:rsidR="006665D4" w:rsidRPr="002A7DED" w:rsidRDefault="006665D4">
      <w:pPr>
        <w:pStyle w:val="1tekst"/>
        <w:rPr>
          <w:rFonts w:ascii="Arial" w:eastAsiaTheme="minorHAnsi" w:hAnsi="Arial" w:cs="Arial"/>
          <w:color w:val="000000"/>
          <w:sz w:val="22"/>
          <w:szCs w:val="22"/>
        </w:rPr>
      </w:pPr>
      <w:r w:rsidRPr="002A7DED">
        <w:rPr>
          <w:rFonts w:ascii="Arial" w:eastAsiaTheme="minorHAnsi" w:hAnsi="Arial" w:cs="Arial"/>
          <w:color w:val="000000"/>
          <w:sz w:val="22"/>
          <w:szCs w:val="22"/>
        </w:rPr>
        <w:t>Ova odluka stupa na snagu narednog dana od dana objavljivanja u "Službenom listu Crne Gore".</w:t>
      </w:r>
    </w:p>
    <w:sectPr w:rsidR="006665D4" w:rsidRPr="002A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39" w:rsidRDefault="00F42339" w:rsidP="002A7DED">
      <w:r>
        <w:separator/>
      </w:r>
    </w:p>
  </w:endnote>
  <w:endnote w:type="continuationSeparator" w:id="0">
    <w:p w:rsidR="00F42339" w:rsidRDefault="00F42339" w:rsidP="002A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39" w:rsidRDefault="00F42339" w:rsidP="002A7DED">
      <w:r>
        <w:separator/>
      </w:r>
    </w:p>
  </w:footnote>
  <w:footnote w:type="continuationSeparator" w:id="0">
    <w:p w:rsidR="00F42339" w:rsidRDefault="00F42339" w:rsidP="002A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F"/>
    <w:rsid w:val="00011936"/>
    <w:rsid w:val="000F6AB0"/>
    <w:rsid w:val="00122620"/>
    <w:rsid w:val="001E4C71"/>
    <w:rsid w:val="002A7DED"/>
    <w:rsid w:val="003B0A3A"/>
    <w:rsid w:val="00510F19"/>
    <w:rsid w:val="005C0265"/>
    <w:rsid w:val="005C1F5F"/>
    <w:rsid w:val="0061466B"/>
    <w:rsid w:val="006665D4"/>
    <w:rsid w:val="00A03A4B"/>
    <w:rsid w:val="00A07F88"/>
    <w:rsid w:val="00AD6EC1"/>
    <w:rsid w:val="00D5170B"/>
    <w:rsid w:val="00F04714"/>
    <w:rsid w:val="00F42339"/>
    <w:rsid w:val="00F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EB861-71C7-40E5-B4CE-C240F3D7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F0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E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Savjetu za saradnju organa državne uprave i nevladinih organizacija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Savjetu za saradnju organa državne uprave i nevladinih organizacija</dc:title>
  <dc:subject/>
  <dc:creator>Bojana Jovetic</dc:creator>
  <cp:keywords/>
  <dc:description/>
  <cp:lastModifiedBy>Bojana Jovetic</cp:lastModifiedBy>
  <cp:revision>2</cp:revision>
  <dcterms:created xsi:type="dcterms:W3CDTF">2021-11-23T12:18:00Z</dcterms:created>
  <dcterms:modified xsi:type="dcterms:W3CDTF">2021-11-23T12:18:00Z</dcterms:modified>
</cp:coreProperties>
</file>