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Na </w:t>
      </w:r>
      <w:proofErr w:type="spellStart"/>
      <w:r>
        <w:rPr>
          <w:rFonts w:ascii="roboto" w:hAnsi="roboto"/>
        </w:rPr>
        <w:t>osnovu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člana</w:t>
      </w:r>
      <w:proofErr w:type="spellEnd"/>
      <w:r>
        <w:rPr>
          <w:rFonts w:ascii="roboto" w:hAnsi="roboto"/>
        </w:rPr>
        <w:t xml:space="preserve"> 97 </w:t>
      </w:r>
      <w:proofErr w:type="spellStart"/>
      <w:r>
        <w:rPr>
          <w:rFonts w:ascii="roboto" w:hAnsi="roboto"/>
        </w:rPr>
        <w:t>stav</w:t>
      </w:r>
      <w:proofErr w:type="spellEnd"/>
      <w:r>
        <w:rPr>
          <w:rFonts w:ascii="roboto" w:hAnsi="roboto"/>
        </w:rPr>
        <w:t xml:space="preserve"> 10 </w:t>
      </w:r>
      <w:proofErr w:type="spellStart"/>
      <w:r>
        <w:rPr>
          <w:rFonts w:ascii="roboto" w:hAnsi="roboto"/>
        </w:rPr>
        <w:t>Zakona</w:t>
      </w:r>
      <w:proofErr w:type="spellEnd"/>
      <w:r>
        <w:rPr>
          <w:rFonts w:ascii="roboto" w:hAnsi="roboto"/>
        </w:rPr>
        <w:t xml:space="preserve"> o </w:t>
      </w:r>
      <w:proofErr w:type="spellStart"/>
      <w:r>
        <w:rPr>
          <w:rFonts w:ascii="roboto" w:hAnsi="roboto"/>
        </w:rPr>
        <w:t>ljekovima</w:t>
      </w:r>
      <w:proofErr w:type="spellEnd"/>
      <w:r>
        <w:rPr>
          <w:rFonts w:ascii="roboto" w:hAnsi="roboto"/>
        </w:rPr>
        <w:t xml:space="preserve"> ("</w:t>
      </w:r>
      <w:proofErr w:type="spellStart"/>
      <w:r>
        <w:rPr>
          <w:rFonts w:ascii="roboto" w:hAnsi="roboto"/>
        </w:rPr>
        <w:t>Službeni</w:t>
      </w:r>
      <w:proofErr w:type="spellEnd"/>
      <w:r>
        <w:rPr>
          <w:rFonts w:ascii="roboto" w:hAnsi="roboto"/>
        </w:rPr>
        <w:t xml:space="preserve"> list CG", br. 56/11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6/13), </w:t>
      </w:r>
      <w:proofErr w:type="spellStart"/>
      <w:r>
        <w:rPr>
          <w:rFonts w:ascii="roboto" w:hAnsi="roboto"/>
        </w:rPr>
        <w:t>Ministarstvo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poljoprivrede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ruralnog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razvoja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donijelo</w:t>
      </w:r>
      <w:proofErr w:type="spellEnd"/>
      <w:r>
        <w:rPr>
          <w:rFonts w:ascii="roboto" w:hAnsi="roboto"/>
        </w:rPr>
        <w:t xml:space="preserve"> je</w:t>
      </w:r>
    </w:p>
    <w:p w:rsidR="00EA3D42" w:rsidRDefault="00D7755A">
      <w:pPr>
        <w:pStyle w:val="2zakon"/>
        <w:rPr>
          <w:rFonts w:ascii="roboto" w:hAnsi="roboto"/>
        </w:rPr>
      </w:pPr>
      <w:proofErr w:type="spellStart"/>
      <w:r>
        <w:rPr>
          <w:rFonts w:ascii="roboto" w:hAnsi="roboto"/>
        </w:rPr>
        <w:t>Pravilnik</w:t>
      </w:r>
      <w:proofErr w:type="spellEnd"/>
      <w:r>
        <w:rPr>
          <w:rFonts w:ascii="roboto" w:hAnsi="roboto"/>
        </w:rPr>
        <w:t xml:space="preserve"> o </w:t>
      </w:r>
      <w:proofErr w:type="spellStart"/>
      <w:r>
        <w:rPr>
          <w:rFonts w:ascii="roboto" w:hAnsi="roboto"/>
        </w:rPr>
        <w:t>bližim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uslovima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načinu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utvrđivanja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ispunjenosti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uslova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obavljanje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prometa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veterinarskih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veliko</w:t>
      </w:r>
      <w:proofErr w:type="spellEnd"/>
    </w:p>
    <w:p w:rsidR="00EA3D42" w:rsidRDefault="00D7755A">
      <w:pPr>
        <w:pStyle w:val="3mesto"/>
        <w:rPr>
          <w:rFonts w:ascii="roboto" w:hAnsi="roboto"/>
        </w:rPr>
      </w:pPr>
      <w:proofErr w:type="spellStart"/>
      <w:r>
        <w:rPr>
          <w:rFonts w:ascii="roboto" w:hAnsi="roboto"/>
        </w:rPr>
        <w:t>Pravilnik</w:t>
      </w:r>
      <w:proofErr w:type="spellEnd"/>
      <w:r>
        <w:rPr>
          <w:rFonts w:ascii="roboto" w:hAnsi="roboto"/>
        </w:rPr>
        <w:t xml:space="preserve"> je </w:t>
      </w:r>
      <w:proofErr w:type="spellStart"/>
      <w:r>
        <w:rPr>
          <w:rFonts w:ascii="roboto" w:hAnsi="roboto"/>
        </w:rPr>
        <w:t>objavljen</w:t>
      </w:r>
      <w:proofErr w:type="spellEnd"/>
      <w:r>
        <w:rPr>
          <w:rFonts w:ascii="roboto" w:hAnsi="roboto"/>
        </w:rPr>
        <w:t xml:space="preserve"> u "</w:t>
      </w:r>
      <w:proofErr w:type="spellStart"/>
      <w:r>
        <w:rPr>
          <w:rFonts w:ascii="roboto" w:hAnsi="roboto"/>
        </w:rPr>
        <w:t>Službenom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listu</w:t>
      </w:r>
      <w:proofErr w:type="spellEnd"/>
      <w:r>
        <w:rPr>
          <w:rFonts w:ascii="roboto" w:hAnsi="roboto"/>
        </w:rPr>
        <w:t xml:space="preserve"> CG", br. 44/2016 od 25.7.2016. </w:t>
      </w:r>
      <w:proofErr w:type="spellStart"/>
      <w:r>
        <w:rPr>
          <w:rFonts w:ascii="roboto" w:hAnsi="roboto"/>
        </w:rPr>
        <w:t>godine</w:t>
      </w:r>
      <w:proofErr w:type="spellEnd"/>
      <w:r>
        <w:rPr>
          <w:rFonts w:ascii="roboto" w:hAnsi="roboto"/>
        </w:rPr>
        <w:t xml:space="preserve">, a </w:t>
      </w:r>
      <w:proofErr w:type="spellStart"/>
      <w:r>
        <w:rPr>
          <w:rFonts w:ascii="roboto" w:hAnsi="roboto"/>
        </w:rPr>
        <w:t>stupio</w:t>
      </w:r>
      <w:proofErr w:type="spellEnd"/>
      <w:r>
        <w:rPr>
          <w:rFonts w:ascii="roboto" w:hAnsi="roboto"/>
        </w:rPr>
        <w:t xml:space="preserve"> je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snagu</w:t>
      </w:r>
      <w:proofErr w:type="spellEnd"/>
      <w:r>
        <w:rPr>
          <w:rFonts w:ascii="roboto" w:hAnsi="roboto"/>
        </w:rPr>
        <w:t xml:space="preserve"> 2.8.2016.</w:t>
      </w:r>
    </w:p>
    <w:p w:rsidR="00EA3D42" w:rsidRDefault="00D7755A">
      <w:pPr>
        <w:jc w:val="center"/>
        <w:divId w:val="1430467523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1</w:t>
      </w:r>
    </w:p>
    <w:p w:rsidR="00EA3D42" w:rsidRDefault="00D7755A">
      <w:pPr>
        <w:pStyle w:val="1tekst"/>
        <w:rPr>
          <w:rFonts w:ascii="roboto" w:hAnsi="roboto"/>
        </w:rPr>
      </w:pPr>
      <w:proofErr w:type="spellStart"/>
      <w:r>
        <w:rPr>
          <w:rFonts w:ascii="roboto" w:hAnsi="roboto"/>
        </w:rPr>
        <w:t>Ovim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pravilnikom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propisuju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bliži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uslovi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pravno</w:t>
      </w:r>
      <w:proofErr w:type="spellEnd"/>
      <w:r>
        <w:rPr>
          <w:rFonts w:ascii="roboto" w:hAnsi="roboto"/>
        </w:rPr>
        <w:t xml:space="preserve"> lice </w:t>
      </w:r>
      <w:proofErr w:type="spellStart"/>
      <w:r>
        <w:rPr>
          <w:rFonts w:ascii="roboto" w:hAnsi="roboto"/>
        </w:rPr>
        <w:t>koje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obavlja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promet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veterinarskih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veliko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način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utvrđivanja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ispunjenosti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jc w:val="center"/>
        <w:divId w:val="1194806283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2</w:t>
      </w:r>
    </w:p>
    <w:p w:rsidR="00EA3D42" w:rsidRDefault="00D7755A">
      <w:pPr>
        <w:pStyle w:val="1tekst"/>
        <w:rPr>
          <w:rFonts w:ascii="roboto" w:hAnsi="roboto"/>
        </w:rPr>
      </w:pPr>
      <w:proofErr w:type="spellStart"/>
      <w:r>
        <w:rPr>
          <w:rFonts w:ascii="roboto" w:hAnsi="roboto"/>
        </w:rPr>
        <w:t>Pravno</w:t>
      </w:r>
      <w:proofErr w:type="spellEnd"/>
      <w:r>
        <w:rPr>
          <w:rFonts w:ascii="roboto" w:hAnsi="roboto"/>
        </w:rPr>
        <w:t xml:space="preserve"> lice </w:t>
      </w:r>
      <w:proofErr w:type="spellStart"/>
      <w:r>
        <w:rPr>
          <w:rFonts w:ascii="roboto" w:hAnsi="roboto"/>
        </w:rPr>
        <w:t>koje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vrši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promet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veterinarskih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veliko</w:t>
      </w:r>
      <w:proofErr w:type="spellEnd"/>
      <w:r>
        <w:rPr>
          <w:rFonts w:ascii="roboto" w:hAnsi="roboto"/>
        </w:rPr>
        <w:t xml:space="preserve"> (u </w:t>
      </w:r>
      <w:proofErr w:type="spellStart"/>
      <w:r>
        <w:rPr>
          <w:rFonts w:ascii="roboto" w:hAnsi="roboto"/>
        </w:rPr>
        <w:t>daljem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tekstu</w:t>
      </w:r>
      <w:proofErr w:type="spellEnd"/>
      <w:r>
        <w:rPr>
          <w:rFonts w:ascii="roboto" w:hAnsi="roboto"/>
        </w:rPr>
        <w:t xml:space="preserve">: </w:t>
      </w:r>
      <w:proofErr w:type="spellStart"/>
      <w:r>
        <w:rPr>
          <w:rFonts w:ascii="roboto" w:hAnsi="roboto"/>
        </w:rPr>
        <w:t>veterinarska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veledrogerija</w:t>
      </w:r>
      <w:proofErr w:type="spellEnd"/>
      <w:r>
        <w:rPr>
          <w:rFonts w:ascii="roboto" w:hAnsi="roboto"/>
        </w:rPr>
        <w:t xml:space="preserve">) </w:t>
      </w:r>
      <w:proofErr w:type="spellStart"/>
      <w:r>
        <w:rPr>
          <w:rFonts w:ascii="roboto" w:hAnsi="roboto"/>
        </w:rPr>
        <w:t>postupa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skladu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smjernicama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Dobre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prakse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distribuciji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pogledu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uvođenja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održavanja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sistema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obezbjeđenja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kvaliteta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kadrova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prostora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opreme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vođenja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dokumentacije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radnih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procesa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reklamacija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vraćanja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veterinarskih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sumnje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falsifikovane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veterinarske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ljekove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internog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nadzora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transporta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jc w:val="center"/>
        <w:divId w:val="1675646548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3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(1) </w:t>
      </w:r>
      <w:proofErr w:type="spellStart"/>
      <w:r>
        <w:rPr>
          <w:rFonts w:ascii="roboto" w:hAnsi="roboto"/>
        </w:rPr>
        <w:t>Veterinarska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uspostavlja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održava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efikasan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sistem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obezbjeđenja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kvaliteta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jasno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definisanim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dokumentovanim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odgovornostima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postupcima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mjerama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upravljanje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rizicima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aktivnosti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koje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obavlja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</w:t>
      </w:r>
      <w:proofErr w:type="spellStart"/>
      <w:r>
        <w:rPr>
          <w:rFonts w:ascii="roboto" w:hAnsi="roboto"/>
        </w:rPr>
        <w:t>Veterinarska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veledrogerija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skladu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stavom</w:t>
      </w:r>
      <w:proofErr w:type="spellEnd"/>
      <w:r>
        <w:rPr>
          <w:rFonts w:ascii="roboto" w:hAnsi="roboto"/>
        </w:rPr>
        <w:t xml:space="preserve"> 1 </w:t>
      </w:r>
      <w:proofErr w:type="spellStart"/>
      <w:r>
        <w:rPr>
          <w:rFonts w:ascii="roboto" w:hAnsi="roboto"/>
        </w:rPr>
        <w:t>ovog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člana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može</w:t>
      </w:r>
      <w:proofErr w:type="spellEnd"/>
      <w:r>
        <w:rPr>
          <w:rFonts w:ascii="roboto" w:hAnsi="roboto"/>
        </w:rPr>
        <w:t xml:space="preserve"> da </w:t>
      </w:r>
      <w:proofErr w:type="spellStart"/>
      <w:r>
        <w:rPr>
          <w:rFonts w:ascii="roboto" w:hAnsi="roboto"/>
        </w:rPr>
        <w:t>zaključi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ugovor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pojedinim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pravnim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fizičkim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licima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jc w:val="center"/>
        <w:divId w:val="1631520486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4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(1) </w:t>
      </w:r>
      <w:proofErr w:type="spellStart"/>
      <w:r>
        <w:rPr>
          <w:rFonts w:ascii="roboto" w:hAnsi="roboto"/>
        </w:rPr>
        <w:t>Veterinarska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veledrogerija</w:t>
      </w:r>
      <w:proofErr w:type="spellEnd"/>
      <w:r>
        <w:rPr>
          <w:rFonts w:ascii="roboto" w:hAnsi="roboto"/>
        </w:rPr>
        <w:t xml:space="preserve">, pored </w:t>
      </w:r>
      <w:proofErr w:type="spellStart"/>
      <w:r>
        <w:rPr>
          <w:rFonts w:ascii="roboto" w:hAnsi="roboto"/>
        </w:rPr>
        <w:t>lica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odgovornog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skladištenje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distribuciju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veterinarskih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 (u </w:t>
      </w:r>
      <w:proofErr w:type="spellStart"/>
      <w:r>
        <w:rPr>
          <w:rFonts w:ascii="roboto" w:hAnsi="roboto"/>
        </w:rPr>
        <w:t>daljem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tekstu</w:t>
      </w:r>
      <w:proofErr w:type="spellEnd"/>
      <w:r>
        <w:rPr>
          <w:rFonts w:ascii="roboto" w:hAnsi="roboto"/>
        </w:rPr>
        <w:t xml:space="preserve">: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), </w:t>
      </w:r>
      <w:proofErr w:type="spellStart"/>
      <w:r>
        <w:rPr>
          <w:rFonts w:ascii="roboto" w:hAnsi="roboto"/>
        </w:rPr>
        <w:t>treba</w:t>
      </w:r>
      <w:proofErr w:type="spellEnd"/>
      <w:r>
        <w:rPr>
          <w:rFonts w:ascii="roboto" w:hAnsi="roboto"/>
        </w:rPr>
        <w:t xml:space="preserve"> da </w:t>
      </w:r>
      <w:proofErr w:type="spellStart"/>
      <w:r>
        <w:rPr>
          <w:rFonts w:ascii="roboto" w:hAnsi="roboto"/>
        </w:rPr>
        <w:t>ima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zavisno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obima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vrste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djelatnosti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određeni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kadar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iskustvom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znanjem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edukacijom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primjeni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smjernica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Dobre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prakse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distribuciji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</w:t>
      </w:r>
      <w:proofErr w:type="spellStart"/>
      <w:r>
        <w:rPr>
          <w:rFonts w:ascii="roboto" w:hAnsi="roboto"/>
        </w:rPr>
        <w:t>Odgovorno</w:t>
      </w:r>
      <w:proofErr w:type="spellEnd"/>
      <w:r>
        <w:rPr>
          <w:rFonts w:ascii="roboto" w:hAnsi="roboto"/>
        </w:rPr>
        <w:t xml:space="preserve"> lice za </w:t>
      </w:r>
      <w:proofErr w:type="spellStart"/>
      <w:r>
        <w:rPr>
          <w:rFonts w:ascii="roboto" w:hAnsi="roboto"/>
        </w:rPr>
        <w:t>skladištenje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distribuciju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 (u </w:t>
      </w:r>
      <w:proofErr w:type="spellStart"/>
      <w:r>
        <w:rPr>
          <w:rFonts w:ascii="roboto" w:hAnsi="roboto"/>
        </w:rPr>
        <w:t>daljem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tekstu</w:t>
      </w:r>
      <w:proofErr w:type="spellEnd"/>
      <w:r>
        <w:rPr>
          <w:rFonts w:ascii="roboto" w:hAnsi="roboto"/>
        </w:rPr>
        <w:t xml:space="preserve">: </w:t>
      </w:r>
      <w:proofErr w:type="spellStart"/>
      <w:r>
        <w:rPr>
          <w:rFonts w:ascii="roboto" w:hAnsi="roboto"/>
        </w:rPr>
        <w:t>odgovorno</w:t>
      </w:r>
      <w:proofErr w:type="spellEnd"/>
      <w:r>
        <w:rPr>
          <w:rFonts w:ascii="roboto" w:hAnsi="roboto"/>
        </w:rPr>
        <w:t xml:space="preserve"> lice), </w:t>
      </w:r>
      <w:proofErr w:type="spellStart"/>
      <w:r>
        <w:rPr>
          <w:rFonts w:ascii="roboto" w:hAnsi="roboto"/>
        </w:rPr>
        <w:t>odgovorno</w:t>
      </w:r>
      <w:proofErr w:type="spellEnd"/>
      <w:r>
        <w:rPr>
          <w:rFonts w:ascii="roboto" w:hAnsi="roboto"/>
        </w:rPr>
        <w:t xml:space="preserve"> je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prijem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skladištenje</w:t>
      </w:r>
      <w:proofErr w:type="spellEnd"/>
      <w:r>
        <w:rPr>
          <w:rFonts w:ascii="roboto" w:hAnsi="roboto"/>
        </w:rPr>
        <w:t xml:space="preserve">, transport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isporuku</w:t>
      </w:r>
      <w:proofErr w:type="spellEnd"/>
      <w:r>
        <w:rPr>
          <w:rFonts w:ascii="roboto" w:hAnsi="roboto"/>
        </w:rPr>
        <w:t>/</w:t>
      </w:r>
      <w:proofErr w:type="spellStart"/>
      <w:r>
        <w:rPr>
          <w:rFonts w:ascii="roboto" w:hAnsi="roboto"/>
        </w:rPr>
        <w:t>izdavanje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kao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pregled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dokumentacije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koja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omogućava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sljedljivost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(3) </w:t>
      </w:r>
      <w:proofErr w:type="spellStart"/>
      <w:r>
        <w:rPr>
          <w:rFonts w:ascii="roboto" w:hAnsi="roboto"/>
        </w:rPr>
        <w:t>Odgovorno</w:t>
      </w:r>
      <w:proofErr w:type="spellEnd"/>
      <w:r>
        <w:rPr>
          <w:rFonts w:ascii="roboto" w:hAnsi="roboto"/>
        </w:rPr>
        <w:t xml:space="preserve"> lice u </w:t>
      </w:r>
      <w:proofErr w:type="spellStart"/>
      <w:r>
        <w:rPr>
          <w:rFonts w:ascii="roboto" w:hAnsi="roboto"/>
        </w:rPr>
        <w:t>veterinarskoj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veledrogeriji</w:t>
      </w:r>
      <w:proofErr w:type="spellEnd"/>
      <w:r>
        <w:rPr>
          <w:rFonts w:ascii="roboto" w:hAnsi="roboto"/>
        </w:rPr>
        <w:t xml:space="preserve">, u </w:t>
      </w:r>
      <w:proofErr w:type="spellStart"/>
      <w:r>
        <w:rPr>
          <w:rFonts w:ascii="roboto" w:hAnsi="roboto"/>
        </w:rPr>
        <w:t>vršenju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poslova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iz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stava</w:t>
      </w:r>
      <w:proofErr w:type="spellEnd"/>
      <w:r>
        <w:rPr>
          <w:rFonts w:ascii="roboto" w:hAnsi="roboto"/>
        </w:rPr>
        <w:t xml:space="preserve"> 2 </w:t>
      </w:r>
      <w:proofErr w:type="spellStart"/>
      <w:r>
        <w:rPr>
          <w:rFonts w:ascii="roboto" w:hAnsi="roboto"/>
        </w:rPr>
        <w:t>ovog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člana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potpisuje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izjavu</w:t>
      </w:r>
      <w:proofErr w:type="spellEnd"/>
      <w:r>
        <w:rPr>
          <w:rFonts w:ascii="roboto" w:hAnsi="roboto"/>
        </w:rPr>
        <w:t xml:space="preserve"> o </w:t>
      </w:r>
      <w:proofErr w:type="spellStart"/>
      <w:r>
        <w:rPr>
          <w:rFonts w:ascii="roboto" w:hAnsi="roboto"/>
        </w:rPr>
        <w:t>samostalnosti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nezavisnosti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kod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odlučivanja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(4) Za </w:t>
      </w:r>
      <w:proofErr w:type="spellStart"/>
      <w:r>
        <w:rPr>
          <w:rFonts w:ascii="roboto" w:hAnsi="roboto"/>
        </w:rPr>
        <w:t>zaposlene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iz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stava</w:t>
      </w:r>
      <w:proofErr w:type="spellEnd"/>
      <w:r>
        <w:rPr>
          <w:rFonts w:ascii="roboto" w:hAnsi="roboto"/>
        </w:rPr>
        <w:t xml:space="preserve"> 1 </w:t>
      </w:r>
      <w:proofErr w:type="spellStart"/>
      <w:r>
        <w:rPr>
          <w:rFonts w:ascii="roboto" w:hAnsi="roboto"/>
        </w:rPr>
        <w:t>ovog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člana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veterinarska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obezbjeđuje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sprovođenje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Osnovne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trajne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edukacije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primjeni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smjernica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Dobre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prakse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distribuciji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jc w:val="center"/>
        <w:divId w:val="1245604911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5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(1) </w:t>
      </w:r>
      <w:proofErr w:type="spellStart"/>
      <w:r>
        <w:rPr>
          <w:rFonts w:ascii="roboto" w:hAnsi="roboto"/>
        </w:rPr>
        <w:t>Veterinarska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veledrogerija</w:t>
      </w:r>
      <w:proofErr w:type="spellEnd"/>
      <w:r>
        <w:rPr>
          <w:rFonts w:ascii="roboto" w:hAnsi="roboto"/>
        </w:rPr>
        <w:t xml:space="preserve">, u </w:t>
      </w:r>
      <w:proofErr w:type="spellStart"/>
      <w:r>
        <w:rPr>
          <w:rFonts w:ascii="roboto" w:hAnsi="roboto"/>
        </w:rPr>
        <w:t>skladu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smjernicama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Dobre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prakse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distribuciji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zavisno</w:t>
      </w:r>
      <w:proofErr w:type="spellEnd"/>
      <w:r>
        <w:rPr>
          <w:rFonts w:ascii="roboto" w:hAnsi="roboto"/>
        </w:rPr>
        <w:t xml:space="preserve"> od </w:t>
      </w:r>
      <w:proofErr w:type="spellStart"/>
      <w:r>
        <w:rPr>
          <w:rFonts w:ascii="roboto" w:hAnsi="roboto"/>
        </w:rPr>
        <w:t>obima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vrste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djelatnosti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treba</w:t>
      </w:r>
      <w:proofErr w:type="spellEnd"/>
      <w:r>
        <w:rPr>
          <w:rFonts w:ascii="roboto" w:hAnsi="roboto"/>
        </w:rPr>
        <w:t xml:space="preserve"> da </w:t>
      </w:r>
      <w:proofErr w:type="spellStart"/>
      <w:r>
        <w:rPr>
          <w:rFonts w:ascii="roboto" w:hAnsi="roboto"/>
        </w:rPr>
        <w:t>ima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odgovarajući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prostor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opremu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smještaj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čuvanje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distribuciju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skladu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uslovima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propisanim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čuvanje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lijeka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</w:t>
      </w:r>
      <w:proofErr w:type="spellStart"/>
      <w:r>
        <w:rPr>
          <w:rFonts w:ascii="roboto" w:hAnsi="roboto"/>
        </w:rPr>
        <w:t>Radni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skladišni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prostori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treba</w:t>
      </w:r>
      <w:proofErr w:type="spellEnd"/>
      <w:r>
        <w:rPr>
          <w:rFonts w:ascii="roboto" w:hAnsi="roboto"/>
        </w:rPr>
        <w:t xml:space="preserve"> da </w:t>
      </w:r>
      <w:proofErr w:type="spellStart"/>
      <w:r>
        <w:rPr>
          <w:rFonts w:ascii="roboto" w:hAnsi="roboto"/>
        </w:rPr>
        <w:t>budu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čisti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suvi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održavani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unutar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prihvatljivih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ambijentalnih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propisanih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čuvanje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primjereni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vrsti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veličini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predviđenog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prometa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(3) U </w:t>
      </w:r>
      <w:proofErr w:type="spellStart"/>
      <w:r>
        <w:rPr>
          <w:rFonts w:ascii="roboto" w:hAnsi="roboto"/>
        </w:rPr>
        <w:t>prostorima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kojima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čuvaju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treba</w:t>
      </w:r>
      <w:proofErr w:type="spellEnd"/>
      <w:r>
        <w:rPr>
          <w:rFonts w:ascii="roboto" w:hAnsi="roboto"/>
        </w:rPr>
        <w:t xml:space="preserve"> da se </w:t>
      </w:r>
      <w:proofErr w:type="spellStart"/>
      <w:r>
        <w:rPr>
          <w:rFonts w:ascii="roboto" w:hAnsi="roboto"/>
        </w:rPr>
        <w:t>obezbijede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posebni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uslovi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odnosu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temperaturu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vlažnost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druge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zavisno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specifičnosti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vrste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(4) </w:t>
      </w:r>
      <w:proofErr w:type="spellStart"/>
      <w:r>
        <w:rPr>
          <w:rFonts w:ascii="roboto" w:hAnsi="roboto"/>
        </w:rPr>
        <w:t>Ljekovi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isteklim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rokom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upotrebe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ljekovi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koji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predmet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reklamacije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ili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vraćeni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iz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prometa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zbog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sumnje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kvalitet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sumnje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falsifikovani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lijek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sl., </w:t>
      </w:r>
      <w:proofErr w:type="spellStart"/>
      <w:r>
        <w:rPr>
          <w:rFonts w:ascii="roboto" w:hAnsi="roboto"/>
        </w:rPr>
        <w:t>moraju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posebno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čuvati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(5) </w:t>
      </w:r>
      <w:proofErr w:type="spellStart"/>
      <w:r>
        <w:rPr>
          <w:rFonts w:ascii="roboto" w:hAnsi="roboto"/>
        </w:rPr>
        <w:t>Pristup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ljekovima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može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biti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omogućen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samo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zaposlenim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veledrogeriji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jc w:val="center"/>
        <w:divId w:val="1992178175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6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(1) </w:t>
      </w:r>
      <w:proofErr w:type="spellStart"/>
      <w:r>
        <w:rPr>
          <w:rFonts w:ascii="roboto" w:hAnsi="roboto"/>
        </w:rPr>
        <w:t>Veterinarska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obezbjeđuje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prevozna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sredstva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odgovarajućom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opremom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prevoz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skladištenje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</w:t>
      </w:r>
      <w:proofErr w:type="spellStart"/>
      <w:r>
        <w:rPr>
          <w:rFonts w:ascii="roboto" w:hAnsi="roboto"/>
        </w:rPr>
        <w:t>Prevozna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sredstva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oprema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iz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stava</w:t>
      </w:r>
      <w:proofErr w:type="spellEnd"/>
      <w:r>
        <w:rPr>
          <w:rFonts w:ascii="roboto" w:hAnsi="roboto"/>
        </w:rPr>
        <w:t xml:space="preserve"> 1 </w:t>
      </w:r>
      <w:proofErr w:type="spellStart"/>
      <w:r>
        <w:rPr>
          <w:rFonts w:ascii="roboto" w:hAnsi="roboto"/>
        </w:rPr>
        <w:t>ovog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člana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održavaju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tako</w:t>
      </w:r>
      <w:proofErr w:type="spellEnd"/>
      <w:r>
        <w:rPr>
          <w:rFonts w:ascii="roboto" w:hAnsi="roboto"/>
        </w:rPr>
        <w:t xml:space="preserve"> da se </w:t>
      </w:r>
      <w:proofErr w:type="spellStart"/>
      <w:r>
        <w:rPr>
          <w:rFonts w:ascii="roboto" w:hAnsi="roboto"/>
        </w:rPr>
        <w:t>spriječi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izlaganje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ljekova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uslovima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koji</w:t>
      </w:r>
      <w:proofErr w:type="spellEnd"/>
      <w:r>
        <w:rPr>
          <w:rFonts w:ascii="roboto" w:hAnsi="roboto"/>
        </w:rPr>
        <w:t xml:space="preserve"> bi </w:t>
      </w:r>
      <w:proofErr w:type="spellStart"/>
      <w:r>
        <w:rPr>
          <w:rFonts w:ascii="roboto" w:hAnsi="roboto"/>
        </w:rPr>
        <w:t>mogli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negativno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uticati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njihov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kvalitet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integritet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jc w:val="center"/>
        <w:divId w:val="656540880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7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(1) Za </w:t>
      </w:r>
      <w:proofErr w:type="spellStart"/>
      <w:r>
        <w:rPr>
          <w:rFonts w:ascii="roboto" w:hAnsi="roboto"/>
        </w:rPr>
        <w:t>sve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standardne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operativne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postupke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uputstva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ugovore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zapise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podatke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vodi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dokumentacija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papirnom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ili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elektronskom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obliku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čitljivo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jasno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nedvosmisleno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</w:t>
      </w:r>
      <w:proofErr w:type="spellStart"/>
      <w:r>
        <w:rPr>
          <w:rFonts w:ascii="roboto" w:hAnsi="roboto"/>
        </w:rPr>
        <w:t>Svi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podaci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evidentiraju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vrijeme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obavljanja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svake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radnje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način</w:t>
      </w:r>
      <w:proofErr w:type="spellEnd"/>
      <w:r>
        <w:rPr>
          <w:rFonts w:ascii="roboto" w:hAnsi="roboto"/>
        </w:rPr>
        <w:t xml:space="preserve"> da se </w:t>
      </w:r>
      <w:proofErr w:type="spellStart"/>
      <w:r>
        <w:rPr>
          <w:rFonts w:ascii="roboto" w:hAnsi="roboto"/>
        </w:rPr>
        <w:t>obezbijedi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sljedljivost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svih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značajnih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aktivnosti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ili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događaja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jasno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naznačenim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vremenom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događaja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čime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omogućava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praćenje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lijeka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njegovo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povlačenje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iz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prometa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najkraćem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roku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jc w:val="center"/>
        <w:divId w:val="1609315001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8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(1) </w:t>
      </w:r>
      <w:proofErr w:type="spellStart"/>
      <w:r>
        <w:rPr>
          <w:rFonts w:ascii="roboto" w:hAnsi="roboto"/>
        </w:rPr>
        <w:t>Veterinarska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veledrogerija</w:t>
      </w:r>
      <w:proofErr w:type="spellEnd"/>
      <w:r>
        <w:rPr>
          <w:rFonts w:ascii="roboto" w:hAnsi="roboto"/>
        </w:rPr>
        <w:t xml:space="preserve">, u </w:t>
      </w:r>
      <w:proofErr w:type="spellStart"/>
      <w:r>
        <w:rPr>
          <w:rFonts w:ascii="roboto" w:hAnsi="roboto"/>
        </w:rPr>
        <w:t>skladu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utvrđenim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programom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sprovodi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internu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kontrolu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kako</w:t>
      </w:r>
      <w:proofErr w:type="spellEnd"/>
      <w:r>
        <w:rPr>
          <w:rFonts w:ascii="roboto" w:hAnsi="roboto"/>
        </w:rPr>
        <w:t xml:space="preserve"> bi se </w:t>
      </w:r>
      <w:proofErr w:type="spellStart"/>
      <w:r>
        <w:rPr>
          <w:rFonts w:ascii="roboto" w:hAnsi="roboto"/>
        </w:rPr>
        <w:t>kontrolisala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primjena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poštovanje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načela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Dobre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prakse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distribuciji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kao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da bi se </w:t>
      </w:r>
      <w:proofErr w:type="spellStart"/>
      <w:r>
        <w:rPr>
          <w:rFonts w:ascii="roboto" w:hAnsi="roboto"/>
        </w:rPr>
        <w:t>predlagale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potrebne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korektivne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mjere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O </w:t>
      </w:r>
      <w:proofErr w:type="spellStart"/>
      <w:r>
        <w:rPr>
          <w:rFonts w:ascii="roboto" w:hAnsi="roboto"/>
        </w:rPr>
        <w:t>sprovođenju</w:t>
      </w:r>
      <w:proofErr w:type="spellEnd"/>
      <w:r>
        <w:rPr>
          <w:rFonts w:ascii="roboto" w:hAnsi="roboto"/>
        </w:rPr>
        <w:t xml:space="preserve"> interne </w:t>
      </w:r>
      <w:proofErr w:type="spellStart"/>
      <w:r>
        <w:rPr>
          <w:rFonts w:ascii="roboto" w:hAnsi="roboto"/>
        </w:rPr>
        <w:t>kontrole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određenih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korektivnih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preventivnih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mjera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vodi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evidencija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(3) </w:t>
      </w:r>
      <w:proofErr w:type="spellStart"/>
      <w:r>
        <w:rPr>
          <w:rFonts w:ascii="roboto" w:hAnsi="roboto"/>
        </w:rPr>
        <w:t>Svi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postupci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koje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veterinarska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sprovodi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potpunosti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opisuju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dokumentaciji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sistema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obezbjeđenja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kvaliteta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sprovode</w:t>
      </w:r>
      <w:proofErr w:type="spellEnd"/>
      <w:r>
        <w:rPr>
          <w:rFonts w:ascii="roboto" w:hAnsi="roboto"/>
        </w:rPr>
        <w:t xml:space="preserve"> se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način</w:t>
      </w:r>
      <w:proofErr w:type="spellEnd"/>
      <w:r>
        <w:rPr>
          <w:rFonts w:ascii="roboto" w:hAnsi="roboto"/>
        </w:rPr>
        <w:t xml:space="preserve"> da se </w:t>
      </w:r>
      <w:proofErr w:type="spellStart"/>
      <w:r>
        <w:rPr>
          <w:rFonts w:ascii="roboto" w:hAnsi="roboto"/>
        </w:rPr>
        <w:t>sačuva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identitet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kvalitet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lijeka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jc w:val="center"/>
        <w:divId w:val="1133527118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9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O </w:t>
      </w:r>
      <w:proofErr w:type="spellStart"/>
      <w:r>
        <w:rPr>
          <w:rFonts w:ascii="roboto" w:hAnsi="roboto"/>
        </w:rPr>
        <w:t>primjeni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smjernica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Dobre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prakse</w:t>
      </w:r>
      <w:proofErr w:type="spellEnd"/>
      <w:r>
        <w:rPr>
          <w:rFonts w:ascii="roboto" w:hAnsi="roboto"/>
        </w:rPr>
        <w:t xml:space="preserve"> u </w:t>
      </w:r>
      <w:proofErr w:type="spellStart"/>
      <w:r>
        <w:rPr>
          <w:rFonts w:ascii="roboto" w:hAnsi="roboto"/>
        </w:rPr>
        <w:t>distribuciji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Agencija</w:t>
      </w:r>
      <w:proofErr w:type="spellEnd"/>
      <w:r>
        <w:rPr>
          <w:rFonts w:ascii="roboto" w:hAnsi="roboto"/>
        </w:rPr>
        <w:t xml:space="preserve"> za </w:t>
      </w:r>
      <w:proofErr w:type="spellStart"/>
      <w:r>
        <w:rPr>
          <w:rFonts w:ascii="roboto" w:hAnsi="roboto"/>
        </w:rPr>
        <w:t>ljekove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medicinska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sredstva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zahtjev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veterinarske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veledrogerije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izdaje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sertifikat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osnovu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provjere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ispunjenosti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uslova</w:t>
      </w:r>
      <w:proofErr w:type="spellEnd"/>
      <w:r>
        <w:rPr>
          <w:rFonts w:ascii="roboto" w:hAnsi="roboto"/>
        </w:rPr>
        <w:t>.</w:t>
      </w:r>
    </w:p>
    <w:p w:rsidR="00EA3D42" w:rsidRDefault="00D7755A">
      <w:pPr>
        <w:jc w:val="center"/>
        <w:divId w:val="2103211511"/>
        <w:rPr>
          <w:rFonts w:ascii="roboto" w:eastAsia="Times New Roman" w:hAnsi="roboto"/>
          <w:b/>
          <w:bCs/>
        </w:rPr>
      </w:pPr>
      <w:proofErr w:type="spellStart"/>
      <w:r>
        <w:rPr>
          <w:rFonts w:ascii="roboto" w:eastAsia="Times New Roman" w:hAnsi="roboto"/>
          <w:b/>
          <w:bCs/>
        </w:rPr>
        <w:t>Član</w:t>
      </w:r>
      <w:proofErr w:type="spellEnd"/>
      <w:r>
        <w:rPr>
          <w:rFonts w:ascii="roboto" w:eastAsia="Times New Roman" w:hAnsi="roboto"/>
          <w:b/>
          <w:bCs/>
        </w:rPr>
        <w:t xml:space="preserve"> 10</w:t>
      </w:r>
    </w:p>
    <w:p w:rsidR="00EA3D42" w:rsidRDefault="00D7755A">
      <w:pPr>
        <w:pStyle w:val="1tekst"/>
        <w:rPr>
          <w:rFonts w:ascii="roboto" w:hAnsi="roboto"/>
        </w:rPr>
      </w:pPr>
      <w:proofErr w:type="spellStart"/>
      <w:r>
        <w:rPr>
          <w:rFonts w:ascii="roboto" w:hAnsi="roboto"/>
        </w:rPr>
        <w:t>Ovaj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pravilnik</w:t>
      </w:r>
      <w:proofErr w:type="spellEnd"/>
      <w:r>
        <w:rPr>
          <w:rFonts w:ascii="roboto" w:hAnsi="roboto"/>
        </w:rPr>
        <w:t xml:space="preserve"> stupa </w:t>
      </w:r>
      <w:proofErr w:type="spellStart"/>
      <w:r>
        <w:rPr>
          <w:rFonts w:ascii="roboto" w:hAnsi="roboto"/>
        </w:rPr>
        <w:t>na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snagu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osmog</w:t>
      </w:r>
      <w:proofErr w:type="spellEnd"/>
      <w:r>
        <w:rPr>
          <w:rFonts w:ascii="roboto" w:hAnsi="roboto"/>
        </w:rPr>
        <w:t xml:space="preserve"> dana od dana </w:t>
      </w:r>
      <w:proofErr w:type="spellStart"/>
      <w:r>
        <w:rPr>
          <w:rFonts w:ascii="roboto" w:hAnsi="roboto"/>
        </w:rPr>
        <w:t>objavljivanja</w:t>
      </w:r>
      <w:proofErr w:type="spellEnd"/>
      <w:r>
        <w:rPr>
          <w:rFonts w:ascii="roboto" w:hAnsi="roboto"/>
        </w:rPr>
        <w:t xml:space="preserve"> u "</w:t>
      </w:r>
      <w:proofErr w:type="spellStart"/>
      <w:r>
        <w:rPr>
          <w:rFonts w:ascii="roboto" w:hAnsi="roboto"/>
        </w:rPr>
        <w:t>Službenom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listu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Crne</w:t>
      </w:r>
      <w:proofErr w:type="spellEnd"/>
      <w:r>
        <w:rPr>
          <w:rFonts w:ascii="roboto" w:hAnsi="roboto"/>
        </w:rPr>
        <w:t xml:space="preserve"> Gore".</w:t>
      </w:r>
    </w:p>
    <w:p w:rsidR="00EA3D42" w:rsidRDefault="00D7755A">
      <w:pPr>
        <w:pStyle w:val="1tekst"/>
        <w:rPr>
          <w:rFonts w:ascii="roboto" w:hAnsi="roboto"/>
        </w:rPr>
      </w:pPr>
      <w:proofErr w:type="spellStart"/>
      <w:r>
        <w:rPr>
          <w:rFonts w:ascii="roboto" w:hAnsi="roboto"/>
        </w:rPr>
        <w:t>Broj</w:t>
      </w:r>
      <w:proofErr w:type="spellEnd"/>
      <w:r>
        <w:rPr>
          <w:rFonts w:ascii="roboto" w:hAnsi="roboto"/>
        </w:rPr>
        <w:t>: 323-225/16-4</w:t>
      </w:r>
    </w:p>
    <w:p w:rsidR="00EA3D42" w:rsidRDefault="00D7755A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Podgorica, 18. </w:t>
      </w:r>
      <w:proofErr w:type="spellStart"/>
      <w:r>
        <w:rPr>
          <w:rFonts w:ascii="roboto" w:hAnsi="roboto"/>
        </w:rPr>
        <w:t>jula</w:t>
      </w:r>
      <w:proofErr w:type="spellEnd"/>
      <w:r>
        <w:rPr>
          <w:rFonts w:ascii="roboto" w:hAnsi="roboto"/>
        </w:rPr>
        <w:t xml:space="preserve"> 2016. </w:t>
      </w:r>
      <w:proofErr w:type="spellStart"/>
      <w:r>
        <w:rPr>
          <w:rFonts w:ascii="roboto" w:hAnsi="roboto"/>
        </w:rPr>
        <w:t>godine</w:t>
      </w:r>
      <w:proofErr w:type="spellEnd"/>
    </w:p>
    <w:p w:rsidR="00EA3D42" w:rsidRDefault="00D7755A">
      <w:pPr>
        <w:pStyle w:val="1tekst"/>
        <w:jc w:val="right"/>
        <w:rPr>
          <w:rFonts w:ascii="roboto" w:hAnsi="roboto"/>
        </w:rPr>
      </w:pPr>
      <w:proofErr w:type="spellStart"/>
      <w:r>
        <w:rPr>
          <w:rFonts w:ascii="roboto" w:hAnsi="roboto"/>
        </w:rPr>
        <w:t>Ministar</w:t>
      </w:r>
      <w:proofErr w:type="spellEnd"/>
      <w:r>
        <w:rPr>
          <w:rFonts w:ascii="roboto" w:hAnsi="roboto"/>
        </w:rPr>
        <w:t>,</w:t>
      </w:r>
    </w:p>
    <w:p w:rsidR="00D7755A" w:rsidRDefault="00D7755A">
      <w:pPr>
        <w:pStyle w:val="1tekst"/>
        <w:jc w:val="right"/>
        <w:rPr>
          <w:rFonts w:ascii="roboto" w:hAnsi="roboto"/>
        </w:rPr>
      </w:pPr>
      <w:r>
        <w:rPr>
          <w:rFonts w:ascii="roboto" w:hAnsi="roboto"/>
          <w:b/>
          <w:bCs/>
        </w:rPr>
        <w:t xml:space="preserve">Budimir </w:t>
      </w:r>
      <w:proofErr w:type="spellStart"/>
      <w:r>
        <w:rPr>
          <w:rFonts w:ascii="roboto" w:hAnsi="roboto"/>
          <w:b/>
          <w:bCs/>
        </w:rPr>
        <w:t>Mugoša</w:t>
      </w:r>
      <w:proofErr w:type="spellEnd"/>
      <w:r>
        <w:rPr>
          <w:rFonts w:ascii="roboto" w:hAnsi="roboto"/>
        </w:rPr>
        <w:t xml:space="preserve">, </w:t>
      </w:r>
      <w:proofErr w:type="spellStart"/>
      <w:r>
        <w:rPr>
          <w:rFonts w:ascii="roboto" w:hAnsi="roboto"/>
        </w:rPr>
        <w:t>s.r.</w:t>
      </w:r>
      <w:proofErr w:type="spellEnd"/>
    </w:p>
    <w:sectPr w:rsidR="00D77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72"/>
    <w:rsid w:val="00281272"/>
    <w:rsid w:val="00743FAA"/>
    <w:rsid w:val="00992640"/>
    <w:rsid w:val="00B53E4A"/>
    <w:rsid w:val="00B8489E"/>
    <w:rsid w:val="00D7755A"/>
    <w:rsid w:val="00E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91616-4642-4C97-BD5A-CB67C838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6002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9993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30674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23656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1589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791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15663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681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4499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96947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bližim uslovima i načinu utvrđivanja ispunjenosti uslova za obavljanje prometa veterinarskih ljekova na veliko</vt:lpstr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bližim uslovima i načinu utvrđivanja ispunjenosti uslova za obavljanje prometa veterinarskih ljekova na veliko</dc:title>
  <dc:subject/>
  <dc:creator>Jelena Vracar</dc:creator>
  <cp:keywords/>
  <dc:description/>
  <cp:lastModifiedBy>Stefan Mitrovic</cp:lastModifiedBy>
  <cp:revision>1</cp:revision>
  <dcterms:created xsi:type="dcterms:W3CDTF">2025-02-24T05:55:00Z</dcterms:created>
  <dcterms:modified xsi:type="dcterms:W3CDTF">2025-02-24T05:55:00Z</dcterms:modified>
</cp:coreProperties>
</file>