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1404C8" w:rsidR="00147CCB" w:rsidRPr="00FD3821" w:rsidRDefault="00A844A7" w:rsidP="00A844A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72" w:after="72"/>
        <w:jc w:val="right"/>
        <w:rPr>
          <w:b/>
          <w:bCs/>
          <w:color w:val="000000"/>
          <w:sz w:val="28"/>
          <w:szCs w:val="32"/>
          <w:lang w:val="sr-Latn-ME"/>
        </w:rPr>
      </w:pPr>
      <w:r w:rsidRPr="00FD3821">
        <w:rPr>
          <w:b/>
          <w:bCs/>
          <w:color w:val="000000"/>
          <w:sz w:val="28"/>
          <w:szCs w:val="32"/>
          <w:lang w:val="sr-Latn-ME"/>
        </w:rPr>
        <w:t>NACRT</w:t>
      </w:r>
    </w:p>
    <w:p w14:paraId="5D451ABB" w14:textId="77777777" w:rsidR="00A844A7" w:rsidRPr="00FD3821" w:rsidRDefault="00A844A7" w:rsidP="0EEDC162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before="72" w:after="72"/>
        <w:jc w:val="center"/>
        <w:rPr>
          <w:color w:val="000000"/>
          <w:sz w:val="32"/>
          <w:szCs w:val="32"/>
          <w:lang w:val="sr-Latn-ME"/>
        </w:rPr>
      </w:pPr>
    </w:p>
    <w:p w14:paraId="00000002" w14:textId="77777777" w:rsidR="00147CCB" w:rsidRPr="00FD3821" w:rsidRDefault="00A844A7" w:rsidP="0EEDC162">
      <w:pPr>
        <w:shd w:val="clear" w:color="auto" w:fill="FFFFFF" w:themeFill="background1"/>
        <w:spacing w:before="72" w:after="72"/>
        <w:jc w:val="center"/>
        <w:rPr>
          <w:color w:val="000000"/>
          <w:sz w:val="32"/>
          <w:szCs w:val="32"/>
          <w:lang w:val="sr-Latn-ME"/>
        </w:rPr>
      </w:pPr>
      <w:r w:rsidRPr="00FD3821">
        <w:rPr>
          <w:b/>
          <w:bCs/>
          <w:sz w:val="32"/>
          <w:szCs w:val="32"/>
          <w:lang w:val="sr-Latn-ME"/>
        </w:rPr>
        <w:t>ZAKON ZA SPROVOĐENJE REGULATIVE (EU) 2022/1925 O DIGITALNIM TRŽIŠTIMA</w:t>
      </w:r>
    </w:p>
    <w:p w14:paraId="00000003" w14:textId="77777777" w:rsidR="00147CCB" w:rsidRPr="00FD3821" w:rsidRDefault="00147CC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72" w:after="72"/>
        <w:jc w:val="center"/>
        <w:rPr>
          <w:color w:val="231F20"/>
          <w:sz w:val="20"/>
          <w:szCs w:val="20"/>
          <w:lang w:val="sr-Latn-ME"/>
        </w:rPr>
      </w:pPr>
    </w:p>
    <w:p w14:paraId="00000004" w14:textId="1DAF421B" w:rsidR="00147CCB" w:rsidRPr="00FD3821" w:rsidRDefault="00A844A7">
      <w:pPr>
        <w:widowControl/>
        <w:numPr>
          <w:ilvl w:val="2"/>
          <w:numId w:val="1"/>
        </w:numPr>
        <w:ind w:left="144" w:firstLine="245"/>
        <w:rPr>
          <w:lang w:val="sr-Latn-ME"/>
        </w:rPr>
      </w:pPr>
      <w:r w:rsidRPr="00FD3821">
        <w:rPr>
          <w:b/>
          <w:bCs/>
          <w:lang w:val="sr-Latn-ME"/>
        </w:rPr>
        <w:t>I. OPŠTE ODREDBE</w:t>
      </w:r>
    </w:p>
    <w:p w14:paraId="6787C44C" w14:textId="77777777" w:rsidR="002538B7" w:rsidRPr="00FD3821" w:rsidRDefault="002538B7">
      <w:pPr>
        <w:widowControl/>
        <w:numPr>
          <w:ilvl w:val="2"/>
          <w:numId w:val="1"/>
        </w:numPr>
        <w:ind w:left="144" w:firstLine="245"/>
        <w:rPr>
          <w:lang w:val="sr-Latn-ME"/>
        </w:rPr>
      </w:pPr>
    </w:p>
    <w:p w14:paraId="00000005" w14:textId="77777777" w:rsidR="00147CCB" w:rsidRPr="00FD3821" w:rsidRDefault="00A844A7">
      <w:pPr>
        <w:widowControl/>
        <w:jc w:val="center"/>
        <w:rPr>
          <w:lang w:val="sr-Latn-ME"/>
        </w:rPr>
      </w:pPr>
      <w:r w:rsidRPr="00FD3821">
        <w:rPr>
          <w:b/>
          <w:bCs/>
          <w:lang w:val="sr-Latn-ME"/>
        </w:rPr>
        <w:t xml:space="preserve">Predmet </w:t>
      </w:r>
    </w:p>
    <w:p w14:paraId="00000006" w14:textId="77777777" w:rsidR="00147CCB" w:rsidRPr="00FD3821" w:rsidRDefault="00A844A7">
      <w:pPr>
        <w:widowControl/>
        <w:jc w:val="center"/>
        <w:rPr>
          <w:lang w:val="sr-Latn-ME"/>
        </w:rPr>
      </w:pPr>
      <w:r w:rsidRPr="00FD3821">
        <w:rPr>
          <w:b/>
          <w:bCs/>
          <w:lang w:val="sr-Latn-ME"/>
        </w:rPr>
        <w:t>Član 1</w:t>
      </w:r>
    </w:p>
    <w:p w14:paraId="00000007" w14:textId="2AB8A725" w:rsidR="00147CCB" w:rsidRPr="00FD3821" w:rsidRDefault="00A844A7" w:rsidP="0EEDC162">
      <w:pPr>
        <w:widowControl/>
        <w:ind w:firstLine="720"/>
        <w:jc w:val="both"/>
        <w:rPr>
          <w:lang w:val="sr-Latn-ME"/>
        </w:rPr>
      </w:pPr>
      <w:r w:rsidRPr="00FD3821">
        <w:rPr>
          <w:lang w:val="sr-Latn-ME"/>
        </w:rPr>
        <w:t xml:space="preserve">U cilju sprovođenja </w:t>
      </w:r>
      <w:hyperlink r:id="rId6">
        <w:r w:rsidRPr="00FD3821">
          <w:rPr>
            <w:lang w:val="sr-Latn-ME"/>
          </w:rPr>
          <w:t>Regulative (EU) 2022/</w:t>
        </w:r>
      </w:hyperlink>
      <w:hyperlink r:id="rId7">
        <w:r w:rsidRPr="00FD3821">
          <w:rPr>
            <w:lang w:val="sr-Latn-ME"/>
          </w:rPr>
          <w:t>1925</w:t>
        </w:r>
      </w:hyperlink>
      <w:hyperlink r:id="rId8">
        <w:r w:rsidRPr="00FD3821">
          <w:rPr>
            <w:lang w:val="sr-Latn-ME"/>
          </w:rPr>
          <w:t xml:space="preserve"> Evropskog parlamenta i Savjeta od 1</w:t>
        </w:r>
      </w:hyperlink>
      <w:hyperlink r:id="rId9">
        <w:r w:rsidRPr="00FD3821">
          <w:rPr>
            <w:lang w:val="sr-Latn-ME"/>
          </w:rPr>
          <w:t>4</w:t>
        </w:r>
      </w:hyperlink>
      <w:hyperlink r:id="rId10">
        <w:r w:rsidRPr="00FD3821">
          <w:rPr>
            <w:lang w:val="sr-Latn-ME"/>
          </w:rPr>
          <w:t xml:space="preserve">. </w:t>
        </w:r>
      </w:hyperlink>
      <w:hyperlink r:id="rId11">
        <w:r w:rsidRPr="00FD3821">
          <w:rPr>
            <w:lang w:val="sr-Latn-ME"/>
          </w:rPr>
          <w:t>septembra</w:t>
        </w:r>
      </w:hyperlink>
      <w:hyperlink r:id="rId12">
        <w:r w:rsidRPr="00FD3821">
          <w:rPr>
            <w:lang w:val="sr-Latn-ME"/>
          </w:rPr>
          <w:t xml:space="preserve"> 2022. godine </w:t>
        </w:r>
      </w:hyperlink>
      <w:hyperlink r:id="rId13">
        <w:r w:rsidRPr="00FD3821">
          <w:rPr>
            <w:lang w:val="sr-Latn-ME"/>
          </w:rPr>
          <w:t>o pravednim tržištima u digitalnom sektoru i izmjeni direktiva 2019/1937 i 2020/1828</w:t>
        </w:r>
      </w:hyperlink>
      <w:r w:rsidRPr="00FD3821">
        <w:rPr>
          <w:lang w:val="sr-Latn-ME"/>
        </w:rPr>
        <w:t xml:space="preserve"> (u daljem tekstu: Regulativa (EU) 2022/1925), ovim </w:t>
      </w:r>
      <w:r w:rsidR="001C5BB4" w:rsidRPr="00FD3821">
        <w:rPr>
          <w:lang w:val="sr-Latn-ME"/>
        </w:rPr>
        <w:t>z</w:t>
      </w:r>
      <w:r w:rsidRPr="00FD3821">
        <w:rPr>
          <w:lang w:val="sr-Latn-ME"/>
        </w:rPr>
        <w:t>akonom određuj</w:t>
      </w:r>
      <w:r w:rsidR="002538B7" w:rsidRPr="00FD3821">
        <w:rPr>
          <w:lang w:val="sr-Latn-ME"/>
        </w:rPr>
        <w:t>e</w:t>
      </w:r>
      <w:r w:rsidRPr="00FD3821">
        <w:rPr>
          <w:lang w:val="sr-Latn-ME"/>
        </w:rPr>
        <w:t xml:space="preserve"> se </w:t>
      </w:r>
      <w:r w:rsidR="002538B7" w:rsidRPr="00FD3821">
        <w:rPr>
          <w:lang w:val="sr-Latn-ME"/>
        </w:rPr>
        <w:t>tijelo</w:t>
      </w:r>
      <w:r w:rsidRPr="00FD3821">
        <w:rPr>
          <w:lang w:val="sr-Latn-ME"/>
        </w:rPr>
        <w:t xml:space="preserve"> na nacionalnom nivou (u daljem tekstu: </w:t>
      </w:r>
      <w:r w:rsidR="002538B7" w:rsidRPr="00FD3821">
        <w:rPr>
          <w:lang w:val="sr-Latn-ME"/>
        </w:rPr>
        <w:t>nadležno tij</w:t>
      </w:r>
      <w:r w:rsidR="002D2FEA" w:rsidRPr="00FD3821">
        <w:rPr>
          <w:lang w:val="sr-Latn-ME"/>
        </w:rPr>
        <w:t>e</w:t>
      </w:r>
      <w:r w:rsidR="002538B7" w:rsidRPr="00FD3821">
        <w:rPr>
          <w:lang w:val="sr-Latn-ME"/>
        </w:rPr>
        <w:t>lo</w:t>
      </w:r>
      <w:r w:rsidRPr="00FD3821">
        <w:rPr>
          <w:lang w:val="sr-Latn-ME"/>
        </w:rPr>
        <w:t>) i nj</w:t>
      </w:r>
      <w:r w:rsidR="002538B7" w:rsidRPr="00FD3821">
        <w:rPr>
          <w:lang w:val="sr-Latn-ME"/>
        </w:rPr>
        <w:t>egove</w:t>
      </w:r>
      <w:r w:rsidRPr="00FD3821">
        <w:rPr>
          <w:lang w:val="sr-Latn-ME"/>
        </w:rPr>
        <w:t xml:space="preserve"> nadležnosti u svrhu saradnje i koordinacije sa Evropskom komisijom</w:t>
      </w:r>
      <w:r w:rsidR="00130482" w:rsidRPr="00FD3821">
        <w:rPr>
          <w:lang w:val="sr-Latn-ME"/>
        </w:rPr>
        <w:t>, kao i institucionalni, proceduralni i koordinacioni okvir za njenu primjenu od dana pristupanja Crne Gore Evropskoj uniji</w:t>
      </w:r>
      <w:r w:rsidRPr="00FD3821">
        <w:rPr>
          <w:lang w:val="sr-Latn-ME"/>
        </w:rPr>
        <w:t>.</w:t>
      </w:r>
    </w:p>
    <w:p w14:paraId="00000008" w14:textId="77777777" w:rsidR="00147CCB" w:rsidRPr="00FD3821" w:rsidRDefault="00147CCB">
      <w:pPr>
        <w:rPr>
          <w:lang w:val="sr-Latn-ME"/>
        </w:rPr>
      </w:pPr>
    </w:p>
    <w:p w14:paraId="00000009" w14:textId="77777777" w:rsidR="00147CCB" w:rsidRPr="00FD3821" w:rsidRDefault="00A844A7">
      <w:pPr>
        <w:jc w:val="center"/>
        <w:rPr>
          <w:lang w:val="sr-Latn-ME"/>
        </w:rPr>
      </w:pPr>
      <w:r w:rsidRPr="00FD3821">
        <w:rPr>
          <w:b/>
          <w:bCs/>
          <w:lang w:val="sr-Latn-ME"/>
        </w:rPr>
        <w:t>Upotreba rodno osjetljivog jezika</w:t>
      </w:r>
    </w:p>
    <w:p w14:paraId="0000000B" w14:textId="3F438E1A" w:rsidR="00147CCB" w:rsidRPr="00FD3821" w:rsidRDefault="00A844A7" w:rsidP="002538B7">
      <w:pPr>
        <w:jc w:val="center"/>
        <w:rPr>
          <w:lang w:val="sr-Latn-ME"/>
        </w:rPr>
      </w:pPr>
      <w:r w:rsidRPr="00FD3821">
        <w:rPr>
          <w:b/>
          <w:bCs/>
          <w:lang w:val="sr-Latn-ME"/>
        </w:rPr>
        <w:t>Član 2</w:t>
      </w:r>
    </w:p>
    <w:p w14:paraId="0000000C" w14:textId="77777777" w:rsidR="00147CCB" w:rsidRPr="00FD3821" w:rsidRDefault="00A844A7">
      <w:pPr>
        <w:widowControl/>
        <w:ind w:firstLine="720"/>
        <w:jc w:val="both"/>
        <w:rPr>
          <w:lang w:val="sr-Latn-ME"/>
        </w:rPr>
      </w:pPr>
      <w:r w:rsidRPr="00FD3821">
        <w:rPr>
          <w:lang w:val="sr-Latn-ME"/>
        </w:rPr>
        <w:t>Izrazi koji se u ovom zakonu koriste za fizička lica u muškom rodu podrazumijevaju iste izraze u ženskom rodu.</w:t>
      </w:r>
    </w:p>
    <w:p w14:paraId="0000000D" w14:textId="77777777" w:rsidR="00147CCB" w:rsidRPr="00FD3821" w:rsidRDefault="00147CCB">
      <w:pPr>
        <w:widowControl/>
        <w:ind w:firstLine="720"/>
        <w:jc w:val="both"/>
        <w:rPr>
          <w:lang w:val="sr-Latn-ME"/>
        </w:rPr>
      </w:pPr>
    </w:p>
    <w:p w14:paraId="0000000E" w14:textId="77777777" w:rsidR="00147CCB" w:rsidRPr="00FD3821" w:rsidRDefault="00A844A7">
      <w:pPr>
        <w:widowControl/>
        <w:jc w:val="center"/>
        <w:rPr>
          <w:lang w:val="sr-Latn-ME"/>
        </w:rPr>
      </w:pPr>
      <w:r w:rsidRPr="00FD3821">
        <w:rPr>
          <w:b/>
          <w:bCs/>
          <w:lang w:val="sr-Latn-ME"/>
        </w:rPr>
        <w:t>Značenje izraza</w:t>
      </w:r>
    </w:p>
    <w:p w14:paraId="0000000F" w14:textId="77777777" w:rsidR="00147CCB" w:rsidRPr="00FD3821" w:rsidRDefault="00A844A7">
      <w:pPr>
        <w:widowControl/>
        <w:jc w:val="center"/>
        <w:rPr>
          <w:lang w:val="sr-Latn-ME"/>
        </w:rPr>
      </w:pPr>
      <w:r w:rsidRPr="00FD3821">
        <w:rPr>
          <w:b/>
          <w:bCs/>
          <w:lang w:val="sr-Latn-ME"/>
        </w:rPr>
        <w:t>Član 3</w:t>
      </w:r>
    </w:p>
    <w:p w14:paraId="00000010" w14:textId="77777777" w:rsidR="00147CCB" w:rsidRPr="00FD3821" w:rsidRDefault="00A844A7">
      <w:pPr>
        <w:widowControl/>
        <w:ind w:firstLine="720"/>
        <w:jc w:val="both"/>
        <w:rPr>
          <w:lang w:val="sr-Latn-ME"/>
        </w:rPr>
      </w:pPr>
      <w:r w:rsidRPr="00FD3821">
        <w:rPr>
          <w:lang w:val="sr-Latn-ME"/>
        </w:rPr>
        <w:t>Izrazi upotrijebljeni u ovom zakonu imaju jednako značenje kao u Regulativi (EU) 2022/1925.</w:t>
      </w:r>
    </w:p>
    <w:p w14:paraId="00000011" w14:textId="77777777" w:rsidR="00147CCB" w:rsidRPr="00FD3821" w:rsidRDefault="00147CC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72" w:after="72"/>
        <w:rPr>
          <w:color w:val="231F20"/>
          <w:sz w:val="20"/>
          <w:szCs w:val="20"/>
          <w:lang w:val="sr-Latn-ME"/>
        </w:rPr>
      </w:pPr>
    </w:p>
    <w:p w14:paraId="00000012" w14:textId="751C4935" w:rsidR="00147CCB" w:rsidRPr="00FD3821" w:rsidRDefault="00A844A7">
      <w:pPr>
        <w:widowControl/>
        <w:numPr>
          <w:ilvl w:val="2"/>
          <w:numId w:val="1"/>
        </w:numPr>
        <w:ind w:left="144" w:firstLine="245"/>
        <w:rPr>
          <w:lang w:val="sr-Latn-ME"/>
        </w:rPr>
      </w:pPr>
      <w:r w:rsidRPr="00FD3821">
        <w:rPr>
          <w:b/>
          <w:bCs/>
          <w:lang w:val="sr-Latn-ME"/>
        </w:rPr>
        <w:t>II. NACIONALN</w:t>
      </w:r>
      <w:r w:rsidR="002538B7" w:rsidRPr="00FD3821">
        <w:rPr>
          <w:b/>
          <w:bCs/>
          <w:lang w:val="sr-Latn-ME"/>
        </w:rPr>
        <w:t>O</w:t>
      </w:r>
      <w:r w:rsidRPr="00FD3821">
        <w:rPr>
          <w:b/>
          <w:bCs/>
          <w:lang w:val="sr-Latn-ME"/>
        </w:rPr>
        <w:t xml:space="preserve"> NADLEŽN</w:t>
      </w:r>
      <w:r w:rsidR="002538B7" w:rsidRPr="00FD3821">
        <w:rPr>
          <w:b/>
          <w:bCs/>
          <w:lang w:val="sr-Latn-ME"/>
        </w:rPr>
        <w:t>O</w:t>
      </w:r>
      <w:r w:rsidRPr="00FD3821">
        <w:rPr>
          <w:b/>
          <w:bCs/>
          <w:lang w:val="sr-Latn-ME"/>
        </w:rPr>
        <w:t xml:space="preserve"> </w:t>
      </w:r>
      <w:r w:rsidR="002538B7" w:rsidRPr="00FD3821">
        <w:rPr>
          <w:b/>
          <w:bCs/>
          <w:lang w:val="sr-Latn-ME"/>
        </w:rPr>
        <w:t xml:space="preserve">TIJELO </w:t>
      </w:r>
      <w:r w:rsidRPr="00FD3821">
        <w:rPr>
          <w:b/>
          <w:bCs/>
          <w:lang w:val="sr-Latn-ME"/>
        </w:rPr>
        <w:t xml:space="preserve"> I NADLEŽNOSTI NACIONALN</w:t>
      </w:r>
      <w:r w:rsidR="005421BF" w:rsidRPr="00FD3821">
        <w:rPr>
          <w:b/>
          <w:bCs/>
          <w:lang w:val="sr-Latn-ME"/>
        </w:rPr>
        <w:t>OG</w:t>
      </w:r>
      <w:r w:rsidRPr="00FD3821">
        <w:rPr>
          <w:b/>
          <w:bCs/>
          <w:lang w:val="sr-Latn-ME"/>
        </w:rPr>
        <w:t xml:space="preserve"> NADLEŽN</w:t>
      </w:r>
      <w:r w:rsidR="005421BF" w:rsidRPr="00FD3821">
        <w:rPr>
          <w:b/>
          <w:bCs/>
          <w:lang w:val="sr-Latn-ME"/>
        </w:rPr>
        <w:t>OG</w:t>
      </w:r>
      <w:r w:rsidRPr="00FD3821">
        <w:rPr>
          <w:b/>
          <w:bCs/>
          <w:lang w:val="sr-Latn-ME"/>
        </w:rPr>
        <w:t xml:space="preserve"> </w:t>
      </w:r>
      <w:r w:rsidR="002538B7" w:rsidRPr="00FD3821">
        <w:rPr>
          <w:b/>
          <w:bCs/>
          <w:lang w:val="sr-Latn-ME"/>
        </w:rPr>
        <w:t>TIJELA</w:t>
      </w:r>
    </w:p>
    <w:p w14:paraId="00000013" w14:textId="77777777" w:rsidR="00147CCB" w:rsidRPr="00FD3821" w:rsidRDefault="00147CCB">
      <w:pPr>
        <w:widowControl/>
        <w:jc w:val="center"/>
        <w:rPr>
          <w:lang w:val="sr-Latn-ME"/>
        </w:rPr>
      </w:pPr>
    </w:p>
    <w:p w14:paraId="00000014" w14:textId="565E5D7F" w:rsidR="00147CCB" w:rsidRPr="00FD3821" w:rsidRDefault="00A844A7">
      <w:pPr>
        <w:widowControl/>
        <w:jc w:val="center"/>
        <w:rPr>
          <w:lang w:val="sr-Latn-ME"/>
        </w:rPr>
      </w:pPr>
      <w:r w:rsidRPr="00FD3821">
        <w:rPr>
          <w:b/>
          <w:bCs/>
          <w:lang w:val="sr-Latn-ME"/>
        </w:rPr>
        <w:t>Nadležn</w:t>
      </w:r>
      <w:r w:rsidR="006D69F1" w:rsidRPr="00FD3821">
        <w:rPr>
          <w:b/>
          <w:bCs/>
          <w:lang w:val="sr-Latn-ME"/>
        </w:rPr>
        <w:t>o</w:t>
      </w:r>
      <w:r w:rsidRPr="00FD3821">
        <w:rPr>
          <w:b/>
          <w:bCs/>
          <w:lang w:val="sr-Latn-ME"/>
        </w:rPr>
        <w:t xml:space="preserve"> </w:t>
      </w:r>
      <w:r w:rsidR="006D69F1" w:rsidRPr="00FD3821">
        <w:rPr>
          <w:b/>
          <w:bCs/>
          <w:lang w:val="sr-Latn-ME"/>
        </w:rPr>
        <w:t>tijelo</w:t>
      </w:r>
    </w:p>
    <w:p w14:paraId="00000015" w14:textId="77777777" w:rsidR="00147CCB" w:rsidRPr="00FD3821" w:rsidRDefault="00A844A7">
      <w:pPr>
        <w:widowControl/>
        <w:jc w:val="center"/>
        <w:rPr>
          <w:lang w:val="sr-Latn-ME"/>
        </w:rPr>
      </w:pPr>
      <w:r w:rsidRPr="00FD3821">
        <w:rPr>
          <w:b/>
          <w:bCs/>
          <w:lang w:val="sr-Latn-ME"/>
        </w:rPr>
        <w:t>Član 4</w:t>
      </w:r>
    </w:p>
    <w:p w14:paraId="00000016" w14:textId="4A742575" w:rsidR="00147CCB" w:rsidRPr="00FD3821" w:rsidRDefault="00130482">
      <w:pPr>
        <w:widowControl/>
        <w:ind w:firstLine="720"/>
        <w:jc w:val="both"/>
        <w:rPr>
          <w:lang w:val="sr-Latn-ME"/>
        </w:rPr>
      </w:pPr>
      <w:r w:rsidRPr="00FD3821">
        <w:rPr>
          <w:lang w:val="sr-Latn-ME"/>
        </w:rPr>
        <w:t xml:space="preserve">Nadležno tijelo za saradnju, koordinaciju i pružanje pomoći Evropskoj komisiji u vezi sa primjenom Regulative (EU) 2022/1925 je </w:t>
      </w:r>
      <w:r w:rsidR="00A844A7" w:rsidRPr="00FD3821">
        <w:rPr>
          <w:lang w:val="sr-Latn-ME"/>
        </w:rPr>
        <w:t>Agencija za zaštitu konkurencije (u daljem tekstu: Agencija)</w:t>
      </w:r>
      <w:r w:rsidR="002538B7" w:rsidRPr="00FD3821">
        <w:rPr>
          <w:lang w:val="sr-Latn-ME"/>
        </w:rPr>
        <w:t>, kao samostalno i nezavisno pravno lice, osnovano u skladu sa zakonom kojim se uređuje zaštita konkurencije.</w:t>
      </w:r>
    </w:p>
    <w:p w14:paraId="00000017" w14:textId="0F42FD82" w:rsidR="00147CCB" w:rsidRPr="00FD3821" w:rsidRDefault="00147CCB">
      <w:pPr>
        <w:widowControl/>
        <w:ind w:firstLine="720"/>
        <w:jc w:val="both"/>
        <w:rPr>
          <w:lang w:val="sr-Latn-ME"/>
        </w:rPr>
      </w:pPr>
    </w:p>
    <w:p w14:paraId="425BBC5E" w14:textId="7BFD2041" w:rsidR="001D3921" w:rsidRPr="00FD3821" w:rsidRDefault="00A844A7" w:rsidP="005421BF">
      <w:pPr>
        <w:widowControl/>
        <w:ind w:firstLine="720"/>
        <w:jc w:val="both"/>
        <w:rPr>
          <w:lang w:val="sr-Latn-ME"/>
        </w:rPr>
      </w:pPr>
      <w:r w:rsidRPr="00FD3821">
        <w:rPr>
          <w:lang w:val="sr-Latn-ME"/>
        </w:rPr>
        <w:t>Agencija obavlja sljedeće poslove</w:t>
      </w:r>
      <w:r w:rsidR="001D3921" w:rsidRPr="00FD3821">
        <w:rPr>
          <w:lang w:val="sr-Latn-ME"/>
        </w:rPr>
        <w:t>:</w:t>
      </w:r>
    </w:p>
    <w:p w14:paraId="0BACC60F" w14:textId="03DEE8C4" w:rsidR="001D3921" w:rsidRPr="00FD3821" w:rsidRDefault="001D3921" w:rsidP="001D3921">
      <w:pPr>
        <w:pStyle w:val="ListParagraph"/>
        <w:widowControl/>
        <w:numPr>
          <w:ilvl w:val="0"/>
          <w:numId w:val="4"/>
        </w:numPr>
        <w:jc w:val="both"/>
        <w:rPr>
          <w:lang w:val="sr-Latn-ME"/>
        </w:rPr>
      </w:pPr>
      <w:r w:rsidRPr="00FD3821">
        <w:rPr>
          <w:lang w:val="sr-Latn-ME"/>
        </w:rPr>
        <w:t>pisanim putem obavještava Evropsku komisiju o namjeri pokretanja postupka protiv nadzornika pristupa u smislu propisa o zaštiti konkurencije, prije ili odmah nakon pokretanja takvog postupka;</w:t>
      </w:r>
    </w:p>
    <w:p w14:paraId="1BB006A4" w14:textId="5C251C18" w:rsidR="001D3921" w:rsidRPr="00FD3821" w:rsidRDefault="000D193D" w:rsidP="001D3921">
      <w:pPr>
        <w:pStyle w:val="ListParagraph"/>
        <w:widowControl/>
        <w:numPr>
          <w:ilvl w:val="0"/>
          <w:numId w:val="4"/>
        </w:numPr>
        <w:jc w:val="both"/>
        <w:rPr>
          <w:lang w:val="sr-Latn-ME"/>
        </w:rPr>
      </w:pPr>
      <w:r w:rsidRPr="00FD3821">
        <w:rPr>
          <w:lang w:val="sr-Latn-ME"/>
        </w:rPr>
        <w:t xml:space="preserve">pisanim putem </w:t>
      </w:r>
      <w:r w:rsidR="001D3921" w:rsidRPr="00FD3821">
        <w:rPr>
          <w:lang w:val="sr-Latn-ME"/>
        </w:rPr>
        <w:t>obavještava Evropsku komisiju o svojim mjerama izvršavanja, uključujući dostavu svih informacija u vezi činjeničnih ili pravnih pitanja te povjerljivih informacija putem Evropske mreže za konkurenciju;</w:t>
      </w:r>
    </w:p>
    <w:p w14:paraId="2E334FD3" w14:textId="5AA445B5" w:rsidR="001D3921" w:rsidRPr="00FD3821" w:rsidRDefault="001D3921" w:rsidP="001D3921">
      <w:pPr>
        <w:pStyle w:val="ListParagraph"/>
        <w:widowControl/>
        <w:numPr>
          <w:ilvl w:val="0"/>
          <w:numId w:val="4"/>
        </w:numPr>
        <w:jc w:val="both"/>
        <w:rPr>
          <w:lang w:val="sr-Latn-ME"/>
        </w:rPr>
      </w:pPr>
      <w:r w:rsidRPr="00FD3821">
        <w:rPr>
          <w:lang w:val="sr-Latn-ME"/>
        </w:rPr>
        <w:t xml:space="preserve">u slučaju namjere </w:t>
      </w:r>
      <w:r w:rsidR="002538B7" w:rsidRPr="00FD3821">
        <w:rPr>
          <w:lang w:val="sr-Latn-ME"/>
        </w:rPr>
        <w:t xml:space="preserve">nalaganja </w:t>
      </w:r>
      <w:r w:rsidRPr="00FD3821">
        <w:rPr>
          <w:lang w:val="sr-Latn-ME"/>
        </w:rPr>
        <w:t xml:space="preserve">mjera prema nadzorniku pristupa u smislu propisa o zaštiti konkurencije, dostavlja Evropskoj komisiji nacrt mjere s obrazloženjem, najkasnije 30 dana prije </w:t>
      </w:r>
      <w:r w:rsidR="009C236B" w:rsidRPr="00FD3821">
        <w:rPr>
          <w:lang w:val="sr-Latn-ME"/>
        </w:rPr>
        <w:t xml:space="preserve">nalaganja </w:t>
      </w:r>
      <w:r w:rsidRPr="00FD3821">
        <w:rPr>
          <w:lang w:val="sr-Latn-ME"/>
        </w:rPr>
        <w:t>tih mjera</w:t>
      </w:r>
      <w:r w:rsidR="003206E9" w:rsidRPr="00FD3821">
        <w:rPr>
          <w:lang w:val="sr-Latn-ME"/>
        </w:rPr>
        <w:t>;</w:t>
      </w:r>
    </w:p>
    <w:p w14:paraId="00B23AAB" w14:textId="044190F8" w:rsidR="001D3921" w:rsidRPr="00FD3821" w:rsidRDefault="001D3921" w:rsidP="001D3921">
      <w:pPr>
        <w:pStyle w:val="ListParagraph"/>
        <w:widowControl/>
        <w:numPr>
          <w:ilvl w:val="0"/>
          <w:numId w:val="4"/>
        </w:numPr>
        <w:jc w:val="both"/>
        <w:rPr>
          <w:lang w:val="sr-Latn-ME"/>
        </w:rPr>
      </w:pPr>
      <w:r w:rsidRPr="00FD3821">
        <w:rPr>
          <w:lang w:val="sr-Latn-ME"/>
        </w:rPr>
        <w:t xml:space="preserve">u slučaju </w:t>
      </w:r>
      <w:r w:rsidR="00401CFA" w:rsidRPr="00FD3821">
        <w:rPr>
          <w:lang w:val="sr-Latn-ME"/>
        </w:rPr>
        <w:t xml:space="preserve">nalaganja </w:t>
      </w:r>
      <w:r w:rsidRPr="00FD3821">
        <w:rPr>
          <w:lang w:val="sr-Latn-ME"/>
        </w:rPr>
        <w:t>privremenih mjera u smislu propisa o zaštiti konkurencije, dostavlja Evropskoj komisiji nacrt predviđenih mjera prije donošenja tih mjera, a najkasnije odmah nakon donošenja takvih mjera.</w:t>
      </w:r>
    </w:p>
    <w:p w14:paraId="62632301" w14:textId="2B5FB99E" w:rsidR="00131F6B" w:rsidRPr="00FD3821" w:rsidRDefault="00131F6B" w:rsidP="00131F6B">
      <w:pPr>
        <w:pStyle w:val="ListParagraph"/>
        <w:widowControl/>
        <w:ind w:left="0" w:firstLine="810"/>
        <w:jc w:val="both"/>
        <w:rPr>
          <w:lang w:val="sr-Latn-ME"/>
        </w:rPr>
      </w:pPr>
      <w:r w:rsidRPr="00FD3821">
        <w:rPr>
          <w:lang w:val="sr-Latn-ME"/>
        </w:rPr>
        <w:t xml:space="preserve">Agencija može, u skladu sa članom 38 </w:t>
      </w:r>
      <w:r w:rsidRPr="00FD3821">
        <w:rPr>
          <w:lang w:val="sr-Latn-ME"/>
        </w:rPr>
        <w:t>s</w:t>
      </w:r>
      <w:r w:rsidRPr="00FD3821">
        <w:rPr>
          <w:lang w:val="sr-Latn-ME"/>
        </w:rPr>
        <w:t xml:space="preserve">tav </w:t>
      </w:r>
      <w:r w:rsidRPr="00FD3821">
        <w:rPr>
          <w:lang w:val="sr-Latn-ME"/>
        </w:rPr>
        <w:t xml:space="preserve">7 </w:t>
      </w:r>
      <w:r w:rsidRPr="00FD3821">
        <w:rPr>
          <w:lang w:val="sr-Latn-ME"/>
        </w:rPr>
        <w:t xml:space="preserve">Regulative (EU) 2022/1925, sprovoditi ispitivanje neusklađenosti sa članovima 5, 6 i 7 Regulative (EU) 2022/1925 na teritoriji Crne Gore u </w:t>
      </w:r>
      <w:r w:rsidRPr="00FD3821">
        <w:rPr>
          <w:lang w:val="sr-Latn-ME"/>
        </w:rPr>
        <w:lastRenderedPageBreak/>
        <w:t>skladu sa zakonom, o čemu pisanim putem obavještava Evropsku komisiju prije preduzimanja prve formalne istražne radnje.</w:t>
      </w:r>
    </w:p>
    <w:p w14:paraId="0000001D" w14:textId="1B1D6353" w:rsidR="00147CCB" w:rsidRPr="00FD3821" w:rsidRDefault="00A844A7">
      <w:pPr>
        <w:widowControl/>
        <w:jc w:val="both"/>
        <w:rPr>
          <w:lang w:val="sr-Latn-ME"/>
        </w:rPr>
      </w:pPr>
      <w:r w:rsidRPr="00FD3821">
        <w:rPr>
          <w:lang w:val="sr-Latn-ME"/>
        </w:rPr>
        <w:tab/>
        <w:t xml:space="preserve">Ako je </w:t>
      </w:r>
      <w:r w:rsidR="00971BFD" w:rsidRPr="00FD3821">
        <w:rPr>
          <w:lang w:val="sr-Latn-ME"/>
        </w:rPr>
        <w:t>Agencija</w:t>
      </w:r>
      <w:r w:rsidRPr="00FD3821">
        <w:rPr>
          <w:lang w:val="sr-Latn-ME"/>
        </w:rPr>
        <w:t xml:space="preserve"> već preduzel</w:t>
      </w:r>
      <w:r w:rsidR="00971BFD" w:rsidRPr="00FD3821">
        <w:rPr>
          <w:lang w:val="sr-Latn-ME"/>
        </w:rPr>
        <w:t>a</w:t>
      </w:r>
      <w:r w:rsidRPr="00FD3821">
        <w:rPr>
          <w:lang w:val="sr-Latn-ME"/>
        </w:rPr>
        <w:t xml:space="preserve"> radnje u smislu propisa o zaštiti konkurencije, u odnosu na postupanja nadzornika pristupa protiv kojeg je Evropska komisija pokrenula postupak na osnovu </w:t>
      </w:r>
      <w:r w:rsidR="00C31EBF" w:rsidRPr="00FD3821">
        <w:rPr>
          <w:lang w:val="sr-Latn-ME"/>
        </w:rPr>
        <w:t>Regulative</w:t>
      </w:r>
      <w:r w:rsidRPr="00FD3821">
        <w:rPr>
          <w:lang w:val="sr-Latn-ME"/>
        </w:rPr>
        <w:t xml:space="preserve"> (EU) 2022/1925, </w:t>
      </w:r>
      <w:r w:rsidR="00971BFD" w:rsidRPr="00FD3821">
        <w:rPr>
          <w:lang w:val="sr-Latn-ME"/>
        </w:rPr>
        <w:t>Agencija</w:t>
      </w:r>
      <w:r w:rsidRPr="00FD3821">
        <w:rPr>
          <w:lang w:val="sr-Latn-ME"/>
        </w:rPr>
        <w:t xml:space="preserve"> će obustaviti postupak i obavijestiti Evropsku komisiju o rezultatima sprovedenih radnji.</w:t>
      </w:r>
    </w:p>
    <w:p w14:paraId="0000001E" w14:textId="57974F76" w:rsidR="00147CCB" w:rsidRPr="00FD3821" w:rsidRDefault="00971BFD" w:rsidP="0EEDC162">
      <w:pPr>
        <w:widowControl/>
        <w:ind w:firstLine="720"/>
        <w:jc w:val="both"/>
        <w:rPr>
          <w:lang w:val="sr-Latn-ME"/>
        </w:rPr>
      </w:pPr>
      <w:r w:rsidRPr="00FD3821">
        <w:rPr>
          <w:lang w:val="sr-Latn-ME"/>
        </w:rPr>
        <w:t>U slučaju kada Evropska komisija pokrene postupak na osnovu Regulative (EU) 2022/1925, Agencija ne može sprovoditi radnje u smislu propisa o zaštiti konkurencije.</w:t>
      </w:r>
    </w:p>
    <w:p w14:paraId="0000001F" w14:textId="552853C7" w:rsidR="00147CCB" w:rsidRPr="00FD3821" w:rsidRDefault="00A844A7">
      <w:pPr>
        <w:widowControl/>
        <w:ind w:firstLine="720"/>
        <w:jc w:val="both"/>
        <w:rPr>
          <w:lang w:val="sr-Latn-ME"/>
        </w:rPr>
      </w:pPr>
      <w:r w:rsidRPr="00FD3821">
        <w:rPr>
          <w:lang w:val="sr-Latn-ME"/>
        </w:rPr>
        <w:t xml:space="preserve">Informacije razmijenjene na </w:t>
      </w:r>
      <w:r w:rsidR="000D193D" w:rsidRPr="00FD3821">
        <w:rPr>
          <w:lang w:val="sr-Latn-ME"/>
        </w:rPr>
        <w:t>osnovu</w:t>
      </w:r>
      <w:r w:rsidRPr="00FD3821">
        <w:rPr>
          <w:lang w:val="sr-Latn-ME"/>
        </w:rPr>
        <w:t xml:space="preserve"> ovog člana razmjenjuju se i upotrebljavaju samo u svrhu primjene ovog </w:t>
      </w:r>
      <w:r w:rsidR="005421BF" w:rsidRPr="00FD3821">
        <w:rPr>
          <w:lang w:val="sr-Latn-ME"/>
        </w:rPr>
        <w:t>z</w:t>
      </w:r>
      <w:r w:rsidRPr="00FD3821">
        <w:rPr>
          <w:lang w:val="sr-Latn-ME"/>
        </w:rPr>
        <w:t>akona i propisa o zaštiti konkurencije.</w:t>
      </w:r>
    </w:p>
    <w:p w14:paraId="37B854EA" w14:textId="77777777" w:rsidR="000D193D" w:rsidRPr="00FD3821" w:rsidRDefault="000D193D" w:rsidP="00971BFD">
      <w:pPr>
        <w:widowControl/>
        <w:rPr>
          <w:b/>
          <w:lang w:val="sr-Latn-ME"/>
        </w:rPr>
      </w:pPr>
    </w:p>
    <w:p w14:paraId="319913EE" w14:textId="46D93F97" w:rsidR="00C31EBF" w:rsidRPr="00FD3821" w:rsidRDefault="000D193D" w:rsidP="000D193D">
      <w:pPr>
        <w:widowControl/>
        <w:ind w:firstLine="720"/>
        <w:jc w:val="center"/>
        <w:rPr>
          <w:b/>
          <w:lang w:val="sr-Latn-ME"/>
        </w:rPr>
      </w:pPr>
      <w:r w:rsidRPr="00FD3821">
        <w:rPr>
          <w:b/>
          <w:lang w:val="sr-Latn-ME"/>
        </w:rPr>
        <w:t>Pružanje pomoći u sprovođenju inspekcija Evropske komisije</w:t>
      </w:r>
      <w:r w:rsidRPr="00FD3821">
        <w:rPr>
          <w:lang w:val="sr-Latn-ME"/>
        </w:rPr>
        <w:br/>
      </w:r>
      <w:r w:rsidR="00C31EBF" w:rsidRPr="00FD3821">
        <w:rPr>
          <w:b/>
          <w:lang w:val="sr-Latn-ME"/>
        </w:rPr>
        <w:t>Član 5</w:t>
      </w:r>
    </w:p>
    <w:p w14:paraId="07C9159E" w14:textId="77777777" w:rsidR="000D193D" w:rsidRPr="00FD3821" w:rsidRDefault="00C31EBF" w:rsidP="005421BF">
      <w:pPr>
        <w:widowControl/>
        <w:ind w:firstLine="720"/>
        <w:jc w:val="both"/>
        <w:rPr>
          <w:lang w:val="sr-Latn-ME"/>
        </w:rPr>
      </w:pPr>
      <w:r w:rsidRPr="00FD3821">
        <w:rPr>
          <w:lang w:val="sr-Latn-ME"/>
        </w:rPr>
        <w:t xml:space="preserve">Službena lica </w:t>
      </w:r>
      <w:r w:rsidR="000D193D" w:rsidRPr="00FD3821">
        <w:rPr>
          <w:lang w:val="sr-Latn-ME"/>
        </w:rPr>
        <w:t>Agencije</w:t>
      </w:r>
      <w:r w:rsidRPr="00FD3821">
        <w:rPr>
          <w:lang w:val="sr-Latn-ME"/>
        </w:rPr>
        <w:t xml:space="preserve">, </w:t>
      </w:r>
      <w:r w:rsidR="000D193D" w:rsidRPr="00FD3821">
        <w:rPr>
          <w:lang w:val="sr-Latn-ME"/>
        </w:rPr>
        <w:t xml:space="preserve">odnosno </w:t>
      </w:r>
      <w:r w:rsidRPr="00FD3821">
        <w:rPr>
          <w:lang w:val="sr-Latn-ME"/>
        </w:rPr>
        <w:t xml:space="preserve">druga ovlašćena ili imenovana lica </w:t>
      </w:r>
      <w:r w:rsidR="000D193D" w:rsidRPr="00FD3821">
        <w:rPr>
          <w:lang w:val="sr-Latn-ME"/>
        </w:rPr>
        <w:t>Agencije</w:t>
      </w:r>
      <w:r w:rsidRPr="00FD3821">
        <w:rPr>
          <w:lang w:val="sr-Latn-ME"/>
        </w:rPr>
        <w:t>, na zahtjev Evropske komisije, aktivno pomažu službenim licima i drugim pratećim licima koje je ovlastila Evropska komisija u sprovođenju inspekcija u skladu sa Regulati</w:t>
      </w:r>
      <w:r w:rsidR="000D193D" w:rsidRPr="00FD3821">
        <w:rPr>
          <w:lang w:val="sr-Latn-ME"/>
        </w:rPr>
        <w:t>vom</w:t>
      </w:r>
      <w:r w:rsidRPr="00FD3821">
        <w:rPr>
          <w:lang w:val="sr-Latn-ME"/>
        </w:rPr>
        <w:t xml:space="preserve"> (EU) 2022/1925.</w:t>
      </w:r>
    </w:p>
    <w:p w14:paraId="00000022" w14:textId="7C193E72" w:rsidR="00147CCB" w:rsidRPr="00FD3821" w:rsidRDefault="00C31EBF" w:rsidP="00401CFA">
      <w:pPr>
        <w:widowControl/>
        <w:ind w:firstLine="720"/>
        <w:jc w:val="both"/>
        <w:rPr>
          <w:lang w:val="sr-Latn-ME"/>
        </w:rPr>
      </w:pPr>
      <w:r w:rsidRPr="00FD3821">
        <w:rPr>
          <w:lang w:val="sr-Latn-ME"/>
        </w:rPr>
        <w:t xml:space="preserve">U </w:t>
      </w:r>
      <w:r w:rsidR="000D193D" w:rsidRPr="00FD3821">
        <w:rPr>
          <w:lang w:val="sr-Latn-ME"/>
        </w:rPr>
        <w:t>postupku pružanja</w:t>
      </w:r>
      <w:r w:rsidRPr="00FD3821">
        <w:rPr>
          <w:lang w:val="sr-Latn-ME"/>
        </w:rPr>
        <w:t xml:space="preserve"> pomoći iz stava 1 ovog člana, službena lica i druga ovlašćena</w:t>
      </w:r>
      <w:r w:rsidR="005421BF" w:rsidRPr="00FD3821">
        <w:rPr>
          <w:lang w:val="sr-Latn-ME"/>
        </w:rPr>
        <w:t xml:space="preserve"> ili imenovana</w:t>
      </w:r>
      <w:r w:rsidRPr="00FD3821">
        <w:rPr>
          <w:lang w:val="sr-Latn-ME"/>
        </w:rPr>
        <w:t xml:space="preserve"> lica </w:t>
      </w:r>
      <w:r w:rsidR="000D193D" w:rsidRPr="00FD3821">
        <w:rPr>
          <w:lang w:val="sr-Latn-ME"/>
        </w:rPr>
        <w:t>Agencije</w:t>
      </w:r>
      <w:r w:rsidRPr="00FD3821">
        <w:rPr>
          <w:lang w:val="sr-Latn-ME"/>
        </w:rPr>
        <w:t xml:space="preserve"> imaju ovlašćenja </w:t>
      </w:r>
      <w:r w:rsidR="000D193D" w:rsidRPr="00FD3821">
        <w:rPr>
          <w:lang w:val="sr-Latn-ME"/>
        </w:rPr>
        <w:t>iz člana 23 stav 2 i 4 Regulative (EU) 2022/1925, u skladu sa zakonom.</w:t>
      </w:r>
    </w:p>
    <w:p w14:paraId="0A722961" w14:textId="77777777" w:rsidR="00401CFA" w:rsidRPr="00FD3821" w:rsidRDefault="00401CFA">
      <w:pPr>
        <w:widowControl/>
        <w:numPr>
          <w:ilvl w:val="2"/>
          <w:numId w:val="1"/>
        </w:numPr>
        <w:ind w:left="144" w:firstLine="245"/>
        <w:rPr>
          <w:lang w:val="sr-Latn-ME"/>
        </w:rPr>
      </w:pPr>
    </w:p>
    <w:p w14:paraId="00000023" w14:textId="7C2AA112" w:rsidR="00147CCB" w:rsidRPr="00FD3821" w:rsidRDefault="00A844A7">
      <w:pPr>
        <w:widowControl/>
        <w:numPr>
          <w:ilvl w:val="2"/>
          <w:numId w:val="1"/>
        </w:numPr>
        <w:ind w:left="144" w:firstLine="245"/>
        <w:rPr>
          <w:lang w:val="sr-Latn-ME"/>
        </w:rPr>
      </w:pPr>
      <w:r w:rsidRPr="00FD3821">
        <w:rPr>
          <w:b/>
          <w:bCs/>
          <w:lang w:val="sr-Latn-ME"/>
        </w:rPr>
        <w:t>III. PRELAZNE I ZAVRŠNE ODREDBE</w:t>
      </w:r>
    </w:p>
    <w:p w14:paraId="00000028" w14:textId="77777777" w:rsidR="00147CCB" w:rsidRPr="00FD3821" w:rsidRDefault="00147CCB" w:rsidP="000D193D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lang w:val="sr-Latn-ME"/>
        </w:rPr>
      </w:pPr>
    </w:p>
    <w:p w14:paraId="00000029" w14:textId="16088308" w:rsidR="00147CCB" w:rsidRPr="00FD3821" w:rsidRDefault="00A844A7">
      <w:pPr>
        <w:widowControl/>
        <w:jc w:val="center"/>
        <w:rPr>
          <w:lang w:val="sr-Latn-ME"/>
        </w:rPr>
      </w:pPr>
      <w:r w:rsidRPr="00FD3821">
        <w:rPr>
          <w:b/>
          <w:bCs/>
          <w:lang w:val="sr-Latn-ME"/>
        </w:rPr>
        <w:t xml:space="preserve">Stupanje na snagu </w:t>
      </w:r>
      <w:r w:rsidR="00FD3821" w:rsidRPr="00FD3821">
        <w:rPr>
          <w:b/>
          <w:bCs/>
          <w:lang w:val="sr-Latn-ME"/>
        </w:rPr>
        <w:t>i početak primjene</w:t>
      </w:r>
    </w:p>
    <w:p w14:paraId="0000002A" w14:textId="77777777" w:rsidR="00147CCB" w:rsidRPr="00FD3821" w:rsidRDefault="00A844A7">
      <w:pPr>
        <w:widowControl/>
        <w:jc w:val="center"/>
        <w:rPr>
          <w:lang w:val="sr-Latn-ME"/>
        </w:rPr>
      </w:pPr>
      <w:r w:rsidRPr="00FD3821">
        <w:rPr>
          <w:b/>
          <w:bCs/>
          <w:lang w:val="sr-Latn-ME"/>
        </w:rPr>
        <w:t>Član 6</w:t>
      </w:r>
    </w:p>
    <w:p w14:paraId="0000002D" w14:textId="1ED4EC5B" w:rsidR="00147CCB" w:rsidRPr="00FD3821" w:rsidRDefault="00FE4A6B">
      <w:pPr>
        <w:widowControl/>
        <w:pBdr>
          <w:top w:val="nil"/>
          <w:left w:val="nil"/>
          <w:bottom w:val="nil"/>
          <w:right w:val="nil"/>
          <w:between w:val="nil"/>
        </w:pBdr>
        <w:ind w:firstLine="630"/>
        <w:jc w:val="both"/>
        <w:rPr>
          <w:lang w:val="sr-Latn-ME"/>
        </w:rPr>
      </w:pPr>
      <w:r w:rsidRPr="00FD3821">
        <w:rPr>
          <w:lang w:val="sr-Latn-ME"/>
        </w:rPr>
        <w:t>Ovaj zakon stupa na snagu osmog dana od dana objavljivanja u "Službenom listu Crne Gore", a primjenjivaće se od dana pristupanja Crne Gore Evropskoj uniji.</w:t>
      </w:r>
    </w:p>
    <w:p w14:paraId="7FAC5422" w14:textId="112498E3" w:rsidR="00971BFD" w:rsidRPr="00FD3821" w:rsidRDefault="00971BFD">
      <w:pPr>
        <w:widowControl/>
        <w:pBdr>
          <w:top w:val="nil"/>
          <w:left w:val="nil"/>
          <w:bottom w:val="nil"/>
          <w:right w:val="nil"/>
          <w:between w:val="nil"/>
        </w:pBdr>
        <w:ind w:firstLine="630"/>
        <w:jc w:val="both"/>
        <w:rPr>
          <w:lang w:val="sr-Latn-ME"/>
        </w:rPr>
      </w:pPr>
    </w:p>
    <w:p w14:paraId="4409EBBF" w14:textId="4BA5C977" w:rsidR="00971BFD" w:rsidRDefault="00971BFD">
      <w:pPr>
        <w:widowControl/>
        <w:pBdr>
          <w:top w:val="nil"/>
          <w:left w:val="nil"/>
          <w:bottom w:val="nil"/>
          <w:right w:val="nil"/>
          <w:between w:val="nil"/>
        </w:pBdr>
        <w:ind w:firstLine="630"/>
        <w:jc w:val="both"/>
      </w:pPr>
    </w:p>
    <w:p w14:paraId="322EB438" w14:textId="44C4A7F4" w:rsidR="00971BFD" w:rsidRDefault="00971BFD">
      <w:pPr>
        <w:widowControl/>
        <w:pBdr>
          <w:top w:val="nil"/>
          <w:left w:val="nil"/>
          <w:bottom w:val="nil"/>
          <w:right w:val="nil"/>
          <w:between w:val="nil"/>
        </w:pBdr>
        <w:ind w:firstLine="630"/>
        <w:jc w:val="both"/>
      </w:pPr>
    </w:p>
    <w:p w14:paraId="476C0CCA" w14:textId="1733705C" w:rsidR="00971BFD" w:rsidRDefault="00971BFD">
      <w:pPr>
        <w:widowControl/>
        <w:pBdr>
          <w:top w:val="nil"/>
          <w:left w:val="nil"/>
          <w:bottom w:val="nil"/>
          <w:right w:val="nil"/>
          <w:between w:val="nil"/>
        </w:pBdr>
        <w:ind w:firstLine="630"/>
        <w:jc w:val="both"/>
      </w:pPr>
    </w:p>
    <w:p w14:paraId="2B6A3E22" w14:textId="25DE677C" w:rsidR="00971BFD" w:rsidRDefault="00971BFD">
      <w:pPr>
        <w:widowControl/>
        <w:pBdr>
          <w:top w:val="nil"/>
          <w:left w:val="nil"/>
          <w:bottom w:val="nil"/>
          <w:right w:val="nil"/>
          <w:between w:val="nil"/>
        </w:pBdr>
        <w:ind w:firstLine="630"/>
        <w:jc w:val="both"/>
      </w:pPr>
      <w:bookmarkStart w:id="0" w:name="_GoBack"/>
      <w:bookmarkEnd w:id="0"/>
    </w:p>
    <w:p w14:paraId="6034BE50" w14:textId="6275DABA" w:rsidR="00971BFD" w:rsidRDefault="00971BFD">
      <w:pPr>
        <w:widowControl/>
        <w:pBdr>
          <w:top w:val="nil"/>
          <w:left w:val="nil"/>
          <w:bottom w:val="nil"/>
          <w:right w:val="nil"/>
          <w:between w:val="nil"/>
        </w:pBdr>
        <w:ind w:firstLine="630"/>
        <w:jc w:val="both"/>
      </w:pPr>
    </w:p>
    <w:p w14:paraId="5E54FF57" w14:textId="7DD48A6A" w:rsidR="00971BFD" w:rsidRDefault="00971BFD">
      <w:pPr>
        <w:widowControl/>
        <w:pBdr>
          <w:top w:val="nil"/>
          <w:left w:val="nil"/>
          <w:bottom w:val="nil"/>
          <w:right w:val="nil"/>
          <w:between w:val="nil"/>
        </w:pBdr>
        <w:ind w:firstLine="630"/>
        <w:jc w:val="both"/>
      </w:pPr>
    </w:p>
    <w:p w14:paraId="5DCEEE3B" w14:textId="669632A9" w:rsidR="00971BFD" w:rsidRDefault="00971BFD">
      <w:pPr>
        <w:widowControl/>
        <w:pBdr>
          <w:top w:val="nil"/>
          <w:left w:val="nil"/>
          <w:bottom w:val="nil"/>
          <w:right w:val="nil"/>
          <w:between w:val="nil"/>
        </w:pBdr>
        <w:ind w:firstLine="630"/>
        <w:jc w:val="both"/>
      </w:pPr>
    </w:p>
    <w:p w14:paraId="2B226672" w14:textId="61C0F037" w:rsidR="00971BFD" w:rsidRDefault="00971BFD">
      <w:pPr>
        <w:widowControl/>
        <w:pBdr>
          <w:top w:val="nil"/>
          <w:left w:val="nil"/>
          <w:bottom w:val="nil"/>
          <w:right w:val="nil"/>
          <w:between w:val="nil"/>
        </w:pBdr>
        <w:ind w:firstLine="630"/>
        <w:jc w:val="both"/>
      </w:pPr>
    </w:p>
    <w:p w14:paraId="41CC4ECA" w14:textId="55F768EF" w:rsidR="00971BFD" w:rsidRDefault="00971BFD">
      <w:pPr>
        <w:widowControl/>
        <w:pBdr>
          <w:top w:val="nil"/>
          <w:left w:val="nil"/>
          <w:bottom w:val="nil"/>
          <w:right w:val="nil"/>
          <w:between w:val="nil"/>
        </w:pBdr>
        <w:ind w:firstLine="630"/>
        <w:jc w:val="both"/>
      </w:pPr>
    </w:p>
    <w:p w14:paraId="0F817297" w14:textId="7415D58E" w:rsidR="00971BFD" w:rsidRDefault="00971BFD">
      <w:pPr>
        <w:widowControl/>
        <w:pBdr>
          <w:top w:val="nil"/>
          <w:left w:val="nil"/>
          <w:bottom w:val="nil"/>
          <w:right w:val="nil"/>
          <w:between w:val="nil"/>
        </w:pBdr>
        <w:ind w:firstLine="630"/>
        <w:jc w:val="both"/>
      </w:pPr>
    </w:p>
    <w:p w14:paraId="04AEAC77" w14:textId="3C1AF8B8" w:rsidR="00971BFD" w:rsidRDefault="00971BFD">
      <w:pPr>
        <w:widowControl/>
        <w:pBdr>
          <w:top w:val="nil"/>
          <w:left w:val="nil"/>
          <w:bottom w:val="nil"/>
          <w:right w:val="nil"/>
          <w:between w:val="nil"/>
        </w:pBdr>
        <w:ind w:firstLine="630"/>
        <w:jc w:val="both"/>
      </w:pPr>
    </w:p>
    <w:p w14:paraId="6BDE9AC4" w14:textId="55E43E4C" w:rsidR="00971BFD" w:rsidRDefault="00971BFD" w:rsidP="00A844A7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</w:p>
    <w:p w14:paraId="3036D56F" w14:textId="42A6C569" w:rsidR="00971BFD" w:rsidRDefault="00971BFD">
      <w:pPr>
        <w:widowControl/>
        <w:pBdr>
          <w:top w:val="nil"/>
          <w:left w:val="nil"/>
          <w:bottom w:val="nil"/>
          <w:right w:val="nil"/>
          <w:between w:val="nil"/>
        </w:pBdr>
        <w:ind w:firstLine="630"/>
        <w:jc w:val="both"/>
      </w:pPr>
    </w:p>
    <w:p w14:paraId="12F02EEE" w14:textId="23451583" w:rsidR="00971BFD" w:rsidRDefault="00971BFD">
      <w:pPr>
        <w:widowControl/>
        <w:pBdr>
          <w:top w:val="nil"/>
          <w:left w:val="nil"/>
          <w:bottom w:val="nil"/>
          <w:right w:val="nil"/>
          <w:between w:val="nil"/>
        </w:pBdr>
        <w:ind w:firstLine="630"/>
        <w:jc w:val="both"/>
      </w:pPr>
    </w:p>
    <w:p w14:paraId="2C570D25" w14:textId="22A01404" w:rsidR="00971BFD" w:rsidRDefault="00971BFD">
      <w:pPr>
        <w:widowControl/>
        <w:pBdr>
          <w:top w:val="nil"/>
          <w:left w:val="nil"/>
          <w:bottom w:val="nil"/>
          <w:right w:val="nil"/>
          <w:between w:val="nil"/>
        </w:pBdr>
        <w:ind w:firstLine="630"/>
        <w:jc w:val="both"/>
      </w:pPr>
    </w:p>
    <w:p w14:paraId="722CB38B" w14:textId="37F0D063" w:rsidR="00971BFD" w:rsidRDefault="00971BFD">
      <w:pPr>
        <w:widowControl/>
        <w:pBdr>
          <w:top w:val="nil"/>
          <w:left w:val="nil"/>
          <w:bottom w:val="nil"/>
          <w:right w:val="nil"/>
          <w:between w:val="nil"/>
        </w:pBdr>
        <w:ind w:firstLine="630"/>
        <w:jc w:val="both"/>
      </w:pPr>
    </w:p>
    <w:p w14:paraId="2C77273B" w14:textId="7228BDED" w:rsidR="00971BFD" w:rsidRDefault="00971BFD">
      <w:pPr>
        <w:widowControl/>
        <w:pBdr>
          <w:top w:val="nil"/>
          <w:left w:val="nil"/>
          <w:bottom w:val="nil"/>
          <w:right w:val="nil"/>
          <w:between w:val="nil"/>
        </w:pBdr>
        <w:ind w:firstLine="630"/>
        <w:jc w:val="both"/>
      </w:pPr>
    </w:p>
    <w:p w14:paraId="200B0F7B" w14:textId="635DA830" w:rsidR="00971BFD" w:rsidRDefault="00971BFD">
      <w:pPr>
        <w:widowControl/>
        <w:pBdr>
          <w:top w:val="nil"/>
          <w:left w:val="nil"/>
          <w:bottom w:val="nil"/>
          <w:right w:val="nil"/>
          <w:between w:val="nil"/>
        </w:pBdr>
        <w:ind w:firstLine="630"/>
        <w:jc w:val="both"/>
      </w:pPr>
    </w:p>
    <w:p w14:paraId="1B0A36B8" w14:textId="71E1FF4A" w:rsidR="00971BFD" w:rsidRDefault="00971BFD">
      <w:pPr>
        <w:widowControl/>
        <w:pBdr>
          <w:top w:val="nil"/>
          <w:left w:val="nil"/>
          <w:bottom w:val="nil"/>
          <w:right w:val="nil"/>
          <w:between w:val="nil"/>
        </w:pBdr>
        <w:ind w:firstLine="630"/>
        <w:jc w:val="both"/>
      </w:pPr>
    </w:p>
    <w:p w14:paraId="060BC0E8" w14:textId="0BF4440C" w:rsidR="00971BFD" w:rsidRDefault="00971BFD">
      <w:pPr>
        <w:widowControl/>
        <w:pBdr>
          <w:top w:val="nil"/>
          <w:left w:val="nil"/>
          <w:bottom w:val="nil"/>
          <w:right w:val="nil"/>
          <w:between w:val="nil"/>
        </w:pBdr>
        <w:ind w:firstLine="630"/>
        <w:jc w:val="both"/>
      </w:pPr>
    </w:p>
    <w:p w14:paraId="34E349F1" w14:textId="3E67E422" w:rsidR="00971BFD" w:rsidRDefault="00971BFD">
      <w:pPr>
        <w:widowControl/>
        <w:pBdr>
          <w:top w:val="nil"/>
          <w:left w:val="nil"/>
          <w:bottom w:val="nil"/>
          <w:right w:val="nil"/>
          <w:between w:val="nil"/>
        </w:pBdr>
        <w:ind w:firstLine="630"/>
        <w:jc w:val="both"/>
      </w:pPr>
    </w:p>
    <w:p w14:paraId="32A7C897" w14:textId="69C71355" w:rsidR="00FF12DC" w:rsidRDefault="00FF12DC">
      <w:pPr>
        <w:widowControl/>
        <w:pBdr>
          <w:top w:val="nil"/>
          <w:left w:val="nil"/>
          <w:bottom w:val="nil"/>
          <w:right w:val="nil"/>
          <w:between w:val="nil"/>
        </w:pBdr>
        <w:ind w:firstLine="630"/>
        <w:jc w:val="both"/>
      </w:pPr>
    </w:p>
    <w:p w14:paraId="153D92DA" w14:textId="7637690B" w:rsidR="00FF12DC" w:rsidRDefault="00FF12DC">
      <w:pPr>
        <w:widowControl/>
        <w:pBdr>
          <w:top w:val="nil"/>
          <w:left w:val="nil"/>
          <w:bottom w:val="nil"/>
          <w:right w:val="nil"/>
          <w:between w:val="nil"/>
        </w:pBdr>
        <w:ind w:firstLine="630"/>
        <w:jc w:val="both"/>
      </w:pPr>
    </w:p>
    <w:p w14:paraId="46C5BF82" w14:textId="2B50C973" w:rsidR="00FF12DC" w:rsidRDefault="00FF12DC">
      <w:pPr>
        <w:widowControl/>
        <w:pBdr>
          <w:top w:val="nil"/>
          <w:left w:val="nil"/>
          <w:bottom w:val="nil"/>
          <w:right w:val="nil"/>
          <w:between w:val="nil"/>
        </w:pBdr>
        <w:ind w:firstLine="630"/>
        <w:jc w:val="both"/>
      </w:pPr>
    </w:p>
    <w:p w14:paraId="554D17D8" w14:textId="099895DC" w:rsidR="00FF12DC" w:rsidRDefault="00FF12DC">
      <w:pPr>
        <w:widowControl/>
        <w:pBdr>
          <w:top w:val="nil"/>
          <w:left w:val="nil"/>
          <w:bottom w:val="nil"/>
          <w:right w:val="nil"/>
          <w:between w:val="nil"/>
        </w:pBdr>
        <w:ind w:firstLine="630"/>
        <w:jc w:val="both"/>
      </w:pPr>
    </w:p>
    <w:p w14:paraId="18113BF7" w14:textId="77777777" w:rsidR="00FF12DC" w:rsidRDefault="00FF12DC" w:rsidP="00FE4A6B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</w:p>
    <w:p w14:paraId="50C4E843" w14:textId="2D0F33AC" w:rsidR="00971BFD" w:rsidRDefault="00971BFD" w:rsidP="00A844A7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</w:p>
    <w:p w14:paraId="08120328" w14:textId="77777777" w:rsidR="00971BFD" w:rsidRPr="00AE5B1E" w:rsidRDefault="00971BFD" w:rsidP="00971BFD">
      <w:pPr>
        <w:spacing w:after="360"/>
        <w:jc w:val="center"/>
        <w:rPr>
          <w:b/>
        </w:rPr>
      </w:pPr>
      <w:r w:rsidRPr="00AE5B1E">
        <w:rPr>
          <w:b/>
        </w:rPr>
        <w:t>OBRAZLOŽENJE</w:t>
      </w:r>
    </w:p>
    <w:p w14:paraId="360FC64F" w14:textId="77777777" w:rsidR="00971BFD" w:rsidRPr="00AE5B1E" w:rsidRDefault="00971BFD" w:rsidP="00971BFD">
      <w:pPr>
        <w:spacing w:after="120"/>
        <w:ind w:right="172"/>
        <w:textAlignment w:val="baseline"/>
        <w:rPr>
          <w:b/>
          <w:bCs/>
          <w:color w:val="000000"/>
        </w:rPr>
      </w:pPr>
      <w:r w:rsidRPr="00AE5B1E">
        <w:rPr>
          <w:b/>
          <w:bCs/>
          <w:color w:val="000000"/>
        </w:rPr>
        <w:t xml:space="preserve">I. </w:t>
      </w:r>
      <w:r w:rsidRPr="00AE5B1E">
        <w:rPr>
          <w:b/>
          <w:bCs/>
          <w:color w:val="000000"/>
        </w:rPr>
        <w:tab/>
        <w:t>USTAVNI OSNOV ZA DONOŠENJE ZAKONA</w:t>
      </w:r>
    </w:p>
    <w:p w14:paraId="1637A80F" w14:textId="526E7E20" w:rsidR="00971BFD" w:rsidRPr="00AE5B1E" w:rsidRDefault="00971BFD" w:rsidP="00971BFD">
      <w:pPr>
        <w:autoSpaceDE w:val="0"/>
        <w:autoSpaceDN w:val="0"/>
        <w:adjustRightInd w:val="0"/>
        <w:spacing w:after="240"/>
        <w:jc w:val="both"/>
      </w:pPr>
      <w:r w:rsidRPr="00AE5B1E">
        <w:t xml:space="preserve">Ustavni osnov za donošenje Zakona </w:t>
      </w:r>
      <w:r w:rsidRPr="00AE5B1E">
        <w:rPr>
          <w:bCs/>
        </w:rPr>
        <w:t xml:space="preserve">o </w:t>
      </w:r>
      <w:r>
        <w:rPr>
          <w:bCs/>
        </w:rPr>
        <w:t>sprovođenju Regulative (EU) 2022/1925 o digitalnim tržištima</w:t>
      </w:r>
      <w:r w:rsidRPr="00AE5B1E">
        <w:rPr>
          <w:bCs/>
        </w:rPr>
        <w:t xml:space="preserve"> </w:t>
      </w:r>
      <w:r w:rsidRPr="00AE5B1E">
        <w:t>sadržan je u članu 16 stav 1 tačka 5 Ustava Crne Gore, kojim je propisano da se zakonom uređuju pitanja od interesa za Crnu Goru.</w:t>
      </w:r>
    </w:p>
    <w:p w14:paraId="7036F561" w14:textId="77777777" w:rsidR="00971BFD" w:rsidRPr="00AE5B1E" w:rsidRDefault="00971BFD" w:rsidP="00971BFD">
      <w:pPr>
        <w:autoSpaceDE w:val="0"/>
        <w:autoSpaceDN w:val="0"/>
        <w:adjustRightInd w:val="0"/>
        <w:spacing w:after="120"/>
        <w:jc w:val="both"/>
        <w:rPr>
          <w:b/>
        </w:rPr>
      </w:pPr>
      <w:r w:rsidRPr="00AE5B1E">
        <w:rPr>
          <w:b/>
        </w:rPr>
        <w:t xml:space="preserve">II. </w:t>
      </w:r>
      <w:r w:rsidRPr="00AE5B1E">
        <w:rPr>
          <w:b/>
        </w:rPr>
        <w:tab/>
        <w:t>RAZLOZI ZA DONOŠENJE ZAKONA</w:t>
      </w:r>
    </w:p>
    <w:p w14:paraId="5ED48AC6" w14:textId="51DF5210" w:rsidR="00971BFD" w:rsidRDefault="00971BFD" w:rsidP="00971BFD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  <w:r>
        <w:t>Regulativa (EU) 2022/1925 o digitalnim tržištima predstavlja pravno obavezujući akt Evropske unije koji se direktno primjenjuje u državama članicama i uspostavlja jedinstveni regulatorni okvir za uređivanje digitalnih tržišta, sa posebnim fokusom na nadzornike pristupa (gatekeepers).</w:t>
      </w:r>
    </w:p>
    <w:p w14:paraId="1ADCBC4D" w14:textId="77777777" w:rsidR="00971BFD" w:rsidRDefault="00971BFD" w:rsidP="00971BFD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</w:p>
    <w:p w14:paraId="21309ECE" w14:textId="37B5BB4D" w:rsidR="00971BFD" w:rsidRDefault="00971BFD" w:rsidP="00971BFD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  <w:r>
        <w:t>Regulativa uvodi centralizovani sistem sprovođenja, u kojem Evropska komisija ima isključivu nadležnost za utvrđivanje povreda i izricanje mjera, dok države članice imaju obavezu da obezbijede institucionalni i operativni okvir za saradnju i podršku sprovođenju ove regulative.</w:t>
      </w:r>
    </w:p>
    <w:p w14:paraId="61490D97" w14:textId="77777777" w:rsidR="00971BFD" w:rsidRDefault="00971BFD" w:rsidP="00971BFD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</w:p>
    <w:p w14:paraId="4A9B4201" w14:textId="04CBC8AC" w:rsidR="00971BFD" w:rsidRDefault="00971BFD" w:rsidP="00971BFD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  <w:r>
        <w:t>U tom smislu, članovi 37, 38 i 39 Regulative propisuju obavezu država članica da obezbijede postojanje nadležnih tijela, njihovu saradnju sa Evropskom komisijom i učešće u mehanizmima koordinacije na nivou Evropske unije. Takođe, član 23 Regulative predviđa aktivnu ulogu nacionalnih tijela u pružanju pomoći Evropskoj komisiji u sprovođenju inspekcija.</w:t>
      </w:r>
    </w:p>
    <w:p w14:paraId="41400CA3" w14:textId="77777777" w:rsidR="00971BFD" w:rsidRDefault="00971BFD" w:rsidP="00971BFD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</w:p>
    <w:p w14:paraId="15E110FA" w14:textId="0722D648" w:rsidR="00971BFD" w:rsidRDefault="00971BFD" w:rsidP="00971BFD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  <w:r>
        <w:t>Imajući u vidu da Regulativa ne zahtijeva transpoziciju, ali zahtijeva uspostavljanje nacionalnih mehanizama za njegovo sprovođenje, donošenje ovog zakona je neophodno radi</w:t>
      </w:r>
      <w:r w:rsidR="008A0DC5">
        <w:t xml:space="preserve"> </w:t>
      </w:r>
      <w:r>
        <w:t xml:space="preserve">određivanja nadležnog </w:t>
      </w:r>
      <w:r w:rsidR="00FF12DC">
        <w:t xml:space="preserve">tijela </w:t>
      </w:r>
      <w:r>
        <w:t>na nacionalnom nivou</w:t>
      </w:r>
      <w:r w:rsidR="008A0DC5">
        <w:t xml:space="preserve">, </w:t>
      </w:r>
      <w:r>
        <w:t>preciziranja njegovih ovlašćenja i obaveza u odnosu na Evropsku komisij</w:t>
      </w:r>
      <w:r w:rsidR="008A0DC5">
        <w:t xml:space="preserve">u, </w:t>
      </w:r>
      <w:r>
        <w:t>obezbjeđivanja pravnog osnova za saradnju i razmjenu informacija</w:t>
      </w:r>
      <w:r w:rsidR="008A0DC5">
        <w:t xml:space="preserve"> i </w:t>
      </w:r>
      <w:r>
        <w:t>omogućavanja efikasnog sprovođenja inspekcija i drugih radnji Evropske komisije na teritoriji Crne Gore.</w:t>
      </w:r>
    </w:p>
    <w:p w14:paraId="7654F50C" w14:textId="77777777" w:rsidR="00971BFD" w:rsidRDefault="00971BFD" w:rsidP="00971BFD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</w:p>
    <w:p w14:paraId="3B3E2573" w14:textId="4C9D136D" w:rsidR="00971BFD" w:rsidRDefault="00971BFD" w:rsidP="00971BFD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Donošenje ovog zakona predstavlja dio obaveza Crne Gore u okviru procesa pristupanja Evropskoj uniji, naročito u okviru Pregovaračkog poglavlja </w:t>
      </w:r>
      <w:r w:rsidR="008A0DC5">
        <w:t>10</w:t>
      </w:r>
      <w:r>
        <w:t xml:space="preserve"> – </w:t>
      </w:r>
      <w:r w:rsidR="008A0DC5">
        <w:t>Informaciono društvo</w:t>
      </w:r>
      <w:r>
        <w:t>, kao i u kontekstu šireg usklađivanja sa pravilima unutrašnjeg tržišta.</w:t>
      </w:r>
    </w:p>
    <w:p w14:paraId="40FF2460" w14:textId="1723404F" w:rsidR="008A0DC5" w:rsidRDefault="008A0DC5" w:rsidP="00971BFD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</w:p>
    <w:p w14:paraId="7E1ED10F" w14:textId="77777777" w:rsidR="008A0DC5" w:rsidRPr="008A0DC5" w:rsidRDefault="008A0DC5" w:rsidP="008A0DC5">
      <w:pPr>
        <w:widowControl/>
        <w:spacing w:after="120" w:line="259" w:lineRule="auto"/>
        <w:ind w:right="172"/>
        <w:jc w:val="both"/>
        <w:textAlignment w:val="baseline"/>
        <w:rPr>
          <w:rFonts w:eastAsia="Calibri"/>
          <w:b/>
          <w:bCs/>
          <w:kern w:val="2"/>
          <w:lang w:val="sr-Latn-ME"/>
          <w14:ligatures w14:val="standardContextual"/>
        </w:rPr>
      </w:pPr>
      <w:r w:rsidRPr="008A0DC5">
        <w:rPr>
          <w:rFonts w:eastAsia="Calibri"/>
          <w:b/>
          <w:kern w:val="2"/>
          <w:lang w:val="sr-Latn-ME"/>
          <w14:ligatures w14:val="standardContextual"/>
        </w:rPr>
        <w:t>III. USAGLAŠENOST SA EVROPSKIM ZAKONODAVSTVOM I POTVRĐENIM MEĐUNARODNIM KONVENCIJAMA</w:t>
      </w:r>
    </w:p>
    <w:p w14:paraId="3DE80D7B" w14:textId="396436E6" w:rsidR="008A0DC5" w:rsidRPr="008A0DC5" w:rsidRDefault="008A0DC5" w:rsidP="008A0DC5">
      <w:pPr>
        <w:widowControl/>
        <w:spacing w:after="120" w:line="259" w:lineRule="auto"/>
        <w:jc w:val="both"/>
        <w:rPr>
          <w:rFonts w:eastAsia="Calibri"/>
          <w:b/>
          <w:kern w:val="2"/>
          <w:lang w:val="sr-Latn-ME"/>
          <w14:ligatures w14:val="standardContextual"/>
        </w:rPr>
      </w:pPr>
      <w:r w:rsidRPr="008A0DC5">
        <w:rPr>
          <w:rFonts w:eastAsia="Calibri"/>
          <w:b/>
          <w:kern w:val="2"/>
          <w:lang w:val="sr-Latn-ME"/>
          <w14:ligatures w14:val="standardContextual"/>
        </w:rPr>
        <w:t xml:space="preserve">Usklađenost nacrta/predloga propisa sa sekundarnim izvorima prava Evropske unije   </w:t>
      </w:r>
    </w:p>
    <w:p w14:paraId="0A59F47D" w14:textId="67F83DB5" w:rsidR="008A0DC5" w:rsidRPr="008A0DC5" w:rsidRDefault="008A0DC5" w:rsidP="008A0DC5">
      <w:pPr>
        <w:widowControl/>
        <w:spacing w:after="120" w:line="259" w:lineRule="auto"/>
        <w:jc w:val="both"/>
        <w:rPr>
          <w:rFonts w:eastAsia="Calibri"/>
          <w:kern w:val="2"/>
          <w:lang w:val="sr-Latn-ME"/>
          <w14:ligatures w14:val="standardContextual"/>
        </w:rPr>
      </w:pPr>
      <w:r w:rsidRPr="008A0DC5">
        <w:rPr>
          <w:rFonts w:eastAsia="Calibri"/>
          <w:kern w:val="2"/>
          <w:lang w:val="sr-Latn-ME"/>
          <w14:ligatures w14:val="standardContextual"/>
        </w:rPr>
        <w:t xml:space="preserve">Zakon sadrži isključivo nacionalne odredbe koje su nužne </w:t>
      </w:r>
      <w:r w:rsidR="00131F6B">
        <w:rPr>
          <w:rFonts w:eastAsia="Calibri"/>
          <w:kern w:val="2"/>
          <w:lang w:val="sr-Latn-ME"/>
          <w14:ligatures w14:val="standardContextual"/>
        </w:rPr>
        <w:t xml:space="preserve">za </w:t>
      </w:r>
      <w:r w:rsidR="00131F6B" w:rsidRPr="00131F6B">
        <w:rPr>
          <w:rFonts w:eastAsia="Calibri"/>
          <w:kern w:val="2"/>
          <w:lang w:val="sr-Latn-ME"/>
          <w14:ligatures w14:val="standardContextual"/>
        </w:rPr>
        <w:t>uspostavlja</w:t>
      </w:r>
      <w:r w:rsidR="00131F6B">
        <w:rPr>
          <w:rFonts w:eastAsia="Calibri"/>
          <w:kern w:val="2"/>
          <w:lang w:val="sr-Latn-ME"/>
          <w14:ligatures w14:val="standardContextual"/>
        </w:rPr>
        <w:t>nje</w:t>
      </w:r>
      <w:r w:rsidR="00131F6B" w:rsidRPr="00131F6B">
        <w:rPr>
          <w:rFonts w:eastAsia="Calibri"/>
          <w:kern w:val="2"/>
          <w:lang w:val="sr-Latn-ME"/>
          <w14:ligatures w14:val="standardContextual"/>
        </w:rPr>
        <w:t xml:space="preserve"> nacionaln</w:t>
      </w:r>
      <w:r w:rsidR="001A5F4A">
        <w:rPr>
          <w:rFonts w:eastAsia="Calibri"/>
          <w:kern w:val="2"/>
          <w:lang w:val="sr-Latn-ME"/>
          <w14:ligatures w14:val="standardContextual"/>
        </w:rPr>
        <w:t>og</w:t>
      </w:r>
      <w:r w:rsidR="00131F6B" w:rsidRPr="00131F6B">
        <w:rPr>
          <w:rFonts w:eastAsia="Calibri"/>
          <w:kern w:val="2"/>
          <w:lang w:val="sr-Latn-ME"/>
          <w14:ligatures w14:val="standardContextual"/>
        </w:rPr>
        <w:t xml:space="preserve"> institucionaln</w:t>
      </w:r>
      <w:r w:rsidR="001A5F4A">
        <w:rPr>
          <w:rFonts w:eastAsia="Calibri"/>
          <w:kern w:val="2"/>
          <w:lang w:val="sr-Latn-ME"/>
          <w14:ligatures w14:val="standardContextual"/>
        </w:rPr>
        <w:t>og</w:t>
      </w:r>
      <w:r w:rsidR="00131F6B" w:rsidRPr="00131F6B">
        <w:rPr>
          <w:rFonts w:eastAsia="Calibri"/>
          <w:kern w:val="2"/>
          <w:lang w:val="sr-Latn-ME"/>
          <w14:ligatures w14:val="standardContextual"/>
        </w:rPr>
        <w:t xml:space="preserve"> i proceduraln</w:t>
      </w:r>
      <w:r w:rsidR="001A5F4A">
        <w:rPr>
          <w:rFonts w:eastAsia="Calibri"/>
          <w:kern w:val="2"/>
          <w:lang w:val="sr-Latn-ME"/>
          <w14:ligatures w14:val="standardContextual"/>
        </w:rPr>
        <w:t>og</w:t>
      </w:r>
      <w:r w:rsidR="00131F6B" w:rsidRPr="00131F6B">
        <w:rPr>
          <w:rFonts w:eastAsia="Calibri"/>
          <w:kern w:val="2"/>
          <w:lang w:val="sr-Latn-ME"/>
          <w14:ligatures w14:val="standardContextual"/>
        </w:rPr>
        <w:t xml:space="preserve"> okvir</w:t>
      </w:r>
      <w:r w:rsidR="001A5F4A">
        <w:rPr>
          <w:rFonts w:eastAsia="Calibri"/>
          <w:kern w:val="2"/>
          <w:lang w:val="sr-Latn-ME"/>
          <w14:ligatures w14:val="standardContextual"/>
        </w:rPr>
        <w:t>a neophodnog za primjenu</w:t>
      </w:r>
      <w:r w:rsidR="00131F6B" w:rsidRPr="00131F6B">
        <w:rPr>
          <w:rFonts w:eastAsia="Calibri"/>
          <w:kern w:val="2"/>
          <w:lang w:val="sr-Latn-ME"/>
          <w14:ligatures w14:val="standardContextual"/>
        </w:rPr>
        <w:t xml:space="preserve"> </w:t>
      </w:r>
      <w:r w:rsidRPr="0EEDC162">
        <w:rPr>
          <w:rFonts w:eastAsia="Calibri"/>
          <w:lang w:val="sr-Latn-ME"/>
        </w:rPr>
        <w:t>Regulativ</w:t>
      </w:r>
      <w:r w:rsidR="001A5F4A">
        <w:rPr>
          <w:rFonts w:eastAsia="Calibri"/>
          <w:kern w:val="2"/>
          <w:lang w:val="sr-Latn-ME"/>
          <w14:ligatures w14:val="standardContextual"/>
        </w:rPr>
        <w:t>e</w:t>
      </w:r>
      <w:r w:rsidRPr="008A0DC5">
        <w:rPr>
          <w:rFonts w:eastAsia="Calibri"/>
          <w:kern w:val="2"/>
          <w:lang w:val="sr-Latn-ME"/>
          <w14:ligatures w14:val="standardContextual"/>
        </w:rPr>
        <w:t xml:space="preserve"> (EU) 2022/1925 Evropskog parlamenta i Savjeta od 14. septembra 2022. godine o pravednim tržištima u digitalnom sektoru i izmjeni direktiva 2019/1937 i 2020/1828</w:t>
      </w:r>
      <w:r w:rsidR="001A5F4A" w:rsidRPr="001A5F4A">
        <w:rPr>
          <w:rFonts w:eastAsia="Calibri"/>
          <w:kern w:val="2"/>
          <w:lang w:val="sr-Latn-ME"/>
          <w14:ligatures w14:val="standardContextual"/>
        </w:rPr>
        <w:t xml:space="preserve"> </w:t>
      </w:r>
      <w:r w:rsidR="001A5F4A" w:rsidRPr="008A0DC5">
        <w:rPr>
          <w:rFonts w:eastAsia="Calibri"/>
          <w:kern w:val="2"/>
          <w:lang w:val="sr-Latn-ME"/>
          <w14:ligatures w14:val="standardContextual"/>
        </w:rPr>
        <w:t>od dana pristupanja Crne Gore Evropskoj uniji</w:t>
      </w:r>
      <w:r>
        <w:rPr>
          <w:rFonts w:eastAsia="Calibri"/>
          <w:kern w:val="2"/>
          <w:lang w:val="sr-Latn-ME"/>
          <w14:ligatures w14:val="standardContextual"/>
        </w:rPr>
        <w:t xml:space="preserve">. </w:t>
      </w:r>
    </w:p>
    <w:p w14:paraId="1F5D3D12" w14:textId="6FBF4924" w:rsidR="008A0DC5" w:rsidRPr="00FD3821" w:rsidRDefault="008A0DC5" w:rsidP="008A0DC5">
      <w:pPr>
        <w:widowControl/>
        <w:spacing w:after="240" w:line="259" w:lineRule="auto"/>
        <w:jc w:val="both"/>
        <w:rPr>
          <w:rFonts w:eastAsia="Calibri"/>
          <w:b/>
          <w:kern w:val="2"/>
          <w:lang w:val="sr-Latn-ME"/>
          <w14:ligatures w14:val="standardContextual"/>
        </w:rPr>
      </w:pPr>
      <w:r w:rsidRPr="008A0DC5">
        <w:rPr>
          <w:rFonts w:eastAsia="Calibri"/>
          <w:b/>
          <w:kern w:val="2"/>
          <w:lang w:val="sr-Latn-ME"/>
          <w14:ligatures w14:val="standardContextual"/>
        </w:rPr>
        <w:t xml:space="preserve">Potpuno usklađeno / fully harmonized </w:t>
      </w:r>
    </w:p>
    <w:p w14:paraId="3B2944FD" w14:textId="77777777" w:rsidR="008A0DC5" w:rsidRPr="008A0DC5" w:rsidRDefault="008A0DC5" w:rsidP="008A0DC5">
      <w:pPr>
        <w:widowControl/>
        <w:spacing w:after="120" w:line="259" w:lineRule="auto"/>
        <w:ind w:right="172"/>
        <w:jc w:val="both"/>
        <w:textAlignment w:val="baseline"/>
        <w:rPr>
          <w:rFonts w:eastAsia="Calibri"/>
          <w:b/>
          <w:bCs/>
          <w:color w:val="000000"/>
          <w:kern w:val="2"/>
          <w:lang w:val="sr-Latn-ME"/>
          <w14:ligatures w14:val="standardContextual"/>
        </w:rPr>
      </w:pPr>
      <w:r w:rsidRPr="008A0DC5">
        <w:rPr>
          <w:rFonts w:eastAsia="Calibri"/>
          <w:b/>
          <w:bCs/>
          <w:color w:val="000000"/>
          <w:kern w:val="2"/>
          <w:lang w:val="sr-Latn-ME"/>
          <w14:ligatures w14:val="standardContextual"/>
        </w:rPr>
        <w:t xml:space="preserve">IV. </w:t>
      </w:r>
      <w:r w:rsidRPr="008A0DC5">
        <w:rPr>
          <w:rFonts w:eastAsia="Calibri"/>
          <w:b/>
          <w:bCs/>
          <w:color w:val="000000"/>
          <w:kern w:val="2"/>
          <w:lang w:val="sr-Latn-ME"/>
          <w14:ligatures w14:val="standardContextual"/>
        </w:rPr>
        <w:tab/>
        <w:t>OBJAŠNJENJE OSNOVNIH PRAVNIH INSTITUTA</w:t>
      </w:r>
    </w:p>
    <w:p w14:paraId="2B439AB3" w14:textId="0735360F" w:rsidR="008A0DC5" w:rsidRPr="000F1E95" w:rsidRDefault="008A0DC5" w:rsidP="008A0DC5">
      <w:pPr>
        <w:pStyle w:val="NormalWeb"/>
        <w:jc w:val="both"/>
        <w:rPr>
          <w:lang w:val="sr-Latn-ME"/>
        </w:rPr>
      </w:pPr>
      <w:r w:rsidRPr="000F1E95">
        <w:rPr>
          <w:lang w:val="sr-Latn-ME"/>
        </w:rPr>
        <w:t xml:space="preserve">Odredbama ovog zakona uspostavlja se nacionalni institucionalni i proceduralni okvir za sprovođenje </w:t>
      </w:r>
      <w:r w:rsidRPr="000F1E95">
        <w:rPr>
          <w:rStyle w:val="whitespace-normal"/>
          <w:lang w:val="sr-Latn-ME"/>
        </w:rPr>
        <w:t>Regulative (EU) 2022/1925</w:t>
      </w:r>
      <w:r w:rsidRPr="000F1E95">
        <w:rPr>
          <w:lang w:val="sr-Latn-ME"/>
        </w:rPr>
        <w:t>, pri čemu se polazi od činjenice da se predmetna regulativa direktno primjenjuje u državama članicama Evropske unije, ali da zahtijeva odgovarajuću podršku na nacionalnom nivou u pogledu saradnje, koordinacije i operativnog postupanja.</w:t>
      </w:r>
    </w:p>
    <w:p w14:paraId="5B9293ED" w14:textId="0C187D45" w:rsidR="008A0DC5" w:rsidRPr="000F1E95" w:rsidRDefault="008A0DC5" w:rsidP="008A0DC5">
      <w:pPr>
        <w:pStyle w:val="NormalWeb"/>
        <w:jc w:val="both"/>
        <w:rPr>
          <w:lang w:val="sr-Latn-ME"/>
        </w:rPr>
      </w:pPr>
      <w:r w:rsidRPr="000F1E95">
        <w:rPr>
          <w:lang w:val="sr-Latn-ME"/>
        </w:rPr>
        <w:lastRenderedPageBreak/>
        <w:t>Članom 1 propisuje se predmet zakona, kojim se jasno definiše da se ovim zakonom ne vrši transpozicija materijalnih pravila iz predmetne Regulative, već se uređuju nadležnosti nacionalnih organa i njihova uloga u sistemu sprovođenja, sa posebnim naglaskom na saradnju sa Evropskom komisijom kao centralnim tijelom nadležnim za primjenu ove regulative.</w:t>
      </w:r>
    </w:p>
    <w:p w14:paraId="2141CF34" w14:textId="472708E0" w:rsidR="008A0DC5" w:rsidRPr="000F1E95" w:rsidRDefault="008A0DC5" w:rsidP="008A0DC5">
      <w:pPr>
        <w:pStyle w:val="NormalWeb"/>
        <w:jc w:val="both"/>
        <w:rPr>
          <w:lang w:val="sr-Latn-ME"/>
        </w:rPr>
      </w:pPr>
      <w:r w:rsidRPr="000F1E95">
        <w:rPr>
          <w:lang w:val="sr-Latn-ME"/>
        </w:rPr>
        <w:t>Članom 2 propisuje se upotreba rodno osjetljivog jezika, u skladu sa važećim standardima normativne tehnike i principima ravnopravnosti, bez uticaja na pravni sadržaj odredbi zakona.</w:t>
      </w:r>
    </w:p>
    <w:p w14:paraId="74B6CB24" w14:textId="7FA4473B" w:rsidR="008A0DC5" w:rsidRPr="000F1E95" w:rsidRDefault="008A0DC5" w:rsidP="008A0DC5">
      <w:pPr>
        <w:pStyle w:val="NormalWeb"/>
        <w:jc w:val="both"/>
        <w:rPr>
          <w:lang w:val="sr-Latn-ME"/>
        </w:rPr>
      </w:pPr>
      <w:r w:rsidRPr="000F1E95">
        <w:rPr>
          <w:lang w:val="sr-Latn-ME"/>
        </w:rPr>
        <w:t>Članom 3 obezbjeđuje se terminološka usklađenost sa Regulativom, na način što se propisuje da izrazi upotrijebljeni u ovom zakonu imaju značenje utvrđeno u toj regulativi. Ovakvo rješenje doprinosi pravnoj sigurnosti i izbjegava eventualna odstupanja u tumačenju pojmova kao što su „nadzornik pristupa“ „osnovne platforme usluga“ i drugi ključni instituti.</w:t>
      </w:r>
    </w:p>
    <w:p w14:paraId="239C0856" w14:textId="6649A187" w:rsidR="008A0DC5" w:rsidRPr="000F1E95" w:rsidRDefault="008A0DC5" w:rsidP="008A0DC5">
      <w:pPr>
        <w:pStyle w:val="NormalWeb"/>
        <w:jc w:val="both"/>
        <w:rPr>
          <w:lang w:val="sr-Latn-ME"/>
        </w:rPr>
      </w:pPr>
      <w:r w:rsidRPr="000F1E95">
        <w:rPr>
          <w:lang w:val="sr-Latn-ME"/>
        </w:rPr>
        <w:t>Članom 4 određuje se Agencija za zaštitu konkurencije kao nadležni organ za sprovođenje Regulative na nacionalnom nivou, imajući u vidu njenu postojeću institucionalnu poziciju, stručne kapacitete i nadležnosti u oblasti zaštite konkurencije. Ovim članom se detaljnije uređuju obaveze Agencije u pogledu pravovremenog obavještavanja Evropske komisije o postupcima koji se odnose na nadzornike pristupa, razmjene informacija putem Evropske mreže za konkurenciju, kao i dostavljanja nacrta mjera prije njihovog donošenja. Posebno je značajno normiranje odnosa između postupaka koje vodi Agencija i postupaka koje vodi Evropska komisija, čime se obezbjeđuje izbjegavanje paralelnog postupanja i poštovanje primata nadležnosti Komisije u skladu sa Regulativom.</w:t>
      </w:r>
      <w:r w:rsidR="00434807">
        <w:rPr>
          <w:lang w:val="sr-Latn-ME"/>
        </w:rPr>
        <w:t xml:space="preserve"> Takođe ovim članom se p</w:t>
      </w:r>
      <w:r w:rsidR="00434807" w:rsidRPr="00434807">
        <w:rPr>
          <w:lang w:val="sr-Latn-ME"/>
        </w:rPr>
        <w:t>ropisuje mogućnost da Agencija, u okviru svojih ovlašćenja, vrši ispitivanje neusklađenosti sa ključnim materijalnim odredbama Regulative (članovi 5, 6 i 7) na teritoriji</w:t>
      </w:r>
      <w:r w:rsidR="00434807">
        <w:rPr>
          <w:lang w:val="sr-Latn-ME"/>
        </w:rPr>
        <w:t xml:space="preserve"> Crne Gore</w:t>
      </w:r>
      <w:r w:rsidR="00434807" w:rsidRPr="00434807">
        <w:rPr>
          <w:lang w:val="sr-Latn-ME"/>
        </w:rPr>
        <w:t>, čime se obezbjeđuje podrška Komisiji u prikupljanju relevantnih informacija i efikasnija primjena pravila o digitalnim tržištima.</w:t>
      </w:r>
    </w:p>
    <w:p w14:paraId="33F88038" w14:textId="0481CCD8" w:rsidR="008A0DC5" w:rsidRPr="000F1E95" w:rsidRDefault="008A0DC5" w:rsidP="008A0DC5">
      <w:pPr>
        <w:pStyle w:val="NormalWeb"/>
        <w:jc w:val="both"/>
        <w:rPr>
          <w:lang w:val="sr-Latn-ME"/>
        </w:rPr>
      </w:pPr>
      <w:r w:rsidRPr="000F1E95">
        <w:rPr>
          <w:lang w:val="sr-Latn-ME"/>
        </w:rPr>
        <w:t>Članom 5 uređuje se obaveza Agencije da pruža aktivnu pomoć Evropskoj komisiji u sprovođenju inspekcija, što predstavlja jednu od ključnih obaveza država članica u okviru DMA. U tom smislu, propisano je da službena i druga ovlašćena lica Agencije imaju ovlašćenja iz člana 23 stav 2 i 4 DMA, uključujući pravo pristupa poslovnim prostorijama, uvida u dokumentaciju i podatke, pribavljanja kopija, kao i zahtijevanja objašnjenja od predstavnika i zaposlenih subjekata nad kojima se vrši inspekcija. Ovim se obezbjeđuje efektivna i neposredna primjena inspekcijskih ovlašćenja Evropske komisije na teritoriji Crne Gore, uz punu procesnu podršku nacionalnog organa.</w:t>
      </w:r>
      <w:r w:rsidR="00434807">
        <w:rPr>
          <w:lang w:val="sr-Latn-ME"/>
        </w:rPr>
        <w:t xml:space="preserve"> </w:t>
      </w:r>
    </w:p>
    <w:p w14:paraId="5F5BA7ED" w14:textId="493D6929" w:rsidR="008A0DC5" w:rsidRPr="000F1E95" w:rsidRDefault="000F1E95" w:rsidP="008A0DC5">
      <w:pPr>
        <w:pStyle w:val="NormalWeb"/>
        <w:jc w:val="both"/>
        <w:rPr>
          <w:lang w:val="sr-Latn-ME"/>
        </w:rPr>
      </w:pPr>
      <w:r w:rsidRPr="000F1E95">
        <w:rPr>
          <w:lang w:val="sr-Latn-ME"/>
        </w:rPr>
        <w:t>Članom 6</w:t>
      </w:r>
      <w:r w:rsidR="008A0DC5" w:rsidRPr="000F1E95">
        <w:rPr>
          <w:lang w:val="sr-Latn-ME"/>
        </w:rPr>
        <w:t xml:space="preserve"> propisuje se stupanje na snagu </w:t>
      </w:r>
      <w:r w:rsidR="00FD3821">
        <w:rPr>
          <w:lang w:val="sr-Latn-ME"/>
        </w:rPr>
        <w:t xml:space="preserve">i primjena </w:t>
      </w:r>
      <w:r w:rsidR="001E2954">
        <w:rPr>
          <w:lang w:val="sr-Latn-ME"/>
        </w:rPr>
        <w:t>ovog zakona</w:t>
      </w:r>
      <w:r w:rsidR="008A0DC5" w:rsidRPr="000F1E95">
        <w:rPr>
          <w:lang w:val="sr-Latn-ME"/>
        </w:rPr>
        <w:t xml:space="preserve"> od dana pristupanja Crne Gore Evropskoj uniji. Ovakvo rješenje je u skladu sa pravnom prirodom </w:t>
      </w:r>
      <w:r w:rsidRPr="000F1E95">
        <w:rPr>
          <w:lang w:val="sr-Latn-ME"/>
        </w:rPr>
        <w:t>Regulative</w:t>
      </w:r>
      <w:r w:rsidR="008A0DC5" w:rsidRPr="000F1E95">
        <w:rPr>
          <w:lang w:val="sr-Latn-ME"/>
        </w:rPr>
        <w:t xml:space="preserve"> kao </w:t>
      </w:r>
      <w:r w:rsidRPr="000F1E95">
        <w:rPr>
          <w:lang w:val="sr-Latn-ME"/>
        </w:rPr>
        <w:t>akta</w:t>
      </w:r>
      <w:r w:rsidR="008A0DC5" w:rsidRPr="000F1E95">
        <w:rPr>
          <w:lang w:val="sr-Latn-ME"/>
        </w:rPr>
        <w:t xml:space="preserve"> koj</w:t>
      </w:r>
      <w:r w:rsidRPr="000F1E95">
        <w:rPr>
          <w:lang w:val="sr-Latn-ME"/>
        </w:rPr>
        <w:t>i</w:t>
      </w:r>
      <w:r w:rsidR="008A0DC5" w:rsidRPr="000F1E95">
        <w:rPr>
          <w:lang w:val="sr-Latn-ME"/>
        </w:rPr>
        <w:t xml:space="preserve"> se neposredno primjenjuje u državama članicama, čime se obezbjeđuje pravna sigurnost i kontinuitet u primjeni pravne tekovine Evropske unije.</w:t>
      </w:r>
    </w:p>
    <w:p w14:paraId="2D4CB4F1" w14:textId="53F8180B" w:rsidR="00434807" w:rsidRPr="000F1E95" w:rsidRDefault="008A0DC5" w:rsidP="008A0DC5">
      <w:pPr>
        <w:pStyle w:val="NormalWeb"/>
        <w:jc w:val="both"/>
        <w:rPr>
          <w:lang w:val="sr-Latn-ME"/>
        </w:rPr>
      </w:pPr>
      <w:r w:rsidRPr="000F1E95">
        <w:rPr>
          <w:lang w:val="sr-Latn-ME"/>
        </w:rPr>
        <w:t xml:space="preserve">Na ovaj način, predložena rješenja obezbjeđuju potpunu funkcionalnu usklađenost nacionalnog pravnog sistema sa zahtjevima </w:t>
      </w:r>
      <w:r w:rsidR="000F1E95" w:rsidRPr="000F1E95">
        <w:rPr>
          <w:lang w:val="sr-Latn-ME"/>
        </w:rPr>
        <w:t>Regulative (EU) 2022/1925</w:t>
      </w:r>
      <w:r w:rsidRPr="000F1E95">
        <w:rPr>
          <w:lang w:val="sr-Latn-ME"/>
        </w:rPr>
        <w:t>, uz jasno definisanu ulogu nadležnog organa i efikasan mehanizam saradnje sa Evropskom komisijom.</w:t>
      </w:r>
    </w:p>
    <w:p w14:paraId="42AE610A" w14:textId="77777777" w:rsidR="000F1E95" w:rsidRPr="000F1E95" w:rsidRDefault="000F1E95" w:rsidP="000F1E95">
      <w:pPr>
        <w:widowControl/>
        <w:rPr>
          <w:rFonts w:eastAsia="Calibri"/>
          <w:b/>
          <w:bCs/>
          <w:kern w:val="2"/>
          <w:lang w:val="sr-Latn-ME"/>
          <w14:ligatures w14:val="standardContextual"/>
        </w:rPr>
      </w:pPr>
      <w:r w:rsidRPr="000F1E95">
        <w:rPr>
          <w:rFonts w:eastAsia="Calibri"/>
          <w:b/>
          <w:bCs/>
          <w:kern w:val="2"/>
          <w:lang w:val="sr-Latn-ME"/>
          <w14:ligatures w14:val="standardContextual"/>
        </w:rPr>
        <w:t>V. FINANSIJSKA SREDSTVA ZA SPROVOĐENJE OVOG ZAKONA</w:t>
      </w:r>
    </w:p>
    <w:p w14:paraId="36CD9533" w14:textId="77777777" w:rsidR="000F1E95" w:rsidRPr="000F1E95" w:rsidRDefault="000F1E95" w:rsidP="000F1E95">
      <w:pPr>
        <w:widowControl/>
        <w:rPr>
          <w:rFonts w:eastAsia="Calibri"/>
          <w:b/>
          <w:bCs/>
          <w:kern w:val="2"/>
          <w:lang w:val="sr-Latn-ME"/>
          <w14:ligatures w14:val="standardContextual"/>
        </w:rPr>
      </w:pPr>
    </w:p>
    <w:p w14:paraId="3712040F" w14:textId="091DFC60" w:rsidR="008A0DC5" w:rsidRPr="008A0DC5" w:rsidRDefault="000F1E95" w:rsidP="000F1E95">
      <w:pPr>
        <w:widowControl/>
        <w:spacing w:after="240" w:line="259" w:lineRule="auto"/>
        <w:jc w:val="both"/>
        <w:rPr>
          <w:rFonts w:eastAsia="Calibri"/>
          <w:kern w:val="2"/>
          <w:lang w:val="sr-Latn-ME"/>
          <w14:ligatures w14:val="standardContextual"/>
        </w:rPr>
      </w:pPr>
      <w:r w:rsidRPr="000F1E95">
        <w:rPr>
          <w:rFonts w:eastAsia="Calibri"/>
          <w:bCs/>
          <w:kern w:val="2"/>
          <w:lang w:val="sr-Latn-ME"/>
          <w14:ligatures w14:val="standardContextual"/>
        </w:rPr>
        <w:t>Za sprovođenje ovog zakona nijesu potrebna dodatna finansijska sredstva</w:t>
      </w:r>
      <w:r w:rsidR="002D2FEA">
        <w:rPr>
          <w:rFonts w:eastAsia="Calibri"/>
          <w:bCs/>
          <w:kern w:val="2"/>
          <w:lang w:val="sr-Latn-ME"/>
          <w14:ligatures w14:val="standardContextual"/>
        </w:rPr>
        <w:t>.</w:t>
      </w:r>
    </w:p>
    <w:p w14:paraId="3E66CA7A" w14:textId="77777777" w:rsidR="008A0DC5" w:rsidRDefault="008A0DC5" w:rsidP="00971BFD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</w:p>
    <w:sectPr w:rsidR="008A0DC5"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C98CA4F" w16cex:dateUtc="2026-04-23T18:38:00Z"/>
  <w16cex:commentExtensible w16cex:durableId="79DEE9BF" w16cex:dateUtc="2026-04-23T18:40:00Z"/>
  <w16cex:commentExtensible w16cex:durableId="5A874C76" w16cex:dateUtc="2026-04-27T11:25:58.114Z"/>
  <w16cex:commentExtensible w16cex:durableId="53A009F2" w16cex:dateUtc="2026-04-27T11:27:22.037Z"/>
  <w16cex:commentExtensible w16cex:durableId="68E518E0" w16cex:dateUtc="2026-04-27T11:34:56.133Z"/>
  <w16cex:commentExtensible w16cex:durableId="23625D5C" w16cex:dateUtc="2026-04-27T11:38:35.378Z"/>
  <w16cex:commentExtensible w16cex:durableId="0C974F86" w16cex:dateUtc="2026-04-27T11:42:32.396Z"/>
  <w16cex:commentExtensible w16cex:durableId="3BFDEE83" w16cex:dateUtc="2026-04-27T11:45:08.603Z"/>
  <w16cex:commentExtensible w16cex:durableId="4F34B719" w16cex:dateUtc="2026-04-27T11:50:31.274Z"/>
  <w16cex:commentExtensible w16cex:durableId="1EA7273F" w16cex:dateUtc="2026-04-27T11:55:24.774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B2E7C154-176B-418B-90E1-9F2327EAC5C1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83F5B4E4-D7E3-4491-BD31-4A5A1893841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CFE8D695-8E29-4D58-A428-732A21296272}"/>
    <w:embedBold r:id="rId4" w:fontKey="{44E212BA-C4D1-4A99-B187-973A8555AF4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7403529-050D-41E9-A0A9-F0ACE612045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FC0A08"/>
    <w:multiLevelType w:val="multilevel"/>
    <w:tmpl w:val="F1F624B0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b/>
        <w:bCs/>
        <w:color w:val="231F20"/>
        <w:sz w:val="20"/>
        <w:szCs w:val="20"/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" w15:restartNumberingAfterBreak="0">
    <w:nsid w:val="35F82960"/>
    <w:multiLevelType w:val="hybridMultilevel"/>
    <w:tmpl w:val="FB5C90E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8E3667"/>
    <w:multiLevelType w:val="hybridMultilevel"/>
    <w:tmpl w:val="8C04D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9F0675"/>
    <w:multiLevelType w:val="multilevel"/>
    <w:tmpl w:val="EC66A8FA"/>
    <w:lvl w:ilvl="0">
      <w:start w:val="1"/>
      <w:numFmt w:val="decimal"/>
      <w:lvlText w:val="%1)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4" w15:restartNumberingAfterBreak="0">
    <w:nsid w:val="75B169B4"/>
    <w:multiLevelType w:val="multilevel"/>
    <w:tmpl w:val="F3E2B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CCB"/>
    <w:rsid w:val="000D193D"/>
    <w:rsid w:val="000F1E95"/>
    <w:rsid w:val="00130482"/>
    <w:rsid w:val="00131F6B"/>
    <w:rsid w:val="00147CCB"/>
    <w:rsid w:val="00155D57"/>
    <w:rsid w:val="001A5F4A"/>
    <w:rsid w:val="001C5BB4"/>
    <w:rsid w:val="001D3921"/>
    <w:rsid w:val="001E2954"/>
    <w:rsid w:val="002538B7"/>
    <w:rsid w:val="002D2FEA"/>
    <w:rsid w:val="003206E9"/>
    <w:rsid w:val="003F5DF0"/>
    <w:rsid w:val="00401CFA"/>
    <w:rsid w:val="00434807"/>
    <w:rsid w:val="0048155C"/>
    <w:rsid w:val="005421BF"/>
    <w:rsid w:val="006D69F1"/>
    <w:rsid w:val="008A0DC5"/>
    <w:rsid w:val="00971BFD"/>
    <w:rsid w:val="009C236B"/>
    <w:rsid w:val="00A844A7"/>
    <w:rsid w:val="00AF2F46"/>
    <w:rsid w:val="00C31EBF"/>
    <w:rsid w:val="00C41F1F"/>
    <w:rsid w:val="00C64B1A"/>
    <w:rsid w:val="00EB04D4"/>
    <w:rsid w:val="00FD3821"/>
    <w:rsid w:val="00FE4A6B"/>
    <w:rsid w:val="00FF12DC"/>
    <w:rsid w:val="06453193"/>
    <w:rsid w:val="0EEDC162"/>
    <w:rsid w:val="129BCCF2"/>
    <w:rsid w:val="139FCAC7"/>
    <w:rsid w:val="16E33878"/>
    <w:rsid w:val="1A10FBC3"/>
    <w:rsid w:val="2340AC39"/>
    <w:rsid w:val="4EDD62EC"/>
    <w:rsid w:val="5FDF4623"/>
    <w:rsid w:val="670FD141"/>
    <w:rsid w:val="74ADE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CCAF4"/>
  <w15:docId w15:val="{45F0F86A-C6DB-4291-A19D-BD0AA6B1F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sr-Latn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 w:line="360" w:lineRule="auto"/>
      <w:ind w:left="720" w:hanging="720"/>
      <w:jc w:val="center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1D392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A0DC5"/>
    <w:pPr>
      <w:widowControl/>
      <w:spacing w:before="100" w:beforeAutospacing="1" w:after="100" w:afterAutospacing="1"/>
    </w:pPr>
    <w:rPr>
      <w:lang w:val="en-US"/>
    </w:rPr>
  </w:style>
  <w:style w:type="character" w:customStyle="1" w:styleId="whitespace-normal">
    <w:name w:val="whitespace-normal"/>
    <w:basedOn w:val="DefaultParagraphFont"/>
    <w:rsid w:val="008A0DC5"/>
  </w:style>
  <w:style w:type="paragraph" w:styleId="Revision">
    <w:name w:val="Revision"/>
    <w:hidden/>
    <w:uiPriority w:val="99"/>
    <w:semiHidden/>
    <w:rsid w:val="005421BF"/>
    <w:pPr>
      <w:widowControl/>
    </w:pPr>
  </w:style>
  <w:style w:type="character" w:styleId="CommentReference">
    <w:name w:val="annotation reference"/>
    <w:basedOn w:val="DefaultParagraphFont"/>
    <w:uiPriority w:val="99"/>
    <w:semiHidden/>
    <w:unhideWhenUsed/>
    <w:rsid w:val="005421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21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21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21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21B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38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8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0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hr/c/eu/61381/uredba-(eu)-2022-2065-europskog-parlamenta-i-vije%C4%87a-od-19.-listopada-2022.-o-jedinstvenom-tr%C5%BEi%C5%A1tu-digitalnih" TargetMode="External"/><Relationship Id="rId13" Type="http://schemas.openxmlformats.org/officeDocument/2006/relationships/hyperlink" Target="https://www.zakon.hr/c/eu/61381/uredba-(eu)-2022-2065-europskog-parlamenta-i-vije%C4%87a-od-19.-listopada-2022.-o-jedinstvenom-tr%C5%BEi%C5%A1tu-digitalnih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zakon.hr/c/eu/61381/uredba-(eu)-2022-2065-europskog-parlamenta-i-vije%C4%87a-od-19.-listopada-2022.-o-jedinstvenom-tr%C5%BEi%C5%A1tu-digitalnih" TargetMode="External"/><Relationship Id="rId12" Type="http://schemas.openxmlformats.org/officeDocument/2006/relationships/hyperlink" Target="https://www.zakon.hr/c/eu/61381/uredba-(eu)-2022-2065-europskog-parlamenta-i-vije%C4%87a-od-19.-listopada-2022.-o-jedinstvenom-tr%C5%BEi%C5%A1tu-digitalnih" TargetMode="Externa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zakon.hr/c/eu/61381/uredba-(eu)-2022-2065-europskog-parlamenta-i-vije%C4%87a-od-19.-listopada-2022.-o-jedinstvenom-tr%C5%BEi%C5%A1tu-digitalnih" TargetMode="External"/><Relationship Id="rId11" Type="http://schemas.openxmlformats.org/officeDocument/2006/relationships/hyperlink" Target="https://www.zakon.hr/c/eu/61381/uredba-(eu)-2022-2065-europskog-parlamenta-i-vije%C4%87a-od-19.-listopada-2022.-o-jedinstvenom-tr%C5%BEi%C5%A1tu-digitalni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zakon.hr/c/eu/61381/uredba-(eu)-2022-2065-europskog-parlamenta-i-vije%C4%87a-od-19.-listopada-2022.-o-jedinstvenom-tr%C5%BEi%C5%A1tu-digitalni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zakon.hr/c/eu/61381/uredba-(eu)-2022-2065-europskog-parlamenta-i-vije%C4%87a-od-19.-listopada-2022.-o-jedinstvenom-tr%C5%BEi%C5%A1tu-digitalnih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NASVkBGRy5Zbk0kIxM25cp/g6w==">CgMxLjA4AHIhMUdxa3dLNlV2THB2YlFjdk1JT3gxbm9PcmVrYmRTdjhj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1724</Words>
  <Characters>9827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Zeljko Tomovic</dc:creator>
  <cp:lastModifiedBy>Zeljko Tomovic</cp:lastModifiedBy>
  <cp:revision>2</cp:revision>
  <dcterms:created xsi:type="dcterms:W3CDTF">2026-04-30T07:30:00Z</dcterms:created>
  <dcterms:modified xsi:type="dcterms:W3CDTF">2026-04-30T07:30:00Z</dcterms:modified>
</cp:coreProperties>
</file>