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E88B5" w14:textId="77777777" w:rsidR="00A07773" w:rsidRPr="00E54D7F" w:rsidRDefault="00A07773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OBRAZAC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4"/>
        <w:gridCol w:w="5456"/>
      </w:tblGrid>
      <w:tr w:rsidR="00C72668" w:rsidRPr="00E54D7F" w14:paraId="43567DD6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6AF6F87" w14:textId="77777777" w:rsidR="00C72668" w:rsidRPr="00E54D7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E54D7F" w14:paraId="25A39E6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682654E1" w14:textId="77777777" w:rsidR="008322D4" w:rsidRPr="00E54D7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PREDLAGA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Č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21932949" w14:textId="0372A014" w:rsidR="008322D4" w:rsidRPr="009546CD" w:rsidRDefault="004607E9" w:rsidP="0005064C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 w:rsidRPr="00901BA8">
              <w:rPr>
                <w:rFonts w:ascii="Cambria" w:hAnsi="Cambria" w:cs="Arial"/>
                <w:b/>
                <w:noProof/>
                <w:szCs w:val="24"/>
              </w:rPr>
              <w:t>MINISTARSTVO FINANSIJA</w:t>
            </w:r>
            <w:r w:rsidRPr="009546CD">
              <w:rPr>
                <w:rFonts w:ascii="Cambria" w:hAnsi="Cambria" w:cs="Arial"/>
                <w:b/>
                <w:strike/>
                <w:noProof/>
                <w:szCs w:val="24"/>
              </w:rPr>
              <w:t xml:space="preserve"> </w:t>
            </w:r>
          </w:p>
        </w:tc>
      </w:tr>
      <w:tr w:rsidR="008322D4" w:rsidRPr="00E54D7F" w14:paraId="16065B6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1018B53" w14:textId="77777777" w:rsidR="008322D4" w:rsidRPr="00E54D7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ZIV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62D4BA92" w14:textId="5EC026C6" w:rsidR="008322D4" w:rsidRPr="005F5923" w:rsidRDefault="004607E9" w:rsidP="00455A8A">
            <w:pPr>
              <w:autoSpaceDE w:val="0"/>
              <w:autoSpaceDN w:val="0"/>
              <w:adjustRightInd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  <w:lang w:val="sr-Latn-ME"/>
              </w:rPr>
            </w:pPr>
            <w:bookmarkStart w:id="0" w:name="_Hlk213152649"/>
            <w:r w:rsidRPr="00E54D7F">
              <w:rPr>
                <w:rFonts w:ascii="Cambria" w:hAnsi="Cambria" w:cs="Arial"/>
                <w:b/>
                <w:noProof/>
                <w:szCs w:val="24"/>
              </w:rPr>
              <w:t>Nacrt</w:t>
            </w:r>
            <w:r w:rsidR="008C5B9A" w:rsidRPr="00E54D7F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r w:rsidR="00253324" w:rsidRPr="00253324">
              <w:rPr>
                <w:rFonts w:ascii="Cambria" w:hAnsi="Cambria" w:cs="Arial"/>
                <w:b/>
                <w:noProof/>
                <w:szCs w:val="24"/>
              </w:rPr>
              <w:t>Zakon</w:t>
            </w:r>
            <w:r w:rsidR="00455A8A">
              <w:rPr>
                <w:rFonts w:ascii="Cambria" w:hAnsi="Cambria" w:cs="Arial"/>
                <w:b/>
                <w:noProof/>
                <w:szCs w:val="24"/>
              </w:rPr>
              <w:t>a</w:t>
            </w:r>
            <w:r w:rsidR="00901BA8">
              <w:rPr>
                <w:rFonts w:ascii="Cambria" w:hAnsi="Cambria" w:cs="Arial"/>
                <w:b/>
                <w:noProof/>
                <w:szCs w:val="24"/>
              </w:rPr>
              <w:t xml:space="preserve"> o izmjenama i dopunama</w:t>
            </w:r>
            <w:r w:rsidR="00253324" w:rsidRPr="00253324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r w:rsidR="00901BA8">
              <w:rPr>
                <w:rFonts w:ascii="Cambria" w:hAnsi="Cambria" w:cs="Arial"/>
                <w:b/>
                <w:noProof/>
                <w:szCs w:val="24"/>
              </w:rPr>
              <w:t xml:space="preserve">Zakona </w:t>
            </w:r>
            <w:r w:rsidR="00253324" w:rsidRPr="00253324">
              <w:rPr>
                <w:rFonts w:ascii="Cambria" w:hAnsi="Cambria" w:cs="Arial"/>
                <w:b/>
                <w:noProof/>
                <w:szCs w:val="24"/>
              </w:rPr>
              <w:t>o uporedivosti naknada povezanih sa računom za plaćanje potrošača, prebacivanju računa za plaćanje potrošača i računu za plaćanje sa osnovnim uslugama</w:t>
            </w:r>
            <w:bookmarkEnd w:id="0"/>
          </w:p>
        </w:tc>
      </w:tr>
      <w:tr w:rsidR="008322D4" w:rsidRPr="00E54D7F" w14:paraId="0F71655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CEDE354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1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1D36BD9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581547C4" w14:textId="77777777" w:rsidR="00A07773" w:rsidRPr="00E54D7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436EFD39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13F55771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46283476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E54D7F" w14:paraId="006CD3E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5EDEF89" w14:textId="4C9FBEB6" w:rsidR="00FE151D" w:rsidRPr="00FE151D" w:rsidRDefault="00FE151D" w:rsidP="006676CB">
            <w:pPr>
              <w:spacing w:before="100" w:beforeAutospacing="1" w:after="100" w:afterAutospacing="1"/>
              <w:rPr>
                <w:rFonts w:asciiTheme="majorHAnsi" w:hAnsiTheme="majorHAnsi" w:cs="Arial"/>
                <w:b w:val="0"/>
                <w:szCs w:val="24"/>
              </w:rPr>
            </w:pPr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1. U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Crnoj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Gori se od 9.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januara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2023.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godine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primjenjuje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Zakon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o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uporedivosti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naknada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povezanih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računom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potrošača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prebacivanju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potrošača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računu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kojim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je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regulatorni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okvir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iz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ove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oblasti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potpunosti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usklađen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Direktivom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2014/92/EU o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uporedivosti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naknada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povezanih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računima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prebacivanju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pristupu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računima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FE151D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Pr="00FE151D">
              <w:rPr>
                <w:rFonts w:asciiTheme="majorHAnsi" w:hAnsiTheme="majorHAnsi" w:cs="Arial"/>
                <w:b w:val="0"/>
                <w:szCs w:val="24"/>
              </w:rPr>
              <w:t xml:space="preserve"> (Payment Accounts Directive – PAD).</w:t>
            </w:r>
          </w:p>
          <w:p w14:paraId="3279FECF" w14:textId="0159A02C" w:rsidR="004A240E" w:rsidRPr="00815521" w:rsidRDefault="00815521" w:rsidP="00455A8A">
            <w:pPr>
              <w:spacing w:before="100" w:beforeAutospacing="1" w:after="100" w:afterAutospacing="1"/>
              <w:jc w:val="left"/>
              <w:rPr>
                <w:rFonts w:asciiTheme="majorHAnsi" w:hAnsiTheme="majorHAnsi" w:cs="Arial"/>
                <w:bCs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Postojeći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6676CB">
              <w:rPr>
                <w:rFonts w:asciiTheme="majorHAnsi" w:hAnsiTheme="majorHAnsi" w:cs="Arial"/>
                <w:b w:val="0"/>
                <w:szCs w:val="24"/>
              </w:rPr>
              <w:t>z</w:t>
            </w:r>
            <w:r w:rsidR="00FE151D" w:rsidRPr="00FE151D">
              <w:rPr>
                <w:rFonts w:asciiTheme="majorHAnsi" w:hAnsiTheme="majorHAnsi" w:cs="Arial"/>
                <w:b w:val="0"/>
                <w:szCs w:val="24"/>
              </w:rPr>
              <w:t>akon</w:t>
            </w:r>
            <w:proofErr w:type="spellEnd"/>
            <w:r w:rsidR="004A240E" w:rsidRPr="00815521">
              <w:rPr>
                <w:rFonts w:asciiTheme="majorHAnsi" w:hAnsiTheme="majorHAnsi" w:cs="Arial"/>
                <w:b w:val="0"/>
                <w:szCs w:val="24"/>
              </w:rPr>
              <w:t>:</w:t>
            </w:r>
          </w:p>
          <w:p w14:paraId="6511CF1C" w14:textId="50AF2087" w:rsidR="00FE151D" w:rsidRPr="004A240E" w:rsidRDefault="00FE151D" w:rsidP="00901BA8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Theme="majorHAnsi" w:hAnsiTheme="majorHAnsi" w:cs="Arial"/>
                <w:szCs w:val="24"/>
              </w:rPr>
            </w:pP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omogućava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potrošačima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da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jednostavno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jasno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uporede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naknade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različite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vrste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platnih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usluga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putem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jedinstvene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liste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uporedivih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naknada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objavljene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internet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stranici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Centralne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banke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Crne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Gore,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kao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da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redovno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dobijaju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informacije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o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naplaćenim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naknadama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kamatama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. Time se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povećava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transparentnost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podstiče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konkurencija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među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pružaocima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platnih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usluga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unapređuje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zaštita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potrošača</w:t>
            </w:r>
            <w:proofErr w:type="spellEnd"/>
            <w:r w:rsidR="006676CB">
              <w:rPr>
                <w:rFonts w:asciiTheme="majorHAnsi" w:hAnsiTheme="majorHAnsi" w:cs="Arial"/>
                <w:bCs/>
                <w:szCs w:val="24"/>
              </w:rPr>
              <w:t>;</w:t>
            </w:r>
          </w:p>
          <w:p w14:paraId="77435E67" w14:textId="58F47F19" w:rsidR="00FE151D" w:rsidRPr="004A240E" w:rsidRDefault="00FE151D" w:rsidP="00901BA8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Theme="majorHAnsi" w:hAnsiTheme="majorHAnsi" w:cs="Arial"/>
                <w:b w:val="0"/>
                <w:bCs/>
                <w:szCs w:val="24"/>
              </w:rPr>
            </w:pP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pojednostavljuje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postupak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prebacivanja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računa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plaćanje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jedne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kreditne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institucije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drugu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jer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novi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pružalac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usluga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uz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ovlašćenje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potrošača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obavlja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sve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aktivnosti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vezane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prenos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računa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. Na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taj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način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smanjuju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se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administrativni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troškovi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olakšava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promjena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banke</w:t>
            </w:r>
            <w:proofErr w:type="spellEnd"/>
            <w:r w:rsidRPr="004A240E">
              <w:rPr>
                <w:rFonts w:asciiTheme="majorHAnsi" w:hAnsiTheme="majorHAnsi" w:cs="Arial"/>
                <w:b w:val="0"/>
                <w:bCs/>
                <w:szCs w:val="24"/>
              </w:rPr>
              <w:t>.</w:t>
            </w:r>
          </w:p>
          <w:p w14:paraId="6E899192" w14:textId="4DF1BAED" w:rsidR="00FE151D" w:rsidRPr="00397FDE" w:rsidRDefault="00397FDE" w:rsidP="00901BA8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b w:val="0"/>
                <w:bCs/>
                <w:szCs w:val="24"/>
              </w:rPr>
              <w:t>u</w:t>
            </w:r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dijelu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pristupa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bankarskim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uv</w:t>
            </w:r>
            <w:r w:rsidR="004A240E" w:rsidRPr="00397FDE">
              <w:rPr>
                <w:rFonts w:asciiTheme="majorHAnsi" w:hAnsiTheme="majorHAnsi" w:cs="Arial"/>
                <w:b w:val="0"/>
                <w:bCs/>
                <w:szCs w:val="24"/>
              </w:rPr>
              <w:t>odi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institut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računa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plaćanje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koji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omogućava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svakom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licu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zakonitim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boravkom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u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Crnoj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Gori da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otvori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koristi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račun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>
              <w:rPr>
                <w:rFonts w:asciiTheme="majorHAnsi" w:hAnsiTheme="majorHAnsi" w:cs="Arial"/>
                <w:b w:val="0"/>
                <w:bCs/>
                <w:szCs w:val="24"/>
              </w:rPr>
              <w:t>plaćanje</w:t>
            </w:r>
            <w:proofErr w:type="spellEnd"/>
            <w:r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>
              <w:rPr>
                <w:rFonts w:asciiTheme="majorHAnsi" w:hAnsiTheme="majorHAnsi" w:cs="Arial"/>
                <w:b w:val="0"/>
                <w:bCs/>
                <w:szCs w:val="24"/>
              </w:rPr>
              <w:t>,</w:t>
            </w:r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bez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diskriminacije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, bez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obzira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na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finansijsko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stanje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ili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status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potrošača</w:t>
            </w:r>
            <w:proofErr w:type="spellEnd"/>
            <w:r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Pr="00397FDE">
              <w:rPr>
                <w:rFonts w:asciiTheme="majorHAnsi" w:hAnsiTheme="majorHAnsi" w:cs="Arial"/>
                <w:b w:val="0"/>
                <w:bCs/>
                <w:szCs w:val="24"/>
              </w:rPr>
              <w:t>čime</w:t>
            </w:r>
            <w:proofErr w:type="spellEnd"/>
            <w:r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se</w:t>
            </w:r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podstiče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finansijska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inkluzija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odnosno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uključivanje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socijalno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osjetljivih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9546CD" w:rsidRPr="00397FDE">
              <w:rPr>
                <w:rFonts w:asciiTheme="majorHAnsi" w:hAnsiTheme="majorHAnsi" w:cs="Arial"/>
                <w:b w:val="0"/>
                <w:bCs/>
                <w:szCs w:val="24"/>
              </w:rPr>
              <w:t>grupa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stanovništva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u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finansijski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sistem</w:t>
            </w:r>
            <w:proofErr w:type="spellEnd"/>
            <w:r w:rsidR="00FE151D" w:rsidRPr="00397FDE">
              <w:rPr>
                <w:rFonts w:asciiTheme="majorHAnsi" w:hAnsiTheme="majorHAnsi" w:cs="Arial"/>
                <w:b w:val="0"/>
                <w:bCs/>
                <w:szCs w:val="24"/>
              </w:rPr>
              <w:t>.</w:t>
            </w:r>
            <w:r w:rsidR="006676C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</w:p>
          <w:p w14:paraId="758198DC" w14:textId="77777777" w:rsidR="006676CB" w:rsidRDefault="006676CB" w:rsidP="00901BA8">
            <w:pPr>
              <w:spacing w:before="100" w:beforeAutospacing="1" w:after="100" w:afterAutospacing="1"/>
              <w:rPr>
                <w:rFonts w:asciiTheme="majorHAnsi" w:hAnsiTheme="majorHAnsi" w:cs="Arial"/>
                <w:bCs/>
                <w:szCs w:val="24"/>
              </w:rPr>
            </w:pPr>
          </w:p>
          <w:p w14:paraId="21CA18A0" w14:textId="77777777" w:rsidR="006676CB" w:rsidRDefault="006676CB" w:rsidP="00901BA8">
            <w:pPr>
              <w:spacing w:before="100" w:beforeAutospacing="1" w:after="100" w:afterAutospacing="1"/>
              <w:rPr>
                <w:rFonts w:asciiTheme="majorHAnsi" w:hAnsiTheme="majorHAnsi" w:cs="Arial"/>
                <w:bCs/>
                <w:szCs w:val="24"/>
              </w:rPr>
            </w:pPr>
          </w:p>
          <w:p w14:paraId="6D261E83" w14:textId="07D21707" w:rsidR="0035343D" w:rsidRPr="0035343D" w:rsidRDefault="006676CB" w:rsidP="00901BA8">
            <w:pPr>
              <w:spacing w:before="100" w:beforeAutospacing="1" w:after="100" w:afterAutospacing="1"/>
              <w:rPr>
                <w:rFonts w:asciiTheme="majorHAnsi" w:hAnsiTheme="majorHAnsi" w:cs="Arial"/>
                <w:b w:val="0"/>
                <w:szCs w:val="24"/>
              </w:rPr>
            </w:pPr>
            <w:r>
              <w:rPr>
                <w:rFonts w:asciiTheme="majorHAnsi" w:hAnsiTheme="majorHAnsi" w:cs="Arial"/>
                <w:b w:val="0"/>
                <w:szCs w:val="24"/>
              </w:rPr>
              <w:t xml:space="preserve">2.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Prilikom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primjene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postojećeg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z</w:t>
            </w:r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akona</w:t>
            </w:r>
            <w:proofErr w:type="spellEnd"/>
            <w:r w:rsidR="00D1471D"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 w:rsidR="00D1471D">
              <w:rPr>
                <w:rFonts w:asciiTheme="majorHAnsi" w:hAnsiTheme="majorHAnsi" w:cs="Arial"/>
                <w:b w:val="0"/>
                <w:szCs w:val="24"/>
              </w:rPr>
              <w:t>praksi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identifikova</w:t>
            </w:r>
            <w:r w:rsidR="00901BA8">
              <w:rPr>
                <w:rFonts w:asciiTheme="majorHAnsi" w:hAnsiTheme="majorHAnsi" w:cs="Arial"/>
                <w:b w:val="0"/>
                <w:szCs w:val="24"/>
              </w:rPr>
              <w:t>ne</w:t>
            </w:r>
            <w:proofErr w:type="spellEnd"/>
            <w:r w:rsidR="00901BA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proofErr w:type="gramStart"/>
            <w:r w:rsidR="00901BA8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="00901BA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određen</w:t>
            </w:r>
            <w:r w:rsidR="00C86230">
              <w:rPr>
                <w:rFonts w:asciiTheme="majorHAnsi" w:hAnsiTheme="majorHAnsi" w:cs="Arial"/>
                <w:b w:val="0"/>
                <w:szCs w:val="24"/>
              </w:rPr>
              <w:t>e</w:t>
            </w:r>
            <w:proofErr w:type="spellEnd"/>
            <w:proofErr w:type="gram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regulatorne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manjkavosti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otežavale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dosljednu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primjenu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odredbi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ograničavale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prava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korisnika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platnih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usluga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 xml:space="preserve">. </w:t>
            </w:r>
            <w:proofErr w:type="spellStart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Konkretno</w:t>
            </w:r>
            <w:proofErr w:type="spellEnd"/>
            <w:r w:rsidR="0035343D" w:rsidRPr="0035343D">
              <w:rPr>
                <w:rFonts w:asciiTheme="majorHAnsi" w:hAnsiTheme="majorHAnsi" w:cs="Arial"/>
                <w:b w:val="0"/>
                <w:szCs w:val="24"/>
              </w:rPr>
              <w:t>:</w:t>
            </w:r>
          </w:p>
          <w:p w14:paraId="6A6D67CC" w14:textId="414CE525" w:rsidR="0035343D" w:rsidRPr="006676CB" w:rsidRDefault="0035343D" w:rsidP="006676C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ajorHAnsi" w:hAnsiTheme="majorHAnsi" w:cs="Arial"/>
                <w:b w:val="0"/>
                <w:szCs w:val="24"/>
              </w:rPr>
            </w:pP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Ograničena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obaveza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otvaranja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računa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za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plaćanje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sa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osnovnim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uslugama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: </w:t>
            </w:r>
            <w:proofErr w:type="spellStart"/>
            <w:r w:rsidR="009B0C50">
              <w:rPr>
                <w:rFonts w:asciiTheme="majorHAnsi" w:hAnsiTheme="majorHAnsi" w:cs="Arial"/>
                <w:b w:val="0"/>
                <w:szCs w:val="24"/>
              </w:rPr>
              <w:t>Postojećim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>
              <w:rPr>
                <w:rFonts w:asciiTheme="majorHAnsi" w:hAnsiTheme="majorHAnsi" w:cs="Arial"/>
                <w:b w:val="0"/>
                <w:szCs w:val="24"/>
              </w:rPr>
              <w:t>Zakonom</w:t>
            </w:r>
            <w:proofErr w:type="spellEnd"/>
            <w:r w:rsidR="009B0C5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određene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>
              <w:rPr>
                <w:rFonts w:asciiTheme="majorHAnsi" w:hAnsiTheme="majorHAnsi" w:cs="Arial"/>
                <w:b w:val="0"/>
                <w:szCs w:val="24"/>
              </w:rPr>
              <w:t>kreditne</w:t>
            </w:r>
            <w:proofErr w:type="spellEnd"/>
            <w:r w:rsidR="009B0C5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>
              <w:rPr>
                <w:rFonts w:asciiTheme="majorHAnsi" w:hAnsiTheme="majorHAnsi" w:cs="Arial"/>
                <w:b w:val="0"/>
                <w:szCs w:val="24"/>
              </w:rPr>
              <w:t>institucije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bile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izuzete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od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obaveze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otvaranja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vođenja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računa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="000B6C6E">
              <w:rPr>
                <w:rFonts w:asciiTheme="majorHAnsi" w:hAnsiTheme="majorHAnsi" w:cs="Arial"/>
                <w:b w:val="0"/>
                <w:szCs w:val="24"/>
              </w:rPr>
              <w:t xml:space="preserve">. </w:t>
            </w:r>
            <w:proofErr w:type="spellStart"/>
            <w:r w:rsidR="00CD41A3">
              <w:rPr>
                <w:rFonts w:asciiTheme="majorHAnsi" w:hAnsiTheme="majorHAnsi" w:cs="Arial"/>
                <w:b w:val="0"/>
                <w:szCs w:val="24"/>
              </w:rPr>
              <w:t>Naime</w:t>
            </w:r>
            <w:proofErr w:type="spellEnd"/>
            <w:r w:rsidR="00CD41A3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CD41A3">
              <w:rPr>
                <w:rFonts w:asciiTheme="majorHAnsi" w:hAnsiTheme="majorHAnsi" w:cs="Arial"/>
                <w:b w:val="0"/>
                <w:szCs w:val="24"/>
              </w:rPr>
              <w:t>s</w:t>
            </w:r>
            <w:r w:rsidR="009B0C50">
              <w:rPr>
                <w:rFonts w:asciiTheme="majorHAnsi" w:hAnsiTheme="majorHAnsi" w:cs="Arial"/>
                <w:b w:val="0"/>
                <w:szCs w:val="24"/>
              </w:rPr>
              <w:t>hodno</w:t>
            </w:r>
            <w:proofErr w:type="spellEnd"/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Odlu</w:t>
            </w:r>
            <w:r w:rsidR="007D0848">
              <w:rPr>
                <w:rFonts w:asciiTheme="majorHAnsi" w:hAnsiTheme="majorHAnsi" w:cs="Arial"/>
                <w:b w:val="0"/>
                <w:bCs/>
                <w:szCs w:val="24"/>
              </w:rPr>
              <w:t>ci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o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kriterijumu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utvrđivanje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kreditnih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institucija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koje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su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dužne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da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otvaraju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vode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račune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plaćanje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7D0848" w:rsidRPr="007D0848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>(„</w:t>
            </w:r>
            <w:proofErr w:type="spellStart"/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>Službeni</w:t>
            </w:r>
            <w:proofErr w:type="spellEnd"/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 xml:space="preserve"> list </w:t>
            </w:r>
            <w:proofErr w:type="gramStart"/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>CG“</w:t>
            </w:r>
            <w:proofErr w:type="gramEnd"/>
            <w:r w:rsidR="009B0C50" w:rsidRPr="009B0C50">
              <w:rPr>
                <w:rFonts w:asciiTheme="majorHAnsi" w:hAnsiTheme="majorHAnsi" w:cs="Arial"/>
                <w:b w:val="0"/>
                <w:bCs/>
                <w:szCs w:val="24"/>
              </w:rPr>
              <w:t xml:space="preserve">, br. 34/22),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propis</w:t>
            </w:r>
            <w:r w:rsidR="007D0848">
              <w:rPr>
                <w:rFonts w:asciiTheme="majorHAnsi" w:hAnsiTheme="majorHAnsi" w:cs="Arial"/>
                <w:b w:val="0"/>
                <w:bCs/>
                <w:szCs w:val="24"/>
              </w:rPr>
              <w:t>a</w:t>
            </w:r>
            <w:r w:rsidR="00CD41A3">
              <w:rPr>
                <w:rFonts w:asciiTheme="majorHAnsi" w:hAnsiTheme="majorHAnsi" w:cs="Arial"/>
                <w:b w:val="0"/>
                <w:bCs/>
                <w:szCs w:val="24"/>
              </w:rPr>
              <w:t>n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r w:rsid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je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kriterijum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utvrđivanje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kreditnih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institucija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CD41A3">
              <w:rPr>
                <w:rFonts w:asciiTheme="majorHAnsi" w:hAnsiTheme="majorHAnsi" w:cs="Arial"/>
                <w:szCs w:val="24"/>
              </w:rPr>
              <w:t>koje</w:t>
            </w:r>
            <w:proofErr w:type="spellEnd"/>
            <w:r w:rsidR="007D0848" w:rsidRPr="00CD41A3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="007D0848" w:rsidRPr="00CD41A3">
              <w:rPr>
                <w:rFonts w:asciiTheme="majorHAnsi" w:hAnsiTheme="majorHAnsi" w:cs="Arial"/>
                <w:szCs w:val="24"/>
              </w:rPr>
              <w:t>su</w:t>
            </w:r>
            <w:proofErr w:type="spellEnd"/>
            <w:r w:rsidR="007D0848" w:rsidRPr="00CD41A3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="007D0848" w:rsidRPr="00CD41A3">
              <w:rPr>
                <w:rFonts w:asciiTheme="majorHAnsi" w:hAnsiTheme="majorHAnsi" w:cs="Arial"/>
                <w:szCs w:val="24"/>
              </w:rPr>
              <w:t>dužne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da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otvaraju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i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vode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račune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za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plaćanje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7D0848" w:rsidRPr="007D0848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6676CB">
              <w:rPr>
                <w:rFonts w:asciiTheme="majorHAnsi" w:hAnsiTheme="majorHAnsi" w:cs="Arial"/>
                <w:b w:val="0"/>
                <w:bCs/>
                <w:szCs w:val="24"/>
              </w:rPr>
              <w:t xml:space="preserve"> - </w:t>
            </w:r>
            <w:r w:rsidR="00674DBA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674DBA" w:rsidRPr="00C86230">
              <w:rPr>
                <w:rFonts w:asciiTheme="majorHAnsi" w:hAnsiTheme="majorHAnsi" w:cs="Arial"/>
                <w:b w:val="0"/>
                <w:szCs w:val="24"/>
              </w:rPr>
              <w:t>kreditne</w:t>
            </w:r>
            <w:proofErr w:type="spellEnd"/>
            <w:r w:rsidR="00674DBA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institucije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prema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revidiranim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godišnjim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finansijskim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izvještajima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prethodnu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godinu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imaju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ukupnu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aktivu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veću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od 500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miliona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eura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szCs w:val="24"/>
              </w:rPr>
              <w:t>.</w:t>
            </w:r>
            <w:r w:rsidR="00EC3E53" w:rsidRPr="00674DBA">
              <w:t xml:space="preserve"> </w:t>
            </w:r>
            <w:proofErr w:type="spellStart"/>
            <w:r w:rsidR="006676CB" w:rsidRPr="006676CB">
              <w:rPr>
                <w:rFonts w:asciiTheme="majorHAnsi" w:hAnsiTheme="majorHAnsi" w:cs="Arial"/>
                <w:b w:val="0"/>
                <w:szCs w:val="24"/>
              </w:rPr>
              <w:t>Ta</w:t>
            </w:r>
            <w:r w:rsidRPr="006676CB">
              <w:rPr>
                <w:rFonts w:asciiTheme="majorHAnsi" w:hAnsiTheme="majorHAnsi" w:cs="Arial"/>
                <w:b w:val="0"/>
                <w:szCs w:val="24"/>
              </w:rPr>
              <w:t>kva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diferencijacij</w:t>
            </w:r>
            <w:r w:rsidR="00E95D2D" w:rsidRPr="006676CB">
              <w:rPr>
                <w:rFonts w:asciiTheme="majorHAnsi" w:hAnsiTheme="majorHAnsi" w:cs="Arial"/>
                <w:b w:val="0"/>
                <w:szCs w:val="24"/>
              </w:rPr>
              <w:t>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između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kreditnih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institucija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dužne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da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otvaraju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račun</w:t>
            </w:r>
            <w:r w:rsidR="006676CB" w:rsidRPr="006676CB">
              <w:rPr>
                <w:rFonts w:asciiTheme="majorHAnsi" w:hAnsiTheme="majorHAnsi" w:cs="Arial"/>
                <w:b w:val="0"/>
                <w:szCs w:val="24"/>
              </w:rPr>
              <w:t>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, i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ostalih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kreditnih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334E64" w:rsidRPr="006676CB">
              <w:rPr>
                <w:rFonts w:asciiTheme="majorHAnsi" w:hAnsiTheme="majorHAnsi" w:cs="Arial"/>
                <w:b w:val="0"/>
                <w:szCs w:val="24"/>
              </w:rPr>
              <w:t>institucija</w:t>
            </w:r>
            <w:proofErr w:type="spellEnd"/>
            <w:r w:rsidR="00334E64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imale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pravo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da se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odluče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, da li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će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nuditi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potrošačima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računa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plaćaje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="00CD41A3" w:rsidRPr="006676CB">
              <w:rPr>
                <w:rFonts w:asciiTheme="majorHAnsi" w:hAnsiTheme="majorHAnsi" w:cs="Arial"/>
                <w:b w:val="0"/>
                <w:szCs w:val="24"/>
              </w:rPr>
              <w:t>,</w:t>
            </w:r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je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dovodila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do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neujednačenog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pristupa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korisnicima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platnih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usluga</w:t>
            </w:r>
            <w:proofErr w:type="spellEnd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>računu</w:t>
            </w:r>
            <w:proofErr w:type="spellEnd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9B0C50" w:rsidRPr="006676CB"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>.</w:t>
            </w:r>
          </w:p>
          <w:p w14:paraId="0233DFA5" w14:textId="7FC69218" w:rsidR="0035343D" w:rsidRPr="00C86230" w:rsidRDefault="0035343D" w:rsidP="006676C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ajorHAnsi" w:hAnsiTheme="majorHAnsi" w:cs="Arial"/>
                <w:b w:val="0"/>
                <w:bCs/>
                <w:szCs w:val="24"/>
              </w:rPr>
            </w:pP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Nepotpuna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zaštita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2B10E0">
              <w:rPr>
                <w:rFonts w:asciiTheme="majorHAnsi" w:hAnsiTheme="majorHAnsi" w:cs="Arial"/>
                <w:bCs/>
                <w:szCs w:val="24"/>
              </w:rPr>
              <w:t>osjetljivih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2B10E0">
              <w:rPr>
                <w:rFonts w:asciiTheme="majorHAnsi" w:hAnsiTheme="majorHAnsi" w:cs="Arial"/>
                <w:bCs/>
                <w:szCs w:val="24"/>
              </w:rPr>
              <w:t>grup</w:t>
            </w:r>
            <w:r w:rsidR="00674DBA">
              <w:rPr>
                <w:rFonts w:asciiTheme="majorHAnsi" w:hAnsiTheme="majorHAnsi" w:cs="Arial"/>
                <w:bCs/>
                <w:szCs w:val="24"/>
              </w:rPr>
              <w:t>a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korisnika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: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Uočena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je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potreba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inoviranja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spiska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lica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koja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pripadaju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osjetljivoj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grupi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korisnika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platnih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usluga</w:t>
            </w:r>
            <w:proofErr w:type="spellEnd"/>
            <w:r w:rsidR="00E1582B">
              <w:rPr>
                <w:rFonts w:asciiTheme="majorHAnsi" w:hAnsiTheme="majorHAnsi" w:cs="Arial"/>
                <w:b w:val="0"/>
                <w:bCs/>
                <w:szCs w:val="24"/>
              </w:rPr>
              <w:t>,</w:t>
            </w:r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shodno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društveno-socijalnim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kretanjima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i do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sada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utvrđenim</w:t>
            </w:r>
            <w:proofErr w:type="spellEnd"/>
            <w:r w:rsid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benefitima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koje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pruža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račun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sa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osnovnim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,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kako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bi se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obezbijedila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potpunija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zaštita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grupa</w:t>
            </w:r>
            <w:proofErr w:type="spell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proofErr w:type="gramStart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potrošača</w:t>
            </w:r>
            <w:proofErr w:type="spell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 xml:space="preserve">  </w:t>
            </w:r>
            <w:proofErr w:type="spellStart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koje</w:t>
            </w:r>
            <w:proofErr w:type="spellEnd"/>
            <w:proofErr w:type="gram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 xml:space="preserve"> bi se </w:t>
            </w:r>
            <w:proofErr w:type="spellStart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mogle</w:t>
            </w:r>
            <w:proofErr w:type="spell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smatrati</w:t>
            </w:r>
            <w:proofErr w:type="spell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 xml:space="preserve"> “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osjetljiv</w:t>
            </w:r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om</w:t>
            </w:r>
            <w:proofErr w:type="spellEnd"/>
            <w:r w:rsidR="00EB1CC2">
              <w:rPr>
                <w:rFonts w:asciiTheme="majorHAnsi" w:hAnsiTheme="majorHAnsi" w:cs="Arial"/>
                <w:b w:val="0"/>
                <w:bCs/>
                <w:szCs w:val="24"/>
              </w:rPr>
              <w:t>”</w:t>
            </w:r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 i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unaprijedio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pristup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platnim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uslugama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6676CB">
              <w:rPr>
                <w:rFonts w:asciiTheme="majorHAnsi" w:hAnsiTheme="majorHAnsi" w:cs="Arial"/>
                <w:b w:val="0"/>
                <w:bCs/>
                <w:szCs w:val="24"/>
              </w:rPr>
              <w:t>tim</w:t>
            </w:r>
            <w:proofErr w:type="spellEnd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  <w:proofErr w:type="spellStart"/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>grupama</w:t>
            </w:r>
            <w:proofErr w:type="spellEnd"/>
            <w:r w:rsidR="006676CB">
              <w:rPr>
                <w:rFonts w:asciiTheme="majorHAnsi" w:hAnsiTheme="majorHAnsi" w:cs="Arial"/>
                <w:b w:val="0"/>
                <w:bCs/>
                <w:szCs w:val="24"/>
              </w:rPr>
              <w:t>.</w:t>
            </w:r>
            <w:r w:rsidR="00EC3E53" w:rsidRPr="00C86230">
              <w:rPr>
                <w:rFonts w:asciiTheme="majorHAnsi" w:hAnsiTheme="majorHAnsi" w:cs="Arial"/>
                <w:b w:val="0"/>
                <w:bCs/>
                <w:szCs w:val="24"/>
              </w:rPr>
              <w:t xml:space="preserve"> </w:t>
            </w:r>
          </w:p>
          <w:p w14:paraId="1B176AF3" w14:textId="5105CF00" w:rsidR="0035343D" w:rsidRPr="006676CB" w:rsidRDefault="0035343D" w:rsidP="006676C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ajorHAnsi" w:hAnsiTheme="majorHAnsi" w:cs="Arial"/>
                <w:b w:val="0"/>
                <w:szCs w:val="24"/>
              </w:rPr>
            </w:pP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Nejasnoće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u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načinu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E95D2D">
              <w:rPr>
                <w:rFonts w:asciiTheme="majorHAnsi" w:hAnsiTheme="majorHAnsi" w:cs="Arial"/>
                <w:bCs/>
                <w:szCs w:val="24"/>
              </w:rPr>
              <w:t>sačinjavanja</w:t>
            </w:r>
            <w:proofErr w:type="spellEnd"/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="00645482">
              <w:rPr>
                <w:rFonts w:asciiTheme="majorHAnsi" w:hAnsiTheme="majorHAnsi" w:cs="Arial"/>
                <w:bCs/>
                <w:szCs w:val="24"/>
              </w:rPr>
              <w:t>i</w:t>
            </w:r>
            <w:r w:rsidR="00E95D2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dostavljanju</w:t>
            </w:r>
            <w:proofErr w:type="spellEnd"/>
            <w:r w:rsidRPr="003534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Cs/>
                <w:szCs w:val="24"/>
              </w:rPr>
              <w:t>izvještaja</w:t>
            </w:r>
            <w:proofErr w:type="spellEnd"/>
            <w:r w:rsidR="00D1471D">
              <w:rPr>
                <w:rFonts w:asciiTheme="majorHAnsi" w:hAnsiTheme="majorHAnsi" w:cs="Arial"/>
                <w:bCs/>
                <w:szCs w:val="24"/>
              </w:rPr>
              <w:t xml:space="preserve"> o </w:t>
            </w:r>
            <w:proofErr w:type="spellStart"/>
            <w:r w:rsidR="00D1471D">
              <w:rPr>
                <w:rFonts w:asciiTheme="majorHAnsi" w:hAnsiTheme="majorHAnsi" w:cs="Arial"/>
                <w:bCs/>
                <w:szCs w:val="24"/>
              </w:rPr>
              <w:t>naknadama</w:t>
            </w:r>
            <w:proofErr w:type="spellEnd"/>
            <w:r w:rsidR="004D37A6">
              <w:rPr>
                <w:rFonts w:asciiTheme="majorHAnsi" w:hAnsiTheme="majorHAnsi" w:cs="Arial"/>
                <w:bCs/>
                <w:szCs w:val="24"/>
              </w:rPr>
              <w:t xml:space="preserve"> i </w:t>
            </w:r>
            <w:proofErr w:type="spellStart"/>
            <w:r w:rsidR="004D37A6">
              <w:rPr>
                <w:rFonts w:asciiTheme="majorHAnsi" w:hAnsiTheme="majorHAnsi" w:cs="Arial"/>
                <w:bCs/>
                <w:szCs w:val="24"/>
              </w:rPr>
              <w:t>inf</w:t>
            </w:r>
            <w:r w:rsidR="00702075">
              <w:rPr>
                <w:rFonts w:asciiTheme="majorHAnsi" w:hAnsiTheme="majorHAnsi" w:cs="Arial"/>
                <w:bCs/>
                <w:szCs w:val="24"/>
              </w:rPr>
              <w:t>ormativnog</w:t>
            </w:r>
            <w:proofErr w:type="spellEnd"/>
            <w:r w:rsidR="004D37A6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proofErr w:type="spellStart"/>
            <w:r w:rsidR="004D37A6">
              <w:rPr>
                <w:rFonts w:asciiTheme="majorHAnsi" w:hAnsiTheme="majorHAnsi" w:cs="Arial"/>
                <w:bCs/>
                <w:szCs w:val="24"/>
              </w:rPr>
              <w:t>dokume</w:t>
            </w:r>
            <w:r w:rsidR="00E95D2D">
              <w:rPr>
                <w:rFonts w:asciiTheme="majorHAnsi" w:hAnsiTheme="majorHAnsi" w:cs="Arial"/>
                <w:bCs/>
                <w:szCs w:val="24"/>
              </w:rPr>
              <w:t>n</w:t>
            </w:r>
            <w:r w:rsidR="004D37A6">
              <w:rPr>
                <w:rFonts w:asciiTheme="majorHAnsi" w:hAnsiTheme="majorHAnsi" w:cs="Arial"/>
                <w:bCs/>
                <w:szCs w:val="24"/>
              </w:rPr>
              <w:t>ta</w:t>
            </w:r>
            <w:proofErr w:type="spellEnd"/>
            <w:r w:rsidR="00D1471D">
              <w:rPr>
                <w:rFonts w:asciiTheme="majorHAnsi" w:hAnsiTheme="majorHAnsi" w:cs="Arial"/>
                <w:bCs/>
                <w:szCs w:val="24"/>
              </w:rPr>
              <w:t xml:space="preserve">: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Postojale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nepreciznosti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definisanju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rokova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načina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dostavljanja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izvještaja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o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naknadama</w:t>
            </w:r>
            <w:proofErr w:type="spellEnd"/>
            <w:r w:rsidR="004D37A6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4D37A6">
              <w:rPr>
                <w:rFonts w:asciiTheme="majorHAnsi" w:hAnsiTheme="majorHAnsi" w:cs="Arial"/>
                <w:b w:val="0"/>
                <w:szCs w:val="24"/>
              </w:rPr>
              <w:t>informativ</w:t>
            </w:r>
            <w:r w:rsidR="00E95D2D">
              <w:rPr>
                <w:rFonts w:asciiTheme="majorHAnsi" w:hAnsiTheme="majorHAnsi" w:cs="Arial"/>
                <w:b w:val="0"/>
                <w:szCs w:val="24"/>
              </w:rPr>
              <w:t>n</w:t>
            </w:r>
            <w:r w:rsidR="004D37A6">
              <w:rPr>
                <w:rFonts w:asciiTheme="majorHAnsi" w:hAnsiTheme="majorHAnsi" w:cs="Arial"/>
                <w:b w:val="0"/>
                <w:szCs w:val="24"/>
              </w:rPr>
              <w:t>og</w:t>
            </w:r>
            <w:proofErr w:type="spellEnd"/>
            <w:r w:rsidR="004D37A6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4D37A6">
              <w:rPr>
                <w:rFonts w:asciiTheme="majorHAnsi" w:hAnsiTheme="majorHAnsi" w:cs="Arial"/>
                <w:b w:val="0"/>
                <w:szCs w:val="24"/>
              </w:rPr>
              <w:t>dokumenta</w:t>
            </w:r>
            <w:proofErr w:type="spellEnd"/>
            <w:r w:rsidR="004D37A6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te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r w:rsidR="009A79EE">
              <w:rPr>
                <w:rFonts w:asciiTheme="majorHAnsi" w:hAnsiTheme="majorHAnsi" w:cs="Arial"/>
                <w:b w:val="0"/>
                <w:szCs w:val="24"/>
              </w:rPr>
              <w:t xml:space="preserve">i </w:t>
            </w:r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u </w:t>
            </w:r>
            <w:proofErr w:type="spellStart"/>
            <w:r w:rsidRPr="0035343D">
              <w:rPr>
                <w:rFonts w:asciiTheme="majorHAnsi" w:hAnsiTheme="majorHAnsi" w:cs="Arial"/>
                <w:b w:val="0"/>
                <w:szCs w:val="24"/>
              </w:rPr>
              <w:t>način</w:t>
            </w:r>
            <w:r w:rsidR="009A79EE">
              <w:rPr>
                <w:rFonts w:asciiTheme="majorHAnsi" w:hAnsiTheme="majorHAnsi" w:cs="Arial"/>
                <w:b w:val="0"/>
                <w:szCs w:val="24"/>
              </w:rPr>
              <w:t>u</w:t>
            </w:r>
            <w:proofErr w:type="spellEnd"/>
            <w:r w:rsidRPr="0035343D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utvrđivanja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naknada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 w:rsidR="009A79EE" w:rsidRPr="006676CB">
              <w:rPr>
                <w:rFonts w:asciiTheme="majorHAnsi" w:hAnsiTheme="majorHAnsi" w:cs="Arial"/>
                <w:b w:val="0"/>
                <w:szCs w:val="24"/>
              </w:rPr>
              <w:t>potrošače</w:t>
            </w:r>
            <w:proofErr w:type="spellEnd"/>
            <w:r w:rsidR="009A79EE" w:rsidRPr="006676CB">
              <w:rPr>
                <w:rFonts w:asciiTheme="majorHAnsi" w:hAnsiTheme="majorHAnsi" w:cs="Arial"/>
                <w:b w:val="0"/>
                <w:szCs w:val="24"/>
              </w:rPr>
              <w:t>.</w:t>
            </w:r>
          </w:p>
          <w:p w14:paraId="5F02347E" w14:textId="42B0E09C" w:rsidR="006676CB" w:rsidRDefault="006676CB" w:rsidP="00875C98">
            <w:pPr>
              <w:spacing w:before="100" w:beforeAutospacing="1" w:after="100" w:afterAutospacing="1"/>
              <w:rPr>
                <w:rFonts w:asciiTheme="majorHAnsi" w:hAnsiTheme="majorHAnsi" w:cs="Arial"/>
                <w:bCs/>
                <w:szCs w:val="24"/>
              </w:rPr>
            </w:pPr>
            <w:r>
              <w:rPr>
                <w:rFonts w:asciiTheme="majorHAnsi" w:hAnsiTheme="majorHAnsi" w:cs="Arial"/>
                <w:b w:val="0"/>
                <w:szCs w:val="24"/>
              </w:rPr>
              <w:t xml:space="preserve">3.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Posljedice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navedenog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uglavnom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dijelu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umanjenog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očekivanog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efekta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zakona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vezano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mogućnost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pristupa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računima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plaćanje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nedovoljan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obuhvat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B1CC2">
              <w:rPr>
                <w:rFonts w:asciiTheme="majorHAnsi" w:hAnsiTheme="majorHAnsi" w:cs="Arial"/>
                <w:b w:val="0"/>
                <w:szCs w:val="24"/>
              </w:rPr>
              <w:t>značenja</w:t>
            </w:r>
            <w:proofErr w:type="spellEnd"/>
            <w:r w:rsidR="00EB1CC2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EB1CC2">
              <w:rPr>
                <w:rFonts w:asciiTheme="majorHAnsi" w:hAnsiTheme="majorHAnsi" w:cs="Arial"/>
                <w:b w:val="0"/>
                <w:szCs w:val="24"/>
              </w:rPr>
              <w:t>termina</w:t>
            </w:r>
            <w:proofErr w:type="spellEnd"/>
            <w:r w:rsidR="00EB1CC2">
              <w:rPr>
                <w:rFonts w:asciiTheme="majorHAnsi" w:hAnsiTheme="majorHAnsi" w:cs="Arial"/>
                <w:b w:val="0"/>
                <w:szCs w:val="24"/>
              </w:rPr>
              <w:t xml:space="preserve"> “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osjetljiv</w:t>
            </w:r>
            <w:r w:rsidR="00EB1CC2">
              <w:rPr>
                <w:rFonts w:asciiTheme="majorHAnsi" w:hAnsiTheme="majorHAnsi" w:cs="Arial"/>
                <w:b w:val="0"/>
                <w:szCs w:val="24"/>
              </w:rPr>
              <w:t>e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kategorij</w:t>
            </w:r>
            <w:r w:rsidR="00EB1CC2">
              <w:rPr>
                <w:rFonts w:asciiTheme="majorHAnsi" w:hAnsiTheme="majorHAnsi" w:cs="Arial"/>
                <w:b w:val="0"/>
                <w:szCs w:val="24"/>
              </w:rPr>
              <w:t>e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potrošača</w:t>
            </w:r>
            <w:proofErr w:type="spellEnd"/>
            <w:r w:rsidR="00EB1CC2">
              <w:rPr>
                <w:rFonts w:asciiTheme="majorHAnsi" w:hAnsiTheme="majorHAnsi" w:cs="Arial"/>
                <w:b w:val="0"/>
                <w:szCs w:val="24"/>
              </w:rPr>
              <w:t>”</w:t>
            </w:r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kao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i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nejasnoće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se </w:t>
            </w:r>
            <w:proofErr w:type="spellStart"/>
            <w:r w:rsidR="00875C98">
              <w:rPr>
                <w:rFonts w:asciiTheme="majorHAnsi" w:hAnsiTheme="majorHAnsi" w:cs="Arial"/>
                <w:b w:val="0"/>
                <w:szCs w:val="24"/>
              </w:rPr>
              <w:t>javljaju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Cs w:val="24"/>
              </w:rPr>
              <w:t xml:space="preserve">u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postupku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kont</w:t>
            </w:r>
            <w:r w:rsidR="00875C98">
              <w:rPr>
                <w:rFonts w:asciiTheme="majorHAnsi" w:hAnsiTheme="majorHAnsi" w:cs="Arial"/>
                <w:b w:val="0"/>
                <w:szCs w:val="24"/>
              </w:rPr>
              <w:t>r</w:t>
            </w:r>
            <w:r>
              <w:rPr>
                <w:rFonts w:asciiTheme="majorHAnsi" w:hAnsiTheme="majorHAnsi" w:cs="Arial"/>
                <w:b w:val="0"/>
                <w:szCs w:val="24"/>
              </w:rPr>
              <w:t>ole</w:t>
            </w:r>
            <w:proofErr w:type="spellEnd"/>
            <w:r w:rsidR="00875C98">
              <w:rPr>
                <w:rFonts w:asciiTheme="majorHAnsi" w:hAnsiTheme="majorHAnsi" w:cs="Arial"/>
                <w:b w:val="0"/>
                <w:szCs w:val="24"/>
              </w:rPr>
              <w:t>.</w:t>
            </w:r>
          </w:p>
          <w:p w14:paraId="5AD7EBF2" w14:textId="16A5A42E" w:rsidR="00875C98" w:rsidRDefault="00875C98" w:rsidP="00875C98">
            <w:pPr>
              <w:spacing w:before="100" w:beforeAutospacing="1" w:after="100" w:afterAutospacing="1"/>
              <w:rPr>
                <w:rFonts w:asciiTheme="majorHAnsi" w:hAnsiTheme="majorHAnsi" w:cs="Arial"/>
                <w:bCs/>
                <w:szCs w:val="24"/>
              </w:rPr>
            </w:pPr>
            <w:r>
              <w:rPr>
                <w:rFonts w:asciiTheme="majorHAnsi" w:hAnsiTheme="majorHAnsi" w:cs="Arial"/>
                <w:b w:val="0"/>
                <w:szCs w:val="24"/>
              </w:rPr>
              <w:t xml:space="preserve">4. 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Subjekti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koji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najvećoj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mjeri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snose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posljedice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uočenih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problema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fizička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lica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potrošači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, za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nedovoljno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transparentna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pravila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u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vezi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pristupom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ralčunima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mogu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predstavljati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odbijajući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efekat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čime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se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umanjuje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ukupan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rezultat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primjene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propisa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>.</w:t>
            </w:r>
          </w:p>
          <w:p w14:paraId="00A85C20" w14:textId="2A9EDA7F" w:rsidR="00875C98" w:rsidRPr="006676CB" w:rsidRDefault="00875C98" w:rsidP="00875C98">
            <w:pPr>
              <w:spacing w:before="100" w:beforeAutospacing="1" w:after="100" w:afterAutospacing="1"/>
              <w:rPr>
                <w:rFonts w:asciiTheme="majorHAnsi" w:hAnsiTheme="majorHAnsi" w:cs="Arial"/>
                <w:b w:val="0"/>
                <w:szCs w:val="24"/>
              </w:rPr>
            </w:pPr>
            <w:r>
              <w:rPr>
                <w:rFonts w:asciiTheme="majorHAnsi" w:hAnsiTheme="majorHAnsi" w:cs="Arial"/>
                <w:b w:val="0"/>
                <w:szCs w:val="24"/>
              </w:rPr>
              <w:t>5. B</w:t>
            </w:r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ez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promjene</w:t>
            </w:r>
            <w:proofErr w:type="spellEnd"/>
            <w:r w:rsidRPr="006676CB"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 w:rsidRPr="006676CB">
              <w:rPr>
                <w:rFonts w:asciiTheme="majorHAnsi" w:hAnsiTheme="majorHAnsi" w:cs="Arial"/>
                <w:b w:val="0"/>
                <w:szCs w:val="24"/>
              </w:rPr>
              <w:t>propisa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grupe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građana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za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koje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se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očekivalo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da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će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iskoristiti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benefite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računa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sa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osnovnim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uslugama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ostaju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bez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tih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benefita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, pa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propis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ne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daje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željene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 w:val="0"/>
                <w:szCs w:val="24"/>
              </w:rPr>
              <w:t>rezultate</w:t>
            </w:r>
            <w:proofErr w:type="spellEnd"/>
            <w:r>
              <w:rPr>
                <w:rFonts w:asciiTheme="majorHAnsi" w:hAnsiTheme="majorHAnsi" w:cs="Arial"/>
                <w:b w:val="0"/>
                <w:szCs w:val="24"/>
              </w:rPr>
              <w:t xml:space="preserve">. </w:t>
            </w:r>
          </w:p>
          <w:p w14:paraId="3F9CB04F" w14:textId="3D6793A0" w:rsidR="004D6F3D" w:rsidRPr="00875C98" w:rsidRDefault="004D6F3D" w:rsidP="00875C98">
            <w:pPr>
              <w:spacing w:before="100" w:beforeAutospacing="1" w:after="100" w:afterAutospacing="1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Ako bi 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>se zadržao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"status quo", 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>sljedeći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problem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bi nastavil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da se 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razvija</w:t>
            </w:r>
            <w:r w:rsidR="00875C98">
              <w:rPr>
                <w:rFonts w:ascii="Cambria" w:hAnsi="Cambria" w:cs="Arial"/>
                <w:b w:val="0"/>
                <w:bCs/>
                <w:noProof/>
                <w:szCs w:val="24"/>
              </w:rPr>
              <w:t>ju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:</w:t>
            </w:r>
          </w:p>
          <w:p w14:paraId="0A022468" w14:textId="486D5B9C" w:rsidR="004D6F3D" w:rsidRPr="00875C98" w:rsidRDefault="004D6F3D" w:rsidP="00875C98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Cambria" w:hAnsi="Cambria" w:cs="Arial"/>
                <w:b w:val="0"/>
                <w:noProof/>
                <w:szCs w:val="24"/>
              </w:rPr>
            </w:pPr>
            <w:r w:rsidRPr="00875C98">
              <w:rPr>
                <w:rFonts w:ascii="Cambria" w:hAnsi="Cambria" w:cs="Arial"/>
                <w:bCs/>
                <w:noProof/>
                <w:szCs w:val="24"/>
              </w:rPr>
              <w:lastRenderedPageBreak/>
              <w:t>Nepotpuna zaštita korisnika, naročito osjetljivih grupa: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Bez izmjena</w:t>
            </w:r>
            <w:r w:rsidR="00B0666C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postojećeg Zakona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>, i dalje bi bile prisutne slabosti u zaštiti socijalno osjetljivih grupa korisnika</w:t>
            </w:r>
            <w:r w:rsidR="00633C69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platnih usluga</w:t>
            </w:r>
            <w:r w:rsidR="00B0666C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, koji bi ostali 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>isključeni</w:t>
            </w:r>
            <w:r w:rsidR="009D39A8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ili </w:t>
            </w:r>
            <w:r w:rsidR="00B0666C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bi im bio 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>ograničen pristup osnovnim bankarskim uslugama, što bi ih dodatno udaljilo od finansijskog sistema i smanjilo njihovu inkluziju.</w:t>
            </w:r>
          </w:p>
          <w:p w14:paraId="1EC4D6B0" w14:textId="5FC1C119" w:rsidR="0064133F" w:rsidRPr="00875C98" w:rsidRDefault="004D6F3D" w:rsidP="00875C98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ambria" w:hAnsi="Cambria" w:cs="Arial"/>
                <w:b w:val="0"/>
                <w:noProof/>
                <w:szCs w:val="24"/>
              </w:rPr>
            </w:pPr>
            <w:r w:rsidRPr="00875C98">
              <w:rPr>
                <w:rFonts w:ascii="Cambria" w:hAnsi="Cambria" w:cs="Arial"/>
                <w:bCs/>
                <w:noProof/>
                <w:szCs w:val="24"/>
              </w:rPr>
              <w:t xml:space="preserve">Neujednačen pristup </w:t>
            </w:r>
            <w:r w:rsidR="00875C98" w:rsidRPr="00875C98">
              <w:rPr>
                <w:rFonts w:ascii="Cambria" w:hAnsi="Cambria" w:cs="Arial"/>
                <w:bCs/>
                <w:noProof/>
                <w:szCs w:val="24"/>
              </w:rPr>
              <w:t xml:space="preserve">računu sa </w:t>
            </w:r>
            <w:r w:rsidRPr="00875C98">
              <w:rPr>
                <w:rFonts w:ascii="Cambria" w:hAnsi="Cambria" w:cs="Arial"/>
                <w:bCs/>
                <w:noProof/>
                <w:szCs w:val="24"/>
              </w:rPr>
              <w:t>osnovnim uslugama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: Zbog toga što su određene </w:t>
            </w:r>
            <w:r w:rsidR="006A4C77" w:rsidRPr="00875C98">
              <w:rPr>
                <w:rFonts w:ascii="Cambria" w:hAnsi="Cambria" w:cs="Arial"/>
                <w:b w:val="0"/>
                <w:noProof/>
                <w:szCs w:val="24"/>
              </w:rPr>
              <w:t>banke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bile izuzete od obaveze otvaranja računa sa osnovnim uslugama, korisnici</w:t>
            </w:r>
            <w:r w:rsidR="00633C69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platnih usluga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bi i dalje bili u nejednakom položaju, zavisno od toga u kojoj banci imaju račun. </w:t>
            </w:r>
            <w:r w:rsidR="00EB1CC7" w:rsidRPr="00875C98">
              <w:rPr>
                <w:rFonts w:ascii="Cambria" w:hAnsi="Cambria" w:cs="Arial"/>
                <w:b w:val="0"/>
                <w:noProof/>
                <w:szCs w:val="24"/>
              </w:rPr>
              <w:t>Kreditne institucije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 koje </w:t>
            </w:r>
            <w:r w:rsidR="009726E8" w:rsidRPr="00875C98">
              <w:rPr>
                <w:rFonts w:ascii="Cambria" w:hAnsi="Cambria" w:cs="Arial"/>
                <w:b w:val="0"/>
                <w:noProof/>
                <w:szCs w:val="24"/>
              </w:rPr>
              <w:t xml:space="preserve">imaju ukupnu aktivu manju od 500 miliona eura, </w:t>
            </w:r>
            <w:r w:rsidRPr="00875C98">
              <w:rPr>
                <w:rFonts w:ascii="Cambria" w:hAnsi="Cambria" w:cs="Arial"/>
                <w:b w:val="0"/>
                <w:noProof/>
                <w:szCs w:val="24"/>
              </w:rPr>
              <w:t>ne bi bile obavezane da nude ove usluge, pa bi se nastavio problem nejednakog pristupa, a korisnici koji nemaju druge opcije mogli bi biti uskraćeni za osnovne bankarske usluge.</w:t>
            </w:r>
          </w:p>
        </w:tc>
      </w:tr>
      <w:tr w:rsidR="008322D4" w:rsidRPr="00E54D7F" w14:paraId="70207BA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A097CE9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0909E17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ciljevi se postižu predloženim propisom?</w:t>
            </w:r>
          </w:p>
          <w:p w14:paraId="5B1C84D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avesti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usklađenost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ovih ciljeva sa postojećim strategijama ili programima Vlade, ako je primjenljivo.</w:t>
            </w:r>
          </w:p>
        </w:tc>
      </w:tr>
      <w:tr w:rsidR="008322D4" w:rsidRPr="00E54D7F" w14:paraId="3572683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F250CF9" w14:textId="4AC0C575" w:rsidR="00AA5382" w:rsidRPr="00AA5382" w:rsidRDefault="00AA5382" w:rsidP="00901BA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>Uvođenjem izmjena i dopuna Zakona, posebno ukidanjem diferencirane obaveze kreditnih institucija</w:t>
            </w:r>
            <w:r w:rsidR="009546CD">
              <w:rPr>
                <w:rFonts w:ascii="Cambria" w:hAnsi="Cambria" w:cs="Arial"/>
                <w:b w:val="0"/>
                <w:noProof/>
                <w:szCs w:val="24"/>
              </w:rPr>
              <w:t xml:space="preserve"> (banaka)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proširenjem kategorije</w:t>
            </w:r>
            <w:r w:rsidR="00E95D2D"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“</w:t>
            </w:r>
            <w:r w:rsidR="002B10E0">
              <w:rPr>
                <w:rFonts w:ascii="Cambria" w:hAnsi="Cambria" w:cs="Arial"/>
                <w:b w:val="0"/>
                <w:noProof/>
                <w:szCs w:val="24"/>
              </w:rPr>
              <w:t>osjetljiv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e</w:t>
            </w:r>
            <w:r w:rsidR="00901BA8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2B10E0">
              <w:rPr>
                <w:rFonts w:ascii="Cambria" w:hAnsi="Cambria" w:cs="Arial"/>
                <w:b w:val="0"/>
                <w:noProof/>
                <w:szCs w:val="24"/>
              </w:rPr>
              <w:t>grup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e”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 korisnika i preciziranjem pravila o </w:t>
            </w:r>
            <w:r w:rsidR="004B7781">
              <w:rPr>
                <w:rFonts w:ascii="Cambria" w:hAnsi="Cambria" w:cs="Arial"/>
                <w:b w:val="0"/>
                <w:noProof/>
                <w:szCs w:val="24"/>
              </w:rPr>
              <w:t>inform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4B7781">
              <w:rPr>
                <w:rFonts w:ascii="Cambria" w:hAnsi="Cambria" w:cs="Arial"/>
                <w:b w:val="0"/>
                <w:noProof/>
                <w:szCs w:val="24"/>
              </w:rPr>
              <w:t>tiv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="004B7781">
              <w:rPr>
                <w:rFonts w:ascii="Cambria" w:hAnsi="Cambria" w:cs="Arial"/>
                <w:b w:val="0"/>
                <w:noProof/>
                <w:szCs w:val="24"/>
              </w:rPr>
              <w:t>om dokumentu</w:t>
            </w:r>
            <w:r w:rsidR="00875C98"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875C98">
              <w:rPr>
                <w:rFonts w:ascii="Cambria" w:hAnsi="Cambria" w:cs="Arial"/>
                <w:b w:val="0"/>
                <w:noProof/>
                <w:szCs w:val="24"/>
              </w:rPr>
              <w:t xml:space="preserve">i </w:t>
            </w:r>
            <w:r w:rsidR="00875C98" w:rsidRPr="00AA5382">
              <w:rPr>
                <w:rFonts w:ascii="Cambria" w:hAnsi="Cambria" w:cs="Arial"/>
                <w:b w:val="0"/>
                <w:noProof/>
                <w:szCs w:val="24"/>
              </w:rPr>
              <w:t>izvještajima</w:t>
            </w:r>
            <w:r w:rsidR="00875C98">
              <w:rPr>
                <w:rFonts w:ascii="Cambria" w:hAnsi="Cambria" w:cs="Arial"/>
                <w:b w:val="0"/>
                <w:noProof/>
                <w:szCs w:val="24"/>
              </w:rPr>
              <w:t xml:space="preserve"> o </w:t>
            </w:r>
            <w:r w:rsidR="00875C98" w:rsidRPr="00AA5382">
              <w:rPr>
                <w:rFonts w:ascii="Cambria" w:hAnsi="Cambria" w:cs="Arial"/>
                <w:b w:val="0"/>
                <w:noProof/>
                <w:szCs w:val="24"/>
              </w:rPr>
              <w:t>naknadama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>, otklanjaju se identifikovane regulatorne slabosti, što omogućava:</w:t>
            </w:r>
          </w:p>
          <w:p w14:paraId="3CEF168A" w14:textId="4E548136" w:rsidR="00EB1CC7" w:rsidRPr="00875C98" w:rsidRDefault="00AA5382" w:rsidP="00EB1CC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jednak tretman svih pružalaca platnih usluga,</w:t>
            </w:r>
            <w:r w:rsidR="009546CD"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</w:p>
          <w:p w14:paraId="1AD44498" w14:textId="5862D205" w:rsidR="00AA5382" w:rsidRPr="00875C98" w:rsidRDefault="00AA5382" w:rsidP="00455A8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potpun</w:t>
            </w:r>
            <w:r w:rsidR="00E95D2D"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iju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zaštitu prava korisnika, </w:t>
            </w:r>
            <w:r w:rsidR="00E95D2D"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sa naročitim akcentom na </w:t>
            </w:r>
            <w:r w:rsidR="007C33EC"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osjetljive grupe korisnika</w:t>
            </w: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,</w:t>
            </w:r>
          </w:p>
          <w:p w14:paraId="5AF99FC0" w14:textId="7CA027EB" w:rsidR="00542040" w:rsidRPr="00AA5382" w:rsidRDefault="00AA5382" w:rsidP="00455A8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Arial"/>
                <w:noProof/>
                <w:szCs w:val="24"/>
              </w:rPr>
            </w:pPr>
            <w:r w:rsidRPr="00875C98">
              <w:rPr>
                <w:rFonts w:ascii="Cambria" w:hAnsi="Cambria" w:cs="Arial"/>
                <w:b w:val="0"/>
                <w:bCs/>
                <w:noProof/>
                <w:szCs w:val="24"/>
              </w:rPr>
              <w:t>veću transparentnost i predvidivost u poslovanju kreditnih institucija, u skladu sa PAD direktivom (2014/92/EU).</w:t>
            </w:r>
          </w:p>
        </w:tc>
      </w:tr>
      <w:tr w:rsidR="008322D4" w:rsidRPr="00E54D7F" w14:paraId="7FE0B12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114A2D5" w14:textId="77777777" w:rsidR="008322D4" w:rsidRPr="00E54D7F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3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0FB7763C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)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C3F9FC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E54D7F" w14:paraId="2DE79E8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E52B947" w14:textId="775E32E9" w:rsidR="00AA5382" w:rsidRDefault="00AA5382" w:rsidP="00875C9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/>
                <w:noProof/>
                <w:szCs w:val="24"/>
              </w:rPr>
            </w:pP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Zadržavanje „status quo“ nije razmatrano kao opcija, jer su analize pokazale da postoje određena odstupanja </w:t>
            </w:r>
            <w:r w:rsidR="002B10E0">
              <w:rPr>
                <w:rFonts w:ascii="Cambria" w:hAnsi="Cambria" w:cs="Arial"/>
                <w:b w:val="0"/>
                <w:noProof/>
                <w:szCs w:val="24"/>
              </w:rPr>
              <w:t xml:space="preserve">od 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postojećeg </w:t>
            </w:r>
            <w:r w:rsidR="002B10E0" w:rsidRPr="00FE151D">
              <w:rPr>
                <w:rFonts w:ascii="Cambria" w:hAnsi="Cambria" w:cs="Arial"/>
                <w:b w:val="0"/>
                <w:bCs/>
                <w:noProof/>
                <w:szCs w:val="24"/>
              </w:rPr>
              <w:t>Zakon</w:t>
            </w:r>
            <w:r w:rsidR="00E95D2D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="002B10E0" w:rsidRPr="00FE151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 uporedivosti naknada povezanih sa računom za plaćanje potrošača, prebacivanju računa za plaćanje potrošača i računu za plaćanje sa osnovnim uslugama</w:t>
            </w:r>
            <w:r w:rsidR="002B10E0" w:rsidRPr="002B10E0">
              <w:rPr>
                <w:rFonts w:ascii="Cambria" w:hAnsi="Cambria" w:cs="Arial"/>
                <w:bCs/>
                <w:noProof/>
                <w:szCs w:val="24"/>
              </w:rPr>
              <w:t xml:space="preserve"> 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od zahtjeva PAD direktive (2014/92/EU). </w:t>
            </w:r>
          </w:p>
          <w:p w14:paraId="3966977B" w14:textId="49972F46" w:rsidR="00875C98" w:rsidRPr="00AA5382" w:rsidRDefault="00875C98" w:rsidP="00875C9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Neregulatorna opcija nije bila moguća, iz razloga š</w:t>
            </w:r>
            <w:r w:rsidR="00AF43FA">
              <w:rPr>
                <w:rFonts w:ascii="Cambria" w:hAnsi="Cambria" w:cs="Arial"/>
                <w:b w:val="0"/>
                <w:noProof/>
                <w:szCs w:val="24"/>
              </w:rPr>
              <w:t>t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o se predmetna materija uređuje isključivo zakonom.</w:t>
            </w:r>
          </w:p>
          <w:p w14:paraId="7CA5382C" w14:textId="77777777" w:rsidR="007C33EC" w:rsidRDefault="00AA5382" w:rsidP="009A79EE">
            <w:pPr>
              <w:spacing w:before="100" w:beforeAutospacing="1" w:after="100" w:afterAutospacing="1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Donošenje novog zakona takođe nije bilo opcija, imajući u vidu broj potrebnih izmjena</w:t>
            </w:r>
            <w:r w:rsidR="00E95D2D">
              <w:rPr>
                <w:rFonts w:ascii="Cambria" w:hAnsi="Cambria" w:cs="Arial"/>
                <w:b w:val="0"/>
                <w:noProof/>
                <w:szCs w:val="24"/>
              </w:rPr>
              <w:t xml:space="preserve"> zakona</w:t>
            </w:r>
            <w:r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 i tehnička pravila za izradu propisa.</w:t>
            </w:r>
          </w:p>
          <w:p w14:paraId="5FBB4234" w14:textId="264E3D4E" w:rsidR="00222409" w:rsidRPr="007C33EC" w:rsidRDefault="00A74D6F" w:rsidP="009A79EE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Stoga je</w:t>
            </w:r>
            <w:r w:rsidR="00AA5382" w:rsidRPr="00AA5382">
              <w:rPr>
                <w:rFonts w:ascii="Cambria" w:hAnsi="Cambria" w:cs="Arial"/>
                <w:b w:val="0"/>
                <w:noProof/>
                <w:szCs w:val="24"/>
              </w:rPr>
              <w:t xml:space="preserve"> adekvatan način za rješavanje problema izrada Zakona o izmjenama i dopunama </w:t>
            </w:r>
            <w:r w:rsidR="00D1452F" w:rsidRPr="00FE151D">
              <w:rPr>
                <w:rFonts w:ascii="Cambria" w:hAnsi="Cambria" w:cs="Arial"/>
                <w:b w:val="0"/>
                <w:bCs/>
                <w:noProof/>
                <w:szCs w:val="24"/>
              </w:rPr>
              <w:t>Zakon</w:t>
            </w:r>
            <w:r w:rsidR="00E95D2D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="00D1452F" w:rsidRPr="00FE151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 uporedivosti naknada povezanih sa računom za plaćanje potrošača, prebacivanju računa za plaćanje potrošača i računu za plaćanje sa osnovnim uslugama</w:t>
            </w:r>
            <w:r w:rsidR="00253324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  <w:tr w:rsidR="00282840" w:rsidRPr="00E54D7F" w14:paraId="33D8F86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9B89DFF" w14:textId="77777777" w:rsidR="00282840" w:rsidRPr="00E54D7F" w:rsidRDefault="00282840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4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2A91FF0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3DF17CA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izazvati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4479C42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7A42736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252381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ključiti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073FC0ED" w14:textId="77777777" w:rsidR="00D27C82" w:rsidRPr="00E54D7F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E54D7F" w14:paraId="79DC1B6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D3EED11" w14:textId="77777777" w:rsidR="00A74D6F" w:rsidRDefault="00253324" w:rsidP="00901BA8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>Predloženi</w:t>
            </w:r>
            <w:r w:rsidR="00D1452F" w:rsidRPr="00D1452F">
              <w:rPr>
                <w:rFonts w:ascii="Cambria" w:hAnsi="Cambria" w:cs="Arial"/>
                <w:b w:val="0"/>
                <w:noProof/>
                <w:szCs w:val="24"/>
              </w:rPr>
              <w:t xml:space="preserve"> Z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>akon o uporedivosti naknada imaće značajan uticaj prvenstveno na pružaoce platnih usluga u Crnoj Gori, naročito na kreditne institucije</w:t>
            </w:r>
            <w:r w:rsidR="00901BA8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CD41A3">
              <w:rPr>
                <w:rFonts w:ascii="Cambria" w:hAnsi="Cambria" w:cs="Arial"/>
                <w:b w:val="0"/>
                <w:noProof/>
                <w:szCs w:val="24"/>
              </w:rPr>
              <w:t>kao i na korisnike platnih usluga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. </w:t>
            </w:r>
          </w:p>
          <w:p w14:paraId="2562E9D7" w14:textId="0A3DC250" w:rsidR="005B388D" w:rsidRDefault="005B388D" w:rsidP="005B388D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Ovaj zakon omogućava dosljednu primjenu kod svih kreditnih institucija kao pružalaca platnih usluga u skladu sa PAD Direktivom (2014/92/EU), 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 xml:space="preserve">a opseg korisnika u kategoriji “osjetljivih grupa”  se ovim propisom povećava, 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što može rezultirati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po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>već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anjem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broj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zahtjeva za otvaranje računa sa osnovnim uslugama. 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 xml:space="preserve">Prema aktuelnim podacima o broju korisnika 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 xml:space="preserve">različitih kategorija 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>najni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>ž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>e penzije,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 xml:space="preserve"> kao i naknada do iznosa te penzije,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 xml:space="preserve"> b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roj korisnika usluge 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 xml:space="preserve">računa sa osnovnim uslugama 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>mogao bi se potencijaln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povećati za oko 64.000,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što bi 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>rezultira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>lo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smanjenjem prihoda banaka po osnovu naknada za vođenje računa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 izvršavanja platnih transakcija.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Međutim, budući da se obaveza otvaranja računa sa osnovnim uslugama sada proširuje na sve banke, ne očekuje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 xml:space="preserve"> se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da bi ovaj efekat bio destabilizujući za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="00217A65">
              <w:rPr>
                <w:rFonts w:ascii="Cambria" w:hAnsi="Cambria" w:cs="Arial"/>
                <w:b w:val="0"/>
                <w:noProof/>
                <w:szCs w:val="24"/>
              </w:rPr>
              <w:t>j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ihovo poslovanje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pogotovu 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>imaju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ć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i u vidu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visinu prihoda 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>ostvaren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ih po osnovu naknada u platnom prometu</w:t>
            </w:r>
            <w:r w:rsidRPr="005B388D">
              <w:rPr>
                <w:rFonts w:ascii="Cambria" w:hAnsi="Cambria" w:cs="Arial"/>
                <w:b w:val="0"/>
                <w:noProof/>
                <w:szCs w:val="24"/>
              </w:rPr>
              <w:t xml:space="preserve"> u toku prethodnih godina.</w:t>
            </w:r>
          </w:p>
          <w:p w14:paraId="4857E22C" w14:textId="7E541EFF" w:rsidR="00253324" w:rsidRPr="00253324" w:rsidRDefault="006B3F82" w:rsidP="005B388D">
            <w:pPr>
              <w:spacing w:before="100" w:beforeAutospacing="1" w:after="100" w:afterAutospacing="1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P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redložene izmjene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unaprijediće praksu u kontroli primjene propisa, budući da se uspostavljaju pravila koja omogućavaju veću transparentnost kod dostavljanja izvještaja o naknadama, 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>olakša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će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166F39">
              <w:rPr>
                <w:rFonts w:ascii="Cambria" w:hAnsi="Cambria" w:cs="Arial"/>
                <w:b w:val="0"/>
                <w:noProof/>
                <w:szCs w:val="24"/>
              </w:rPr>
              <w:t>postupanje po prigovorima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i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pre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>c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izirati obaveze banaka u vezi sa računima sa osnovnim uslugama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6E8C9736" w14:textId="617118F2" w:rsidR="00253324" w:rsidRPr="00253324" w:rsidRDefault="006B3F82" w:rsidP="00901BA8">
            <w:pPr>
              <w:spacing w:before="100" w:beforeAutospacing="1" w:after="100" w:afterAutospacing="1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Ovaj propis 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stvara osnovu za dalji razvoj tržišta platnih usluga u Crnoj Gori, jer doprinosi 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 xml:space="preserve">većoj usaglašenosti 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>poslovanja crnogorskih pružalaca platnih usluga sa evropskim standardima, posebno u d</w:t>
            </w:r>
            <w:r w:rsidR="00D1452F">
              <w:rPr>
                <w:rFonts w:ascii="Cambria" w:hAnsi="Cambria" w:cs="Arial"/>
                <w:b w:val="0"/>
                <w:noProof/>
                <w:szCs w:val="24"/>
              </w:rPr>
              <w:t>ijelu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informisanja korisnika i obaveze otvaranja računa sa osnovnim uslugama</w:t>
            </w:r>
            <w:r w:rsidR="00253324"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.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</w:p>
          <w:p w14:paraId="2291DBAB" w14:textId="4D901466" w:rsidR="00253324" w:rsidRDefault="00253324" w:rsidP="00901BA8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>Primjena ovog propisa neće izazvati dodatne troškove ni za građane, niti za privred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>u (sa ograničenjem u dijelu uticaja na banke)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. Naprotiv, predloženi zakon doprinosi smanjenju 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administrativnih barijera i troškova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 xml:space="preserve"> otvaranja računa koji nudi povoljnosti za određene kategorije građana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EB1CC2">
              <w:rPr>
                <w:rFonts w:ascii="Cambria" w:hAnsi="Cambria" w:cs="Arial"/>
                <w:b w:val="0"/>
                <w:noProof/>
                <w:szCs w:val="24"/>
              </w:rPr>
              <w:t>š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>to može imati pozitivan uticaj na povećanje konkurencije i smanjenje naknada za usluge</w:t>
            </w:r>
            <w:r w:rsidR="00455A8A">
              <w:rPr>
                <w:rFonts w:ascii="Cambria" w:hAnsi="Cambria" w:cs="Arial"/>
                <w:b w:val="0"/>
                <w:noProof/>
                <w:szCs w:val="24"/>
              </w:rPr>
              <w:t xml:space="preserve"> definisane </w:t>
            </w:r>
            <w:r w:rsidR="00645482">
              <w:rPr>
                <w:rFonts w:ascii="Cambria" w:hAnsi="Cambria" w:cs="Arial"/>
                <w:b w:val="0"/>
                <w:noProof/>
                <w:szCs w:val="24"/>
              </w:rPr>
              <w:t>postojećim</w:t>
            </w:r>
            <w:r w:rsidR="00455A8A">
              <w:rPr>
                <w:rFonts w:ascii="Cambria" w:hAnsi="Cambria" w:cs="Arial"/>
                <w:b w:val="0"/>
                <w:noProof/>
                <w:szCs w:val="24"/>
              </w:rPr>
              <w:t xml:space="preserve"> zakonom</w:t>
            </w: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 xml:space="preserve">. </w:t>
            </w:r>
          </w:p>
          <w:p w14:paraId="7FB9C74A" w14:textId="125824B6" w:rsidR="002E013C" w:rsidRPr="002E013C" w:rsidRDefault="002E013C" w:rsidP="002E013C">
            <w:pPr>
              <w:spacing w:before="100" w:beforeAutospacing="1" w:after="100" w:afterAutospacing="1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Naime, ovim zakonskim rješenjem propisuje se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obaveza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svim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bank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ama da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potrošačima iz osjetljivih grupa obezbijede određeni obim usluga bez naknade — uključujući osnovne transakcije i prvih deset nacionalnih transakcija mjesečno. Za ostale usluge naknada se može naplatiti najviše do 70% iznosa naknade utvrđene za ostale korisnike. Ovaj model ne predstavlja novu obavezu , već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se proširenjem broja banaka koje će nuditi ovu uslugu povećava nivo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za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>štit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e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osjetljive kategorije korisnika,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 xml:space="preserve">iz razloga što se stvaraju uslovi da 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se smanj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e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troškovi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otvaranja I vođenja transakcionih računa i izvršavanja platnih transakcija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. Uvođenje jedinstvene obaveze za sve banke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 xml:space="preserve">za dio banaka 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>predstavlja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će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novu obavezu, ali ne stvara nove naknade za potrošače.</w:t>
            </w:r>
          </w:p>
          <w:p w14:paraId="5996F011" w14:textId="0617614F" w:rsidR="006201B6" w:rsidRDefault="002E013C" w:rsidP="002E013C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Shodno navedenom, u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ticaj Zakona na građane i privredu biće pozitivan. 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Veći broj g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>rađan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 će imati lakši pristup osnovnim bankarskim uslugama</w:t>
            </w:r>
            <w:r w:rsidR="006201B6">
              <w:rPr>
                <w:rFonts w:ascii="Cambria" w:hAnsi="Cambria" w:cs="Arial"/>
                <w:b w:val="0"/>
                <w:noProof/>
                <w:szCs w:val="24"/>
              </w:rPr>
              <w:t xml:space="preserve"> pa se o</w:t>
            </w: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čekuje veće uključivanje stanovništva u finansijski sistem i smanjenje troškova za korisnike koji su ranjiviji u socio-ekonomskom smislu. </w:t>
            </w:r>
          </w:p>
          <w:p w14:paraId="266424C5" w14:textId="17BEDA41" w:rsidR="006201B6" w:rsidRDefault="006201B6" w:rsidP="002E013C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Takođe, p</w:t>
            </w:r>
            <w:r w:rsidR="002E013C"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otrošači će imati jasnije informacije o naknadama i pravo izbora načina dostave izvještaja. </w:t>
            </w:r>
          </w:p>
          <w:p w14:paraId="584B5D6C" w14:textId="722F9496" w:rsidR="002E013C" w:rsidRDefault="002E013C" w:rsidP="002E013C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 w:rsidRPr="002E013C">
              <w:rPr>
                <w:rFonts w:ascii="Cambria" w:hAnsi="Cambria" w:cs="Arial"/>
                <w:b w:val="0"/>
                <w:noProof/>
                <w:szCs w:val="24"/>
              </w:rPr>
              <w:t xml:space="preserve">Za banke se očekuje umjereno smanjenje prihoda od naknada kod dijela korisnika, ali se paralelno uvodi jednak tretman svih kreditnih institucija, što doprinosi konkurentnosti i fer tržišnim uslovima. </w:t>
            </w:r>
          </w:p>
          <w:p w14:paraId="1273A70B" w14:textId="6FB39AED" w:rsidR="00926968" w:rsidRPr="00901BA8" w:rsidRDefault="00253324" w:rsidP="002E013C">
            <w:pPr>
              <w:spacing w:before="100" w:beforeAutospacing="1" w:after="100" w:afterAutospacing="1"/>
              <w:rPr>
                <w:rFonts w:ascii="Cambria" w:hAnsi="Cambria" w:cs="Arial"/>
                <w:bCs/>
                <w:noProof/>
                <w:szCs w:val="24"/>
              </w:rPr>
            </w:pPr>
            <w:r w:rsidRPr="00253324">
              <w:rPr>
                <w:rFonts w:ascii="Cambria" w:hAnsi="Cambria" w:cs="Arial"/>
                <w:b w:val="0"/>
                <w:noProof/>
                <w:szCs w:val="24"/>
              </w:rPr>
              <w:t>Norme predložene ovim zakonom ne uvode nove biznis barijere, već doprinose stvaranju ravnopravnog i predvidivog poslovnog okruženja, koje je ključni faktor za dalje unapređenje tržišta i privlačenje novih investicija u sektor platnih usluga.</w:t>
            </w:r>
          </w:p>
        </w:tc>
      </w:tr>
      <w:tr w:rsidR="00702CFF" w:rsidRPr="00E54D7F" w14:paraId="29BA8D02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C14000F" w14:textId="77777777" w:rsidR="00673F68" w:rsidRPr="00E54D7F" w:rsidRDefault="00673F68" w:rsidP="00673F68">
            <w:pPr>
              <w:autoSpaceDE w:val="0"/>
              <w:autoSpaceDN w:val="0"/>
              <w:adjustRightInd w:val="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5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="00702CF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7652F76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67EAB802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32A2138C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0ED4AE2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10294B1C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1B333536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će se implementacijom propisa ostvariti prihod za budžet Crne Gore?</w:t>
            </w:r>
          </w:p>
          <w:p w14:paraId="168D0966" w14:textId="77777777" w:rsidR="00A07773" w:rsidRPr="00E54D7F" w:rsidRDefault="00745B74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metodologiju koja je korišćenja prilikom obračun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finansijskih izdataka/prihoda.</w:t>
            </w:r>
          </w:p>
          <w:p w14:paraId="3BAE4B0C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postojali problemi u preciznom obračunu finansijskih izdataka/prihoda?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2881DFA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postojale sugestije Ministarstva finansija 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 nac</w:t>
            </w:r>
            <w:r w:rsidR="00736E8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r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t/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predlog propisa?</w:t>
            </w:r>
          </w:p>
          <w:p w14:paraId="196DF0C6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dobijene primjedbe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uključene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u tekst propisa? Obrazložiti.</w:t>
            </w:r>
          </w:p>
        </w:tc>
      </w:tr>
      <w:tr w:rsidR="00702CFF" w:rsidRPr="00E54D7F" w14:paraId="554BD4A9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4C05E97" w14:textId="77777777" w:rsidR="00745B74" w:rsidRDefault="00E811AB" w:rsidP="00455A8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lastRenderedPageBreak/>
              <w:t xml:space="preserve">Zа </w:t>
            </w:r>
            <w:r w:rsidR="00C80735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implementaciju ovog propisa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nije potrebno obezbijediti dodаtnа finаnsijs</w:t>
            </w:r>
            <w:r w:rsidR="00C80735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kа sredstvа u budžetu Crne Gore</w:t>
            </w:r>
            <w:r w:rsidR="00745B74"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12F9B108" w14:textId="77777777" w:rsidR="00745B74" w:rsidRPr="00745B74" w:rsidRDefault="00E86CD6" w:rsidP="00455A8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86CD6">
              <w:rPr>
                <w:rFonts w:ascii="Cambria" w:hAnsi="Cambria" w:cs="Arial"/>
                <w:b w:val="0"/>
                <w:iCs/>
                <w:noProof/>
                <w:szCs w:val="24"/>
              </w:rPr>
              <w:t>Takođe, i</w:t>
            </w:r>
            <w:r w:rsidR="00745B74">
              <w:rPr>
                <w:rFonts w:ascii="Cambria" w:hAnsi="Cambria" w:cs="Arial"/>
                <w:b w:val="0"/>
                <w:iCs/>
                <w:noProof/>
                <w:szCs w:val="24"/>
              </w:rPr>
              <w:t>mplementacijom ovog propisa ne proizilaze međunarodne finansijske obaveze.</w:t>
            </w:r>
          </w:p>
          <w:p w14:paraId="4E3E2EAB" w14:textId="77777777" w:rsidR="00702CFF" w:rsidRDefault="00293B9E" w:rsidP="00455A8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Implementacijom propisa ne</w:t>
            </w:r>
            <w:r w:rsidR="00071756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će se direktno ostvariti prihod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za budžet Crne Gore</w:t>
            </w:r>
            <w:r w:rsidR="00CD2A63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4291252C" w14:textId="2867BCFD" w:rsidR="00745B74" w:rsidRPr="00745B74" w:rsidRDefault="00AA0158" w:rsidP="00455A8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U dosadašnjem procesu nije bilo sugestija Ministarstva finansija</w:t>
            </w:r>
            <w:r w:rsidR="009546CD"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</w:tc>
      </w:tr>
      <w:tr w:rsidR="00282840" w:rsidRPr="00E54D7F" w14:paraId="5A1A8107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92A42C4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6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E54D7F"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45503E35" w14:textId="77777777" w:rsidR="00A07773" w:rsidRPr="00E54D7F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ekspertska podrška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326F4B66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2AC6137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E54D7F" w14:paraId="74323539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0B8BFF" w14:textId="77777777" w:rsidR="007454AF" w:rsidRDefault="007454AF" w:rsidP="00455A8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Za potrebe izrade ovog propisa nisu obavljene </w:t>
            </w:r>
            <w:r w:rsidR="00AA0158">
              <w:rPr>
                <w:rFonts w:ascii="Cambria" w:hAnsi="Cambria" w:cs="Arial"/>
                <w:b w:val="0"/>
                <w:noProof/>
                <w:szCs w:val="24"/>
              </w:rPr>
              <w:t>eksterne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konsultacije.</w:t>
            </w:r>
          </w:p>
          <w:p w14:paraId="53EED4B0" w14:textId="77777777" w:rsidR="000F0997" w:rsidRPr="000F0997" w:rsidRDefault="000F0997" w:rsidP="000F0997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noProof/>
                <w:szCs w:val="24"/>
              </w:rPr>
            </w:pPr>
            <w:r w:rsidRPr="000F0997">
              <w:rPr>
                <w:rFonts w:ascii="Cambria" w:hAnsi="Cambria" w:cs="Arial"/>
                <w:b w:val="0"/>
                <w:noProof/>
                <w:szCs w:val="24"/>
              </w:rPr>
              <w:t xml:space="preserve">Nacrt zakona će biti predmet i javne rasprave, koja će omogućiti široj javnosti da iznese svoje komentare i sugestije. </w:t>
            </w:r>
          </w:p>
          <w:p w14:paraId="0E191B1F" w14:textId="58784415" w:rsidR="000F0997" w:rsidRPr="00E54D7F" w:rsidRDefault="000F0997" w:rsidP="000F0997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Cambria" w:hAnsi="Cambria" w:cs="Arial"/>
                <w:b w:val="0"/>
                <w:noProof/>
                <w:szCs w:val="24"/>
              </w:rPr>
            </w:pPr>
            <w:r w:rsidRPr="000F0997">
              <w:rPr>
                <w:rFonts w:ascii="Cambria" w:hAnsi="Cambria" w:cs="Arial"/>
                <w:b w:val="0"/>
                <w:noProof/>
                <w:szCs w:val="24"/>
              </w:rPr>
              <w:t>Sve primjedbe i preporuke dobijene tokom javne rasprave biće pažljivo razmotrene, a relevantne izmjene ugrađene u konačni tekst zakona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  <w:tr w:rsidR="00282840" w:rsidRPr="00E54D7F" w14:paraId="7A99180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530B80E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7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7911BDBC" w14:textId="77777777" w:rsidR="0000426F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potencijalne prepreke za implementaciju propisa? </w:t>
            </w:r>
          </w:p>
          <w:p w14:paraId="38A8CE88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3F080D59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su glavni indikatori prema kojima će se mjeriti ispunjenje ciljeva?</w:t>
            </w:r>
          </w:p>
          <w:p w14:paraId="32F4F649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E54D7F" w14:paraId="2F4DF63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BAC15EF" w14:textId="1CFED8C1" w:rsidR="006201B6" w:rsidRPr="00622085" w:rsidRDefault="006201B6" w:rsidP="009A79E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>Nijesu identifikovane prepreke za implementaciju propisa.</w:t>
            </w:r>
          </w:p>
          <w:p w14:paraId="77CE1916" w14:textId="6C97BF65" w:rsidR="006201B6" w:rsidRPr="00622085" w:rsidRDefault="006201B6" w:rsidP="009A79E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Centralna banka će kroz redovno praćenje postupanja banaka i dostavljanja informativnih dokumenata u sistem CBCG pratiti dinamiku osposobljavanja banaka za pružanje nove usluge. </w:t>
            </w:r>
          </w:p>
          <w:p w14:paraId="14966B86" w14:textId="447098FB" w:rsidR="006201B6" w:rsidRPr="00622085" w:rsidRDefault="006201B6" w:rsidP="009A79E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Glavni indikatori za praćenje ispunjenja ciljeva biće podaci </w:t>
            </w:r>
            <w:r w:rsidR="00671D43" w:rsidRPr="00622085">
              <w:rPr>
                <w:rFonts w:ascii="Cambria" w:hAnsi="Cambria" w:cs="Arial"/>
                <w:b w:val="0"/>
                <w:noProof/>
                <w:szCs w:val="24"/>
              </w:rPr>
              <w:t>pribavljeni u postupku kontinuirane supervizije</w:t>
            </w: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671D43"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nad radom </w:t>
            </w: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>banaka</w:t>
            </w:r>
            <w:r w:rsidR="00671D43"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 – početak pružanja usluga, broj otvorenih računa sa osnovnim uslugama, rezultati redovnih i vanrednih kontrola, i dr.</w:t>
            </w:r>
          </w:p>
          <w:p w14:paraId="10E387F4" w14:textId="00C5B48C" w:rsidR="00FB6BD5" w:rsidRPr="00622085" w:rsidRDefault="00CD2A63" w:rsidP="009A79E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Za monitoring </w:t>
            </w:r>
            <w:r w:rsidR="006038B9"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i evaluaciju </w:t>
            </w:r>
            <w:r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primjene propisa zadužena </w:t>
            </w:r>
            <w:r w:rsidR="006038B9" w:rsidRPr="00622085">
              <w:rPr>
                <w:rFonts w:ascii="Cambria" w:hAnsi="Cambria" w:cs="Arial"/>
                <w:b w:val="0"/>
                <w:noProof/>
                <w:szCs w:val="24"/>
              </w:rPr>
              <w:t xml:space="preserve">je </w:t>
            </w:r>
            <w:r w:rsidR="00926968" w:rsidRPr="00622085">
              <w:rPr>
                <w:rFonts w:ascii="Cambria" w:hAnsi="Cambria" w:cs="Arial"/>
                <w:b w:val="0"/>
                <w:noProof/>
                <w:szCs w:val="24"/>
              </w:rPr>
              <w:t>Centralna banka Crne Gore</w:t>
            </w:r>
            <w:r w:rsidR="00AA0158" w:rsidRPr="00622085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2A9B9FCB" w14:textId="7FF26397" w:rsidR="000F0997" w:rsidRPr="00622085" w:rsidRDefault="000F0997" w:rsidP="009A79E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bookmarkStart w:id="1" w:name="_GoBack"/>
            <w:bookmarkEnd w:id="1"/>
          </w:p>
        </w:tc>
      </w:tr>
    </w:tbl>
    <w:p w14:paraId="5CEBF3D9" w14:textId="77777777" w:rsidR="004A4396" w:rsidRPr="00E54D7F" w:rsidRDefault="004A4396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62F6B16F" w14:textId="77777777" w:rsidR="00972845" w:rsidRPr="00E54D7F" w:rsidRDefault="00BD4282">
      <w:pPr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Datum i mjesto</w:t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2D01D4DB" w14:textId="77777777" w:rsidR="00E54D7F" w:rsidRDefault="00E54D7F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3A4F8DC1" w14:textId="241D2AAF" w:rsidR="00972845" w:rsidRPr="00E54D7F" w:rsidRDefault="00686B0B">
      <w:pPr>
        <w:rPr>
          <w:rFonts w:ascii="Cambria" w:hAnsi="Cambria" w:cs="Arial"/>
          <w:noProof/>
          <w:color w:val="365F91" w:themeColor="accent1" w:themeShade="BF"/>
          <w:szCs w:val="24"/>
        </w:rPr>
      </w:pPr>
      <w:r>
        <w:rPr>
          <w:rFonts w:ascii="Cambria" w:hAnsi="Cambria" w:cs="Arial"/>
          <w:noProof/>
          <w:color w:val="365F91" w:themeColor="accent1" w:themeShade="BF"/>
          <w:szCs w:val="24"/>
        </w:rPr>
        <w:t>U Podgorici, __</w:t>
      </w:r>
      <w:r w:rsidR="002B10E0">
        <w:rPr>
          <w:rFonts w:ascii="Cambria" w:hAnsi="Cambria" w:cs="Arial"/>
          <w:noProof/>
          <w:color w:val="365F91" w:themeColor="accent1" w:themeShade="BF"/>
          <w:szCs w:val="24"/>
        </w:rPr>
        <w:t>11</w:t>
      </w:r>
      <w:r>
        <w:rPr>
          <w:rFonts w:ascii="Cambria" w:hAnsi="Cambria" w:cs="Arial"/>
          <w:noProof/>
          <w:color w:val="365F91" w:themeColor="accent1" w:themeShade="BF"/>
          <w:szCs w:val="24"/>
        </w:rPr>
        <w:t>. 202</w:t>
      </w:r>
      <w:r w:rsidR="002B10E0">
        <w:rPr>
          <w:rFonts w:ascii="Cambria" w:hAnsi="Cambria" w:cs="Arial"/>
          <w:noProof/>
          <w:color w:val="365F91" w:themeColor="accent1" w:themeShade="BF"/>
          <w:szCs w:val="24"/>
        </w:rPr>
        <w:t>5</w:t>
      </w:r>
      <w:r w:rsidR="00E54D7F">
        <w:rPr>
          <w:rFonts w:ascii="Cambria" w:hAnsi="Cambria" w:cs="Arial"/>
          <w:noProof/>
          <w:color w:val="365F91" w:themeColor="accent1" w:themeShade="BF"/>
          <w:szCs w:val="24"/>
        </w:rPr>
        <w:t>. godine</w:t>
      </w:r>
    </w:p>
    <w:sectPr w:rsidR="00972845" w:rsidRPr="00E54D7F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CCC" w16cex:dateUtc="2025-11-18T14:18:00Z"/>
  <w16cex:commentExtensible w16cex:durableId="2CC70D08" w16cex:dateUtc="2025-11-18T14:19:00Z"/>
  <w16cex:commentExtensible w16cex:durableId="2CC70E36" w16cex:dateUtc="2025-11-18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28A15" w14:textId="77777777" w:rsidR="00843468" w:rsidRDefault="00843468" w:rsidP="00BA7396">
      <w:r>
        <w:separator/>
      </w:r>
    </w:p>
  </w:endnote>
  <w:endnote w:type="continuationSeparator" w:id="0">
    <w:p w14:paraId="52D43945" w14:textId="77777777" w:rsidR="00843468" w:rsidRDefault="00843468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7058" w14:textId="77777777" w:rsidR="00843468" w:rsidRDefault="00843468" w:rsidP="00BA7396">
      <w:r>
        <w:separator/>
      </w:r>
    </w:p>
  </w:footnote>
  <w:footnote w:type="continuationSeparator" w:id="0">
    <w:p w14:paraId="02747CD1" w14:textId="77777777" w:rsidR="00843468" w:rsidRDefault="00843468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B9D"/>
    <w:multiLevelType w:val="hybridMultilevel"/>
    <w:tmpl w:val="2178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4D6"/>
    <w:multiLevelType w:val="hybridMultilevel"/>
    <w:tmpl w:val="6AD84D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980BD2"/>
    <w:multiLevelType w:val="multilevel"/>
    <w:tmpl w:val="6B5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B4CF8"/>
    <w:multiLevelType w:val="hybridMultilevel"/>
    <w:tmpl w:val="21869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E0139"/>
    <w:multiLevelType w:val="multilevel"/>
    <w:tmpl w:val="2A5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261D2"/>
    <w:multiLevelType w:val="hybridMultilevel"/>
    <w:tmpl w:val="0ACEDF80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93E17"/>
    <w:multiLevelType w:val="multilevel"/>
    <w:tmpl w:val="988E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87EB5"/>
    <w:multiLevelType w:val="multilevel"/>
    <w:tmpl w:val="69C8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00C39"/>
    <w:multiLevelType w:val="hybridMultilevel"/>
    <w:tmpl w:val="5308F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13E5C"/>
    <w:multiLevelType w:val="multilevel"/>
    <w:tmpl w:val="FD2A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9421D"/>
    <w:multiLevelType w:val="hybridMultilevel"/>
    <w:tmpl w:val="2FB6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D6A73"/>
    <w:multiLevelType w:val="hybridMultilevel"/>
    <w:tmpl w:val="03D0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9187C"/>
    <w:multiLevelType w:val="hybridMultilevel"/>
    <w:tmpl w:val="1BAE453A"/>
    <w:lvl w:ilvl="0" w:tplc="464C5CBC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313B69D4"/>
    <w:multiLevelType w:val="multilevel"/>
    <w:tmpl w:val="4E3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271D8"/>
    <w:multiLevelType w:val="hybridMultilevel"/>
    <w:tmpl w:val="7A08E12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2584"/>
    <w:multiLevelType w:val="hybridMultilevel"/>
    <w:tmpl w:val="D5CA206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5BFC"/>
    <w:multiLevelType w:val="hybridMultilevel"/>
    <w:tmpl w:val="F2AA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D30F8"/>
    <w:multiLevelType w:val="multilevel"/>
    <w:tmpl w:val="B49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530C1"/>
    <w:multiLevelType w:val="multilevel"/>
    <w:tmpl w:val="1A4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991EE8"/>
    <w:multiLevelType w:val="hybridMultilevel"/>
    <w:tmpl w:val="03EA8630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10432"/>
    <w:multiLevelType w:val="multilevel"/>
    <w:tmpl w:val="3AF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065D96"/>
    <w:multiLevelType w:val="hybridMultilevel"/>
    <w:tmpl w:val="35CAEA58"/>
    <w:lvl w:ilvl="0" w:tplc="75908C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26F1C"/>
    <w:multiLevelType w:val="multilevel"/>
    <w:tmpl w:val="A43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68029C"/>
    <w:multiLevelType w:val="hybridMultilevel"/>
    <w:tmpl w:val="7A14D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B7109"/>
    <w:multiLevelType w:val="multilevel"/>
    <w:tmpl w:val="61D46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836312"/>
    <w:multiLevelType w:val="multilevel"/>
    <w:tmpl w:val="EFE849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5694D"/>
    <w:multiLevelType w:val="multilevel"/>
    <w:tmpl w:val="0CC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9E184E"/>
    <w:multiLevelType w:val="multilevel"/>
    <w:tmpl w:val="2F24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875841"/>
    <w:multiLevelType w:val="hybridMultilevel"/>
    <w:tmpl w:val="16226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33E27"/>
    <w:multiLevelType w:val="hybridMultilevel"/>
    <w:tmpl w:val="1AF46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01366"/>
    <w:multiLevelType w:val="multilevel"/>
    <w:tmpl w:val="DEFA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35F6D"/>
    <w:multiLevelType w:val="hybridMultilevel"/>
    <w:tmpl w:val="4328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41"/>
  </w:num>
  <w:num w:numId="5">
    <w:abstractNumId w:val="8"/>
  </w:num>
  <w:num w:numId="6">
    <w:abstractNumId w:val="4"/>
  </w:num>
  <w:num w:numId="7">
    <w:abstractNumId w:val="19"/>
  </w:num>
  <w:num w:numId="8">
    <w:abstractNumId w:val="23"/>
  </w:num>
  <w:num w:numId="9">
    <w:abstractNumId w:val="48"/>
  </w:num>
  <w:num w:numId="10">
    <w:abstractNumId w:val="31"/>
  </w:num>
  <w:num w:numId="11">
    <w:abstractNumId w:val="9"/>
  </w:num>
  <w:num w:numId="12">
    <w:abstractNumId w:val="14"/>
  </w:num>
  <w:num w:numId="13">
    <w:abstractNumId w:val="30"/>
  </w:num>
  <w:num w:numId="14">
    <w:abstractNumId w:val="28"/>
  </w:num>
  <w:num w:numId="15">
    <w:abstractNumId w:val="37"/>
  </w:num>
  <w:num w:numId="16">
    <w:abstractNumId w:val="12"/>
  </w:num>
  <w:num w:numId="17">
    <w:abstractNumId w:val="45"/>
  </w:num>
  <w:num w:numId="18">
    <w:abstractNumId w:val="35"/>
  </w:num>
  <w:num w:numId="19">
    <w:abstractNumId w:val="24"/>
  </w:num>
  <w:num w:numId="20">
    <w:abstractNumId w:val="25"/>
  </w:num>
  <w:num w:numId="21">
    <w:abstractNumId w:val="32"/>
  </w:num>
  <w:num w:numId="22">
    <w:abstractNumId w:val="21"/>
  </w:num>
  <w:num w:numId="23">
    <w:abstractNumId w:val="34"/>
  </w:num>
  <w:num w:numId="24">
    <w:abstractNumId w:val="20"/>
  </w:num>
  <w:num w:numId="25">
    <w:abstractNumId w:val="49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6"/>
  </w:num>
  <w:num w:numId="31">
    <w:abstractNumId w:val="33"/>
  </w:num>
  <w:num w:numId="32">
    <w:abstractNumId w:val="47"/>
  </w:num>
  <w:num w:numId="33">
    <w:abstractNumId w:val="43"/>
  </w:num>
  <w:num w:numId="34">
    <w:abstractNumId w:val="17"/>
  </w:num>
  <w:num w:numId="35">
    <w:abstractNumId w:val="29"/>
  </w:num>
  <w:num w:numId="36">
    <w:abstractNumId w:val="36"/>
  </w:num>
  <w:num w:numId="37">
    <w:abstractNumId w:val="27"/>
  </w:num>
  <w:num w:numId="38">
    <w:abstractNumId w:val="2"/>
  </w:num>
  <w:num w:numId="39">
    <w:abstractNumId w:val="39"/>
  </w:num>
  <w:num w:numId="40">
    <w:abstractNumId w:val="40"/>
  </w:num>
  <w:num w:numId="41">
    <w:abstractNumId w:val="10"/>
  </w:num>
  <w:num w:numId="42">
    <w:abstractNumId w:val="18"/>
  </w:num>
  <w:num w:numId="43">
    <w:abstractNumId w:val="13"/>
  </w:num>
  <w:num w:numId="44">
    <w:abstractNumId w:val="42"/>
  </w:num>
  <w:num w:numId="45">
    <w:abstractNumId w:val="1"/>
  </w:num>
  <w:num w:numId="46">
    <w:abstractNumId w:val="5"/>
  </w:num>
  <w:num w:numId="47">
    <w:abstractNumId w:val="15"/>
  </w:num>
  <w:num w:numId="48">
    <w:abstractNumId w:val="38"/>
  </w:num>
  <w:num w:numId="49">
    <w:abstractNumId w:val="4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4408E"/>
    <w:rsid w:val="0005064C"/>
    <w:rsid w:val="000511F0"/>
    <w:rsid w:val="00051356"/>
    <w:rsid w:val="000608F4"/>
    <w:rsid w:val="0006539F"/>
    <w:rsid w:val="00067FCF"/>
    <w:rsid w:val="000716AC"/>
    <w:rsid w:val="00071756"/>
    <w:rsid w:val="000741F9"/>
    <w:rsid w:val="00075306"/>
    <w:rsid w:val="00080C23"/>
    <w:rsid w:val="00086600"/>
    <w:rsid w:val="00092BE3"/>
    <w:rsid w:val="000B31AD"/>
    <w:rsid w:val="000B3A6A"/>
    <w:rsid w:val="000B6C6E"/>
    <w:rsid w:val="000B7EB0"/>
    <w:rsid w:val="000C23C6"/>
    <w:rsid w:val="000D0A61"/>
    <w:rsid w:val="000E0473"/>
    <w:rsid w:val="000E3B14"/>
    <w:rsid w:val="000E5392"/>
    <w:rsid w:val="000E5CDD"/>
    <w:rsid w:val="000F04EB"/>
    <w:rsid w:val="000F0997"/>
    <w:rsid w:val="00104AC5"/>
    <w:rsid w:val="00125F67"/>
    <w:rsid w:val="00152349"/>
    <w:rsid w:val="001562C2"/>
    <w:rsid w:val="00157CED"/>
    <w:rsid w:val="00162BB1"/>
    <w:rsid w:val="00166F39"/>
    <w:rsid w:val="00187C39"/>
    <w:rsid w:val="001A107D"/>
    <w:rsid w:val="001C29BF"/>
    <w:rsid w:val="001C7348"/>
    <w:rsid w:val="001D0BF0"/>
    <w:rsid w:val="001D2884"/>
    <w:rsid w:val="001D660B"/>
    <w:rsid w:val="001E1794"/>
    <w:rsid w:val="001E684D"/>
    <w:rsid w:val="002009F2"/>
    <w:rsid w:val="00217A65"/>
    <w:rsid w:val="00222409"/>
    <w:rsid w:val="00222D11"/>
    <w:rsid w:val="0022604C"/>
    <w:rsid w:val="002325C2"/>
    <w:rsid w:val="002402D5"/>
    <w:rsid w:val="00253324"/>
    <w:rsid w:val="00261039"/>
    <w:rsid w:val="00282840"/>
    <w:rsid w:val="00284327"/>
    <w:rsid w:val="00284A91"/>
    <w:rsid w:val="00293B9E"/>
    <w:rsid w:val="00294662"/>
    <w:rsid w:val="00295023"/>
    <w:rsid w:val="002A6058"/>
    <w:rsid w:val="002B088A"/>
    <w:rsid w:val="002B10E0"/>
    <w:rsid w:val="002B6DC1"/>
    <w:rsid w:val="002D0AAD"/>
    <w:rsid w:val="002D762E"/>
    <w:rsid w:val="002E013C"/>
    <w:rsid w:val="002E7569"/>
    <w:rsid w:val="002F07A8"/>
    <w:rsid w:val="002F188C"/>
    <w:rsid w:val="002F1C8C"/>
    <w:rsid w:val="00303470"/>
    <w:rsid w:val="00305506"/>
    <w:rsid w:val="00310915"/>
    <w:rsid w:val="0031143F"/>
    <w:rsid w:val="00312074"/>
    <w:rsid w:val="00317E52"/>
    <w:rsid w:val="003230E5"/>
    <w:rsid w:val="00332343"/>
    <w:rsid w:val="00334E64"/>
    <w:rsid w:val="003452A3"/>
    <w:rsid w:val="0035343D"/>
    <w:rsid w:val="00355FAD"/>
    <w:rsid w:val="00357476"/>
    <w:rsid w:val="003619B3"/>
    <w:rsid w:val="00373A49"/>
    <w:rsid w:val="00382399"/>
    <w:rsid w:val="003831C0"/>
    <w:rsid w:val="00392F99"/>
    <w:rsid w:val="00395587"/>
    <w:rsid w:val="00395AA4"/>
    <w:rsid w:val="00396ED2"/>
    <w:rsid w:val="00397FDE"/>
    <w:rsid w:val="003D2436"/>
    <w:rsid w:val="003D3DE5"/>
    <w:rsid w:val="003D41F8"/>
    <w:rsid w:val="003E2052"/>
    <w:rsid w:val="003E324F"/>
    <w:rsid w:val="003F334E"/>
    <w:rsid w:val="003F5586"/>
    <w:rsid w:val="00416FDB"/>
    <w:rsid w:val="00455A8A"/>
    <w:rsid w:val="00457CF9"/>
    <w:rsid w:val="004607E9"/>
    <w:rsid w:val="004621D0"/>
    <w:rsid w:val="004804BE"/>
    <w:rsid w:val="0048284D"/>
    <w:rsid w:val="004A066E"/>
    <w:rsid w:val="004A240E"/>
    <w:rsid w:val="004A4396"/>
    <w:rsid w:val="004B67E2"/>
    <w:rsid w:val="004B7781"/>
    <w:rsid w:val="004C7157"/>
    <w:rsid w:val="004D37A6"/>
    <w:rsid w:val="004D66F4"/>
    <w:rsid w:val="004D6F3D"/>
    <w:rsid w:val="004D7791"/>
    <w:rsid w:val="004F4344"/>
    <w:rsid w:val="0050284E"/>
    <w:rsid w:val="0050474C"/>
    <w:rsid w:val="005153ED"/>
    <w:rsid w:val="0051649D"/>
    <w:rsid w:val="00523ECE"/>
    <w:rsid w:val="00523F46"/>
    <w:rsid w:val="00524EA7"/>
    <w:rsid w:val="00536F9B"/>
    <w:rsid w:val="00537398"/>
    <w:rsid w:val="00540267"/>
    <w:rsid w:val="00542040"/>
    <w:rsid w:val="00544376"/>
    <w:rsid w:val="0054756C"/>
    <w:rsid w:val="00560849"/>
    <w:rsid w:val="005732E1"/>
    <w:rsid w:val="005805F3"/>
    <w:rsid w:val="005942B0"/>
    <w:rsid w:val="005B388D"/>
    <w:rsid w:val="005C4266"/>
    <w:rsid w:val="005D5EF7"/>
    <w:rsid w:val="005F03ED"/>
    <w:rsid w:val="005F4B8D"/>
    <w:rsid w:val="005F5923"/>
    <w:rsid w:val="005F6D49"/>
    <w:rsid w:val="00601210"/>
    <w:rsid w:val="00602A71"/>
    <w:rsid w:val="006038B9"/>
    <w:rsid w:val="006129CD"/>
    <w:rsid w:val="006201B6"/>
    <w:rsid w:val="00622085"/>
    <w:rsid w:val="00624535"/>
    <w:rsid w:val="00633C69"/>
    <w:rsid w:val="0064133F"/>
    <w:rsid w:val="00645482"/>
    <w:rsid w:val="00646DFB"/>
    <w:rsid w:val="00654FD3"/>
    <w:rsid w:val="006676CB"/>
    <w:rsid w:val="00670195"/>
    <w:rsid w:val="00671D43"/>
    <w:rsid w:val="00673F68"/>
    <w:rsid w:val="00674DBA"/>
    <w:rsid w:val="00681DE1"/>
    <w:rsid w:val="00684009"/>
    <w:rsid w:val="00686B0B"/>
    <w:rsid w:val="0069433A"/>
    <w:rsid w:val="006A1B2C"/>
    <w:rsid w:val="006A3B25"/>
    <w:rsid w:val="006A4C77"/>
    <w:rsid w:val="006B3F82"/>
    <w:rsid w:val="006D3654"/>
    <w:rsid w:val="006D7081"/>
    <w:rsid w:val="006E4E97"/>
    <w:rsid w:val="006F62E6"/>
    <w:rsid w:val="00702075"/>
    <w:rsid w:val="00702CFF"/>
    <w:rsid w:val="00721DB9"/>
    <w:rsid w:val="00724EC2"/>
    <w:rsid w:val="00733149"/>
    <w:rsid w:val="00736E8D"/>
    <w:rsid w:val="00740520"/>
    <w:rsid w:val="007454AF"/>
    <w:rsid w:val="00745B74"/>
    <w:rsid w:val="00753CDE"/>
    <w:rsid w:val="00783515"/>
    <w:rsid w:val="007903F3"/>
    <w:rsid w:val="00794462"/>
    <w:rsid w:val="00796311"/>
    <w:rsid w:val="007A1C7D"/>
    <w:rsid w:val="007A57F6"/>
    <w:rsid w:val="007B620B"/>
    <w:rsid w:val="007C12EB"/>
    <w:rsid w:val="007C33EC"/>
    <w:rsid w:val="007C4158"/>
    <w:rsid w:val="007D0848"/>
    <w:rsid w:val="007D74D6"/>
    <w:rsid w:val="007E4D35"/>
    <w:rsid w:val="007E4DF8"/>
    <w:rsid w:val="007F2214"/>
    <w:rsid w:val="00812B40"/>
    <w:rsid w:val="00815521"/>
    <w:rsid w:val="008301C9"/>
    <w:rsid w:val="008322D4"/>
    <w:rsid w:val="00833765"/>
    <w:rsid w:val="00843468"/>
    <w:rsid w:val="00851145"/>
    <w:rsid w:val="0085327D"/>
    <w:rsid w:val="00871235"/>
    <w:rsid w:val="00872028"/>
    <w:rsid w:val="00874300"/>
    <w:rsid w:val="00875C98"/>
    <w:rsid w:val="00877DAC"/>
    <w:rsid w:val="00887EEE"/>
    <w:rsid w:val="00890F86"/>
    <w:rsid w:val="008A7D2D"/>
    <w:rsid w:val="008B09E9"/>
    <w:rsid w:val="008C1BDD"/>
    <w:rsid w:val="008C5B9A"/>
    <w:rsid w:val="008E168D"/>
    <w:rsid w:val="00901BA8"/>
    <w:rsid w:val="009252B3"/>
    <w:rsid w:val="00926968"/>
    <w:rsid w:val="0093301D"/>
    <w:rsid w:val="0093682D"/>
    <w:rsid w:val="0095463A"/>
    <w:rsid w:val="009546CD"/>
    <w:rsid w:val="00960A46"/>
    <w:rsid w:val="009726E8"/>
    <w:rsid w:val="00972845"/>
    <w:rsid w:val="00973205"/>
    <w:rsid w:val="009A4FAB"/>
    <w:rsid w:val="009A79EE"/>
    <w:rsid w:val="009B0C50"/>
    <w:rsid w:val="009B3BBA"/>
    <w:rsid w:val="009B46B5"/>
    <w:rsid w:val="009C29C1"/>
    <w:rsid w:val="009C77F6"/>
    <w:rsid w:val="009C7F20"/>
    <w:rsid w:val="009C7FBC"/>
    <w:rsid w:val="009D39A8"/>
    <w:rsid w:val="009D63F0"/>
    <w:rsid w:val="00A053BC"/>
    <w:rsid w:val="00A07773"/>
    <w:rsid w:val="00A127E2"/>
    <w:rsid w:val="00A265F9"/>
    <w:rsid w:val="00A52544"/>
    <w:rsid w:val="00A5308A"/>
    <w:rsid w:val="00A55C74"/>
    <w:rsid w:val="00A5617E"/>
    <w:rsid w:val="00A576F0"/>
    <w:rsid w:val="00A579EC"/>
    <w:rsid w:val="00A6568C"/>
    <w:rsid w:val="00A67061"/>
    <w:rsid w:val="00A71595"/>
    <w:rsid w:val="00A731D6"/>
    <w:rsid w:val="00A741B9"/>
    <w:rsid w:val="00A74D6F"/>
    <w:rsid w:val="00A76F6F"/>
    <w:rsid w:val="00A77CF5"/>
    <w:rsid w:val="00AA0158"/>
    <w:rsid w:val="00AA117E"/>
    <w:rsid w:val="00AA5382"/>
    <w:rsid w:val="00AA5D5E"/>
    <w:rsid w:val="00AA60FD"/>
    <w:rsid w:val="00AB2BAE"/>
    <w:rsid w:val="00AD100C"/>
    <w:rsid w:val="00AD108A"/>
    <w:rsid w:val="00AD4371"/>
    <w:rsid w:val="00AE2350"/>
    <w:rsid w:val="00AE39E1"/>
    <w:rsid w:val="00AF3D1B"/>
    <w:rsid w:val="00AF43FA"/>
    <w:rsid w:val="00AF4788"/>
    <w:rsid w:val="00B01705"/>
    <w:rsid w:val="00B02E9A"/>
    <w:rsid w:val="00B04F71"/>
    <w:rsid w:val="00B05493"/>
    <w:rsid w:val="00B0666C"/>
    <w:rsid w:val="00B122C5"/>
    <w:rsid w:val="00B2103F"/>
    <w:rsid w:val="00B23C5D"/>
    <w:rsid w:val="00B25EEA"/>
    <w:rsid w:val="00B2646E"/>
    <w:rsid w:val="00B35387"/>
    <w:rsid w:val="00B5306E"/>
    <w:rsid w:val="00B622C1"/>
    <w:rsid w:val="00B67B1D"/>
    <w:rsid w:val="00B71C33"/>
    <w:rsid w:val="00B7286D"/>
    <w:rsid w:val="00B75D01"/>
    <w:rsid w:val="00B857C9"/>
    <w:rsid w:val="00B9016B"/>
    <w:rsid w:val="00B91197"/>
    <w:rsid w:val="00B933CE"/>
    <w:rsid w:val="00B95EDD"/>
    <w:rsid w:val="00B976E8"/>
    <w:rsid w:val="00BA246D"/>
    <w:rsid w:val="00BA7396"/>
    <w:rsid w:val="00BA794C"/>
    <w:rsid w:val="00BB053A"/>
    <w:rsid w:val="00BB128C"/>
    <w:rsid w:val="00BC3ECB"/>
    <w:rsid w:val="00BD4282"/>
    <w:rsid w:val="00BD6224"/>
    <w:rsid w:val="00BD6FBF"/>
    <w:rsid w:val="00BF4F22"/>
    <w:rsid w:val="00C05337"/>
    <w:rsid w:val="00C1712E"/>
    <w:rsid w:val="00C179F9"/>
    <w:rsid w:val="00C24D48"/>
    <w:rsid w:val="00C41CD7"/>
    <w:rsid w:val="00C47859"/>
    <w:rsid w:val="00C5148C"/>
    <w:rsid w:val="00C619A5"/>
    <w:rsid w:val="00C644E8"/>
    <w:rsid w:val="00C72668"/>
    <w:rsid w:val="00C80735"/>
    <w:rsid w:val="00C86230"/>
    <w:rsid w:val="00C87DA2"/>
    <w:rsid w:val="00CD2A63"/>
    <w:rsid w:val="00CD41A3"/>
    <w:rsid w:val="00CD41A6"/>
    <w:rsid w:val="00CD7B75"/>
    <w:rsid w:val="00CF02C0"/>
    <w:rsid w:val="00CF755B"/>
    <w:rsid w:val="00D06D2A"/>
    <w:rsid w:val="00D105F1"/>
    <w:rsid w:val="00D1452F"/>
    <w:rsid w:val="00D1471D"/>
    <w:rsid w:val="00D27C82"/>
    <w:rsid w:val="00D34B56"/>
    <w:rsid w:val="00D34EE9"/>
    <w:rsid w:val="00D419B0"/>
    <w:rsid w:val="00D4308A"/>
    <w:rsid w:val="00D84003"/>
    <w:rsid w:val="00D85000"/>
    <w:rsid w:val="00DA0063"/>
    <w:rsid w:val="00DB7AAE"/>
    <w:rsid w:val="00DE0651"/>
    <w:rsid w:val="00DE6385"/>
    <w:rsid w:val="00DF41FB"/>
    <w:rsid w:val="00E01D21"/>
    <w:rsid w:val="00E042EA"/>
    <w:rsid w:val="00E1582B"/>
    <w:rsid w:val="00E3161B"/>
    <w:rsid w:val="00E3478E"/>
    <w:rsid w:val="00E35989"/>
    <w:rsid w:val="00E36308"/>
    <w:rsid w:val="00E54D7F"/>
    <w:rsid w:val="00E62640"/>
    <w:rsid w:val="00E672E3"/>
    <w:rsid w:val="00E721E9"/>
    <w:rsid w:val="00E75A80"/>
    <w:rsid w:val="00E7680F"/>
    <w:rsid w:val="00E77731"/>
    <w:rsid w:val="00E811AB"/>
    <w:rsid w:val="00E86CD6"/>
    <w:rsid w:val="00E95D2D"/>
    <w:rsid w:val="00EA03B0"/>
    <w:rsid w:val="00EB1CC2"/>
    <w:rsid w:val="00EB1CC7"/>
    <w:rsid w:val="00EB64F0"/>
    <w:rsid w:val="00EC1426"/>
    <w:rsid w:val="00EC2888"/>
    <w:rsid w:val="00EC3E53"/>
    <w:rsid w:val="00EC7466"/>
    <w:rsid w:val="00ED0AF4"/>
    <w:rsid w:val="00ED4766"/>
    <w:rsid w:val="00EE7574"/>
    <w:rsid w:val="00EF08CC"/>
    <w:rsid w:val="00EF399D"/>
    <w:rsid w:val="00F010C7"/>
    <w:rsid w:val="00F11296"/>
    <w:rsid w:val="00F401A7"/>
    <w:rsid w:val="00F461B4"/>
    <w:rsid w:val="00F50A16"/>
    <w:rsid w:val="00F5764F"/>
    <w:rsid w:val="00F628E6"/>
    <w:rsid w:val="00F7433F"/>
    <w:rsid w:val="00FA43F2"/>
    <w:rsid w:val="00FA5ED6"/>
    <w:rsid w:val="00FA79E8"/>
    <w:rsid w:val="00FB6BD5"/>
    <w:rsid w:val="00FB7CBA"/>
    <w:rsid w:val="00FD468A"/>
    <w:rsid w:val="00FE151D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CEDF2"/>
  <w15:docId w15:val="{C549D9B1-1B7C-486F-8858-5D63B3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msolistparagraph0">
    <w:name w:val="msolistparagraph"/>
    <w:basedOn w:val="Normal"/>
    <w:uiPriority w:val="99"/>
    <w:rsid w:val="0005064C"/>
    <w:pPr>
      <w:ind w:left="720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Default">
    <w:name w:val="Default"/>
    <w:rsid w:val="000506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2884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D2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55C1-B925-48C9-8489-68D94E40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keywords>[SEC=BEZ OZNAKE TAJNOSTI]</cp:keywords>
  <cp:lastModifiedBy>Anastasija Perucica</cp:lastModifiedBy>
  <cp:revision>3</cp:revision>
  <cp:lastPrinted>2024-08-30T06:26:00Z</cp:lastPrinted>
  <dcterms:created xsi:type="dcterms:W3CDTF">2025-11-18T14:25:00Z</dcterms:created>
  <dcterms:modified xsi:type="dcterms:W3CDTF">2025-11-19T07:40:00Z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B5DE8783994A4EF596F6089B770A6DB9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7E4AE12BF0A7BB803220B27E78F50CE1806E2157</vt:lpwstr>
  </property>
  <property fmtid="{D5CDD505-2E9C-101B-9397-08002B2CF9AE}" pid="11" name="PM_OriginationTimeStamp">
    <vt:lpwstr>2025-11-18T14:06:02Z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127FCED0750FE163C917E65BC6868119</vt:lpwstr>
  </property>
  <property fmtid="{D5CDD505-2E9C-101B-9397-08002B2CF9AE}" pid="20" name="PM_Hash_Salt">
    <vt:lpwstr>63A2DA78CDEE4EE44497389A940E29AF</vt:lpwstr>
  </property>
  <property fmtid="{D5CDD505-2E9C-101B-9397-08002B2CF9AE}" pid="21" name="PM_Hash_SHA1">
    <vt:lpwstr>4FC073DCD982B62EF0AC4F2A4535E35784328C54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