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715429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  <w:lang w:val="hr-BA"/>
        </w:rPr>
      </w:pPr>
      <w:r w:rsidRPr="00715429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CRNA GORA</w:t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MINISTARSTVO FINANSIJA</w:t>
      </w:r>
    </w:p>
    <w:p w:rsidR="0082570B" w:rsidRPr="00715429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Direktorat</w:t>
      </w:r>
      <w:r w:rsidR="0082570B" w:rsidRPr="00715429">
        <w:rPr>
          <w:b/>
          <w:bCs/>
          <w:noProof/>
          <w:sz w:val="28"/>
          <w:szCs w:val="28"/>
          <w:lang w:val="hr-BA"/>
        </w:rPr>
        <w:t xml:space="preserve"> za ekonomsku politiku i razvoj</w:t>
      </w:r>
    </w:p>
    <w:p w:rsidR="0082570B" w:rsidRPr="00715429" w:rsidRDefault="0082570B" w:rsidP="00D61692">
      <w:pPr>
        <w:rPr>
          <w:rFonts w:cs="Calibri"/>
          <w:noProof/>
          <w:lang w:val="hr-BA"/>
        </w:rPr>
      </w:pPr>
    </w:p>
    <w:p w:rsidR="0082570B" w:rsidRPr="00715429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  <w:lang w:val="hr-BA"/>
        </w:rPr>
      </w:pPr>
      <w:r w:rsidRPr="00715429">
        <w:rPr>
          <w:rFonts w:cs="Calibri"/>
          <w:b/>
          <w:bCs/>
          <w:iCs/>
          <w:noProof/>
          <w:sz w:val="52"/>
          <w:szCs w:val="52"/>
          <w:lang w:val="hr-BA"/>
        </w:rPr>
        <w:t>MJESEČNI MAKROEKONOMSKI INDIKATORI</w:t>
      </w:r>
    </w:p>
    <w:p w:rsidR="0082570B" w:rsidRPr="00715429" w:rsidRDefault="00B43B1F" w:rsidP="0002564B">
      <w:pPr>
        <w:spacing w:line="240" w:lineRule="auto"/>
        <w:jc w:val="center"/>
        <w:outlineLvl w:val="0"/>
        <w:rPr>
          <w:rFonts w:cs="Calibri"/>
          <w:b/>
          <w:bCs/>
          <w:noProof/>
          <w:sz w:val="32"/>
          <w:szCs w:val="32"/>
          <w:lang w:val="hr-BA"/>
        </w:rPr>
      </w:pPr>
      <w:r>
        <w:rPr>
          <w:rFonts w:cs="Calibri"/>
          <w:b/>
          <w:bCs/>
          <w:noProof/>
          <w:sz w:val="32"/>
          <w:szCs w:val="32"/>
          <w:lang w:val="hr-BA"/>
        </w:rPr>
        <w:t>April</w:t>
      </w:r>
      <w:r w:rsidR="007D0106" w:rsidRPr="00715429">
        <w:rPr>
          <w:rFonts w:cs="Calibri"/>
          <w:b/>
          <w:bCs/>
          <w:noProof/>
          <w:sz w:val="32"/>
          <w:szCs w:val="32"/>
          <w:lang w:val="hr-BA"/>
        </w:rPr>
        <w:t xml:space="preserve"> </w:t>
      </w:r>
      <w:r w:rsidR="006D2B20" w:rsidRPr="00715429">
        <w:rPr>
          <w:rFonts w:cs="Calibri"/>
          <w:b/>
          <w:bCs/>
          <w:noProof/>
          <w:sz w:val="32"/>
          <w:szCs w:val="32"/>
          <w:lang w:val="hr-BA"/>
        </w:rPr>
        <w:t>2014</w:t>
      </w:r>
      <w:r w:rsidR="0082570B" w:rsidRPr="00715429">
        <w:rPr>
          <w:rFonts w:cs="Calibri"/>
          <w:b/>
          <w:bCs/>
          <w:noProof/>
          <w:sz w:val="32"/>
          <w:szCs w:val="32"/>
          <w:lang w:val="hr-BA"/>
        </w:rPr>
        <w:t>.</w:t>
      </w:r>
    </w:p>
    <w:p w:rsidR="0082570B" w:rsidRPr="00715429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</w:p>
    <w:p w:rsidR="0082570B" w:rsidRPr="00715429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</w:p>
    <w:p w:rsidR="0082570B" w:rsidRPr="00715429" w:rsidRDefault="002A1CC2" w:rsidP="00D20CDA">
      <w:pPr>
        <w:spacing w:after="0" w:line="240" w:lineRule="auto"/>
        <w:rPr>
          <w:rFonts w:cs="Calibri"/>
          <w:bCs/>
          <w:noProof/>
          <w:sz w:val="28"/>
          <w:szCs w:val="28"/>
          <w:lang w:val="hr-BA"/>
        </w:rPr>
      </w:pPr>
      <w:r w:rsidRPr="002A1CC2">
        <w:rPr>
          <w:noProof/>
          <w:lang w:val="hr-BA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11pt;margin-top:363pt;width:234.35pt;height:338pt;rotation:-360;z-index:-251659264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B51806" w:rsidRDefault="00B51806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E2362B" w:rsidRDefault="00E2362B" w:rsidP="00E2362B">
                  <w:pPr>
                    <w:pStyle w:val="NoSpacing"/>
                    <w:ind w:left="851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E2362B" w:rsidRPr="00E2362B" w:rsidRDefault="00E2362B" w:rsidP="00E2362B">
                  <w:pPr>
                    <w:pStyle w:val="NoSpacing"/>
                    <w:ind w:left="851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E2362B" w:rsidRDefault="00BC6DA1" w:rsidP="00E2362B">
                  <w:pPr>
                    <w:pStyle w:val="NoSpacing"/>
                    <w:numPr>
                      <w:ilvl w:val="0"/>
                      <w:numId w:val="26"/>
                    </w:numPr>
                    <w:spacing w:after="120"/>
                    <w:ind w:left="850" w:hanging="425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  <w:r w:rsidRPr="00E2362B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Evropska komisija povećala prognoze rasta crnogorske ekonomije za 2014-2015</w:t>
                  </w:r>
                  <w:r w:rsidR="0085138D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.</w:t>
                  </w:r>
                </w:p>
                <w:p w:rsidR="00BC6DA1" w:rsidRPr="00E2362B" w:rsidRDefault="00BC6DA1" w:rsidP="00E2362B">
                  <w:pPr>
                    <w:pStyle w:val="NoSpacing"/>
                    <w:numPr>
                      <w:ilvl w:val="0"/>
                      <w:numId w:val="26"/>
                    </w:numPr>
                    <w:spacing w:after="120"/>
                    <w:ind w:left="850" w:hanging="425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  <w:r w:rsidRPr="00E2362B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Industrijska proizvodnja u martu 2014. bilježi pad usljed pada proizvodnje električne energije</w:t>
                  </w:r>
                  <w:r w:rsidR="0085138D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.</w:t>
                  </w:r>
                </w:p>
                <w:p w:rsidR="00BC6DA1" w:rsidRDefault="00BC6DA1" w:rsidP="00E2362B">
                  <w:pPr>
                    <w:pStyle w:val="NoSpacing"/>
                    <w:numPr>
                      <w:ilvl w:val="0"/>
                      <w:numId w:val="26"/>
                    </w:numPr>
                    <w:spacing w:after="120"/>
                    <w:ind w:left="851" w:hanging="425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  <w:r w:rsidRPr="00BC6DA1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Izvorni prihodi budžeta Crne Gore u martu 2014  veći su za 13,2% u odnosu na mart 2013. godine, a u odnosu na plan za 11,9 %. </w:t>
                  </w:r>
                </w:p>
                <w:p w:rsidR="00BC6DA1" w:rsidRPr="00BC6DA1" w:rsidRDefault="00BC6DA1" w:rsidP="00BC6DA1">
                  <w:pPr>
                    <w:pStyle w:val="NoSpacing"/>
                    <w:numPr>
                      <w:ilvl w:val="0"/>
                      <w:numId w:val="26"/>
                    </w:numPr>
                    <w:ind w:left="851" w:hanging="425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  <w:r w:rsidRPr="00BC6DA1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Neto priliv SDI u periodu januar-februar 2014. iznosio je 45,9 mil.€, rast od 76,1% g-n-g</w:t>
                  </w:r>
                  <w:r w:rsidR="0085138D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.</w:t>
                  </w:r>
                </w:p>
                <w:p w:rsidR="00BC6DA1" w:rsidRPr="00BC6DA1" w:rsidRDefault="00BC6DA1" w:rsidP="00BC6DA1">
                  <w:pPr>
                    <w:pStyle w:val="NoSpacing"/>
                    <w:ind w:left="144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</w:txbxContent>
            </v:textbox>
            <w10:wrap type="tight" anchorx="margin" anchory="margin"/>
          </v:shape>
        </w:pict>
      </w:r>
    </w:p>
    <w:p w:rsidR="0082570B" w:rsidRPr="00715429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  <w:lang w:val="hr-BA"/>
        </w:rPr>
      </w:pPr>
    </w:p>
    <w:p w:rsidR="0082570B" w:rsidRPr="00715429" w:rsidRDefault="0085138D" w:rsidP="00D61692">
      <w:pPr>
        <w:pStyle w:val="NoSpacing"/>
        <w:rPr>
          <w:bCs/>
          <w:iCs/>
          <w:noProof/>
          <w:sz w:val="26"/>
          <w:szCs w:val="26"/>
          <w:lang w:val="hr-BA"/>
        </w:rPr>
      </w:pPr>
      <w:r>
        <w:rPr>
          <w:bCs/>
          <w:iCs/>
          <w:noProof/>
          <w:sz w:val="26"/>
          <w:szCs w:val="26"/>
          <w:lang w:val="hr-BA"/>
        </w:rPr>
        <w:t xml:space="preserve">          </w:t>
      </w:r>
    </w:p>
    <w:p w:rsidR="0082570B" w:rsidRPr="00715429" w:rsidRDefault="0085138D" w:rsidP="00694445">
      <w:pPr>
        <w:pStyle w:val="NoSpacing"/>
        <w:rPr>
          <w:bCs/>
          <w:noProof/>
          <w:sz w:val="28"/>
          <w:szCs w:val="20"/>
          <w:lang w:val="hr-BA"/>
        </w:rPr>
      </w:pPr>
      <w:r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  <w:r w:rsidRPr="00715429">
        <w:rPr>
          <w:b/>
          <w:bCs/>
          <w:noProof/>
          <w:color w:val="000000"/>
          <w:sz w:val="16"/>
          <w:szCs w:val="16"/>
          <w:lang w:val="hr-BA"/>
        </w:rPr>
        <w:t xml:space="preserve">Autori priloga: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Radovan Živković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 Radojka Martinović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, Olja Tomanović, </w:t>
      </w:r>
      <w:r w:rsidR="00074D6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Stanko Jeknić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C646AC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EB54F9">
        <w:rPr>
          <w:bCs/>
          <w:noProof/>
          <w:color w:val="000000"/>
          <w:sz w:val="16"/>
          <w:szCs w:val="16"/>
          <w:lang w:val="hr-BA"/>
        </w:rPr>
        <w:t>Vesna Obradović</w:t>
      </w:r>
      <w:r w:rsidR="004B5F63" w:rsidRPr="00715429">
        <w:rPr>
          <w:bCs/>
          <w:noProof/>
          <w:color w:val="000000"/>
          <w:sz w:val="16"/>
          <w:szCs w:val="16"/>
          <w:lang w:val="hr-BA"/>
        </w:rPr>
        <w:t>, Marija Novosel</w:t>
      </w:r>
      <w:r w:rsidR="00A423C3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 xml:space="preserve"> Zdenka</w:t>
      </w:r>
      <w:r w:rsidR="00F03604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Dabović</w:t>
      </w:r>
      <w:r w:rsidR="00E2362B">
        <w:rPr>
          <w:bCs/>
          <w:noProof/>
          <w:color w:val="000000"/>
          <w:sz w:val="16"/>
          <w:szCs w:val="16"/>
          <w:lang w:val="hr-BA"/>
        </w:rPr>
        <w:t>, Milanka Jovanović</w:t>
      </w: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noProof/>
          <w:lang w:val="hr-BA"/>
        </w:rPr>
      </w:pPr>
    </w:p>
    <w:tbl>
      <w:tblPr>
        <w:tblpPr w:leftFromText="180" w:rightFromText="180" w:vertAnchor="text" w:tblpX="108" w:tblpY="1"/>
        <w:tblOverlap w:val="never"/>
        <w:tblW w:w="10710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/>
      </w:tblPr>
      <w:tblGrid>
        <w:gridCol w:w="6946"/>
        <w:gridCol w:w="3652"/>
        <w:gridCol w:w="112"/>
      </w:tblGrid>
      <w:tr w:rsidR="0082570B" w:rsidRPr="00715429" w:rsidTr="00431253">
        <w:trPr>
          <w:gridAfter w:val="1"/>
          <w:wAfter w:w="112" w:type="dxa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5065E6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</w:pPr>
            <w:r w:rsidRPr="00715429"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  <w:t>Međunarodno okruženje</w:t>
            </w:r>
          </w:p>
        </w:tc>
        <w:tc>
          <w:tcPr>
            <w:tcW w:w="3652" w:type="dxa"/>
            <w:vMerge w:val="restart"/>
            <w:tcBorders>
              <w:bottom w:val="nil"/>
            </w:tcBorders>
            <w:vAlign w:val="center"/>
          </w:tcPr>
          <w:p w:rsidR="0082570B" w:rsidRPr="00715429" w:rsidRDefault="00FE4F9D" w:rsidP="001D21BD">
            <w:pPr>
              <w:spacing w:after="0" w:line="240" w:lineRule="auto"/>
              <w:jc w:val="center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  <w:r w:rsidRPr="00FE4F9D">
              <w:rPr>
                <w:rFonts w:cs="Calibri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120900" cy="187960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2570B" w:rsidRPr="00715429" w:rsidTr="00431253">
        <w:trPr>
          <w:gridAfter w:val="1"/>
          <w:wAfter w:w="112" w:type="dxa"/>
          <w:trHeight w:hRule="exact" w:val="3226"/>
        </w:trPr>
        <w:tc>
          <w:tcPr>
            <w:tcW w:w="6946" w:type="dxa"/>
            <w:tcBorders>
              <w:top w:val="single" w:sz="4" w:space="0" w:color="auto"/>
            </w:tcBorders>
          </w:tcPr>
          <w:p w:rsidR="00F61509" w:rsidRPr="00715429" w:rsidRDefault="00BC3FB6" w:rsidP="004C206D">
            <w:pPr>
              <w:spacing w:line="240" w:lineRule="auto"/>
              <w:jc w:val="both"/>
              <w:rPr>
                <w:sz w:val="20"/>
                <w:lang w:val="hr-BA"/>
              </w:rPr>
            </w:pPr>
            <w:r>
              <w:rPr>
                <w:sz w:val="20"/>
                <w:lang w:val="hr-BA"/>
              </w:rPr>
              <w:t xml:space="preserve">U svojoj najnovijoj projekciji ekonomskih kretanja za EU, zemlje kandidate za prijem i glavne svjetske ekonomije, Evropska komisija (EC) je </w:t>
            </w:r>
            <w:r w:rsidRPr="00814063">
              <w:rPr>
                <w:b/>
                <w:sz w:val="20"/>
                <w:lang w:val="hr-BA"/>
              </w:rPr>
              <w:t>povećala svoje prognoze rasta crnogorske ekonomije u 2014. i 2015. godini sa stopama rasta 2,9 i 3,6%</w:t>
            </w:r>
            <w:r>
              <w:rPr>
                <w:sz w:val="20"/>
                <w:lang w:val="hr-BA"/>
              </w:rPr>
              <w:t xml:space="preserve"> zasnivajući svoje projekcije na istim pretpostavkama na kojima se zasnivaju i projekcije ministarstva finansija Crne Gore od kojih je glavna početak snažnog investicionog ciklusa. Najnovije projekcije ministarstva finansija predviđaju rast od BDP-a 3,5% u obje godine. EC je neznatno revidirala projekcije</w:t>
            </w:r>
            <w:r w:rsidR="00814063">
              <w:rPr>
                <w:sz w:val="20"/>
                <w:lang w:val="hr-BA"/>
              </w:rPr>
              <w:t xml:space="preserve"> rasta BDP-a</w:t>
            </w:r>
            <w:r>
              <w:rPr>
                <w:sz w:val="20"/>
                <w:lang w:val="hr-BA"/>
              </w:rPr>
              <w:t xml:space="preserve"> za E</w:t>
            </w:r>
            <w:r w:rsidR="00917A7F">
              <w:rPr>
                <w:sz w:val="20"/>
                <w:lang w:val="hr-BA"/>
              </w:rPr>
              <w:t>U i Eurozonu u odnosu na zimske</w:t>
            </w:r>
            <w:r>
              <w:rPr>
                <w:sz w:val="20"/>
                <w:lang w:val="hr-BA"/>
              </w:rPr>
              <w:t xml:space="preserve">, sa stopama rasta od 1,7% i 1,2%, </w:t>
            </w:r>
            <w:r w:rsidR="002D3579">
              <w:rPr>
                <w:sz w:val="20"/>
                <w:lang w:val="hr-BA"/>
              </w:rPr>
              <w:t>u 2014. godini. Za 2015</w:t>
            </w:r>
            <w:r w:rsidR="003D78F3">
              <w:rPr>
                <w:sz w:val="20"/>
                <w:lang w:val="hr-BA"/>
              </w:rPr>
              <w:t xml:space="preserve">. </w:t>
            </w:r>
            <w:r w:rsidR="002D3579">
              <w:rPr>
                <w:sz w:val="20"/>
                <w:lang w:val="hr-BA"/>
              </w:rPr>
              <w:t>godinu predviđene stope rasta su ne</w:t>
            </w:r>
            <w:r w:rsidR="00E2362B">
              <w:rPr>
                <w:sz w:val="20"/>
                <w:lang w:val="hr-BA"/>
              </w:rPr>
              <w:t>š</w:t>
            </w:r>
            <w:r w:rsidR="002D3579">
              <w:rPr>
                <w:sz w:val="20"/>
                <w:lang w:val="hr-BA"/>
              </w:rPr>
              <w:t>to više i iznose 2% i 1,7%. Projekcije nezaposlenosti predviđaju slab pad sa 10,8% u 2013, na 10,5 i 10,1 u 2014</w:t>
            </w:r>
            <w:r w:rsidR="003D78F3">
              <w:rPr>
                <w:sz w:val="20"/>
                <w:lang w:val="hr-BA"/>
              </w:rPr>
              <w:t>.</w:t>
            </w:r>
            <w:r w:rsidR="002D3579">
              <w:rPr>
                <w:sz w:val="20"/>
                <w:lang w:val="hr-BA"/>
              </w:rPr>
              <w:t xml:space="preserve"> i 2015 . godini u EU. U Eurozoni se očekuje da će stopa rasta padati sa 12,0% u 2013</w:t>
            </w:r>
            <w:r w:rsidR="003D78F3">
              <w:rPr>
                <w:sz w:val="20"/>
                <w:lang w:val="hr-BA"/>
              </w:rPr>
              <w:t>. na 11,8% i 11,4%</w:t>
            </w:r>
            <w:r w:rsidR="002D3579">
              <w:rPr>
                <w:sz w:val="20"/>
                <w:lang w:val="hr-BA"/>
              </w:rPr>
              <w:t>. Projekcije inflacije</w:t>
            </w:r>
            <w:r w:rsidR="00814063">
              <w:rPr>
                <w:sz w:val="20"/>
                <w:lang w:val="hr-BA"/>
              </w:rPr>
              <w:t xml:space="preserve"> predviđaju blago jačanje stopa a predviđene stope za EU su 1,0 i 1,5 i u Eurozonu 0,8 i 1,2 u 2014</w:t>
            </w:r>
            <w:r w:rsidR="00432066">
              <w:rPr>
                <w:sz w:val="20"/>
                <w:lang w:val="hr-BA"/>
              </w:rPr>
              <w:t>.</w:t>
            </w:r>
            <w:r w:rsidR="00814063">
              <w:rPr>
                <w:sz w:val="20"/>
                <w:lang w:val="hr-BA"/>
              </w:rPr>
              <w:t xml:space="preserve"> i 2015. godini,</w:t>
            </w:r>
            <w:r w:rsidR="00432066">
              <w:rPr>
                <w:sz w:val="20"/>
                <w:lang w:val="hr-BA"/>
              </w:rPr>
              <w:t xml:space="preserve"> </w:t>
            </w:r>
            <w:r w:rsidR="00814063">
              <w:rPr>
                <w:sz w:val="20"/>
                <w:lang w:val="hr-BA"/>
              </w:rPr>
              <w:t>respektivno.</w:t>
            </w:r>
          </w:p>
          <w:p w:rsidR="00754D46" w:rsidRPr="00715429" w:rsidRDefault="00754D46" w:rsidP="001D21BD">
            <w:pPr>
              <w:shd w:val="clear" w:color="auto" w:fill="FFFFFF"/>
              <w:spacing w:line="240" w:lineRule="auto"/>
              <w:jc w:val="both"/>
              <w:textAlignment w:val="top"/>
              <w:rPr>
                <w:noProof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tcBorders>
              <w:top w:val="nil"/>
            </w:tcBorders>
            <w:vAlign w:val="center"/>
          </w:tcPr>
          <w:p w:rsidR="0082570B" w:rsidRPr="00715429" w:rsidRDefault="0082570B" w:rsidP="001D21BD">
            <w:pPr>
              <w:spacing w:after="0" w:line="240" w:lineRule="auto"/>
              <w:ind w:left="34" w:hanging="34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</w:p>
        </w:tc>
      </w:tr>
      <w:tr w:rsidR="0082570B" w:rsidRPr="00715429" w:rsidTr="00431253">
        <w:trPr>
          <w:gridAfter w:val="1"/>
          <w:wAfter w:w="11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715429" w:rsidRDefault="008A31C0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CaptionChar"/>
                <w:noProof/>
                <w:lang w:val="hr-BA"/>
              </w:rPr>
            </w:pPr>
            <w:r w:rsidRPr="00715429">
              <w:rPr>
                <w:rStyle w:val="CaptionChar"/>
                <w:noProof/>
                <w:lang w:val="hr-BA"/>
              </w:rPr>
              <w:t>Realni sektor</w:t>
            </w:r>
          </w:p>
        </w:tc>
        <w:tc>
          <w:tcPr>
            <w:tcW w:w="3652" w:type="dxa"/>
            <w:vMerge w:val="restart"/>
            <w:vAlign w:val="center"/>
          </w:tcPr>
          <w:p w:rsidR="0082570B" w:rsidRPr="00715429" w:rsidRDefault="00CC51BF" w:rsidP="001D21BD">
            <w:pPr>
              <w:spacing w:after="0" w:line="240" w:lineRule="auto"/>
              <w:ind w:left="-250"/>
              <w:jc w:val="center"/>
              <w:rPr>
                <w:noProof/>
                <w:lang w:val="hr-BA"/>
              </w:rPr>
            </w:pPr>
            <w:r w:rsidRPr="00CC51BF">
              <w:rPr>
                <w:noProof/>
              </w:rPr>
              <w:drawing>
                <wp:inline distT="0" distB="0" distL="0" distR="0">
                  <wp:extent cx="2160000" cy="1818830"/>
                  <wp:effectExtent l="0" t="0" r="0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7D0106" w:rsidRPr="00715429" w:rsidTr="00B51806">
        <w:trPr>
          <w:gridAfter w:val="1"/>
          <w:wAfter w:w="112" w:type="dxa"/>
          <w:trHeight w:hRule="exact" w:val="3289"/>
        </w:trPr>
        <w:tc>
          <w:tcPr>
            <w:tcW w:w="6946" w:type="dxa"/>
            <w:tcBorders>
              <w:top w:val="single" w:sz="4" w:space="0" w:color="auto"/>
            </w:tcBorders>
          </w:tcPr>
          <w:p w:rsidR="00CC51BF" w:rsidRDefault="00CC51BF" w:rsidP="00CC51BF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Industrijska proizvodnja u martu 2014. bilježi pad po svim pokazateljima usljed pada proizvodnje električne energije.</w:t>
            </w:r>
            <w:r>
              <w:rPr>
                <w:sz w:val="20"/>
                <w:szCs w:val="20"/>
              </w:rPr>
              <w:t xml:space="preserve"> Pad industrijske proizvodnje u martu (g-n-g) iznosio je 20,6%, u periodu januar-mart (g-n-g) 3,9%, i u odnosu na februar tekuće godine 6,5%, što je rezultat pada proizvodnje električne energije u martu (g-n-g) od 48,1%, u periodu januar-mart (g-n-g) 24,7%, i u odnosu na februar tekuće godine 29,4%. Proizvodnja u sektorima „prerađivačka industrija“ i „vađenje rude i kamena“ bilježi rast za prva tri mjeseca 2014. od 25,2 i 16,1%, što je ublažilo pad ukupne industrijske proizvodnje. Promet u trgovini na malo u martu (g-n-g) bilježi rast u tekućim cijenama od 2,5%, dok je rast u stalnim cijenama iznosio 4,3%, što je rezultat pada cijena robe na malo. Turistički promet u martu 2014.(g-n-g) bilježi pad dolazaka turista od 4,5% i rast noćenja od 5,3%, dok je za prva tri mjeseca (g-n-g) zabilježen rast dolazaka i noćenja od 2,2 i 8,2%, respektivno. Veći rast noćenja nego dolazaka ukazuje na duže zadržavanje turista u našoj zemlji.</w:t>
            </w:r>
          </w:p>
          <w:p w:rsidR="00B355D6" w:rsidRPr="00715429" w:rsidRDefault="00B355D6" w:rsidP="001D21BD">
            <w:pPr>
              <w:spacing w:line="240" w:lineRule="auto"/>
              <w:jc w:val="both"/>
              <w:rPr>
                <w:rFonts w:cs="Calibri"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vAlign w:val="center"/>
          </w:tcPr>
          <w:p w:rsidR="007D0106" w:rsidRPr="00715429" w:rsidRDefault="007D0106" w:rsidP="001D21BD">
            <w:pPr>
              <w:spacing w:after="119" w:line="240" w:lineRule="auto"/>
              <w:jc w:val="center"/>
              <w:rPr>
                <w:noProof/>
                <w:lang w:val="hr-BA"/>
              </w:rPr>
            </w:pPr>
          </w:p>
        </w:tc>
      </w:tr>
      <w:tr w:rsidR="007D0106" w:rsidRPr="00715429" w:rsidTr="00431253">
        <w:trPr>
          <w:gridAfter w:val="1"/>
          <w:wAfter w:w="11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7D0106" w:rsidRPr="00715429" w:rsidRDefault="008A31C0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Cijene</w:t>
            </w:r>
          </w:p>
        </w:tc>
        <w:tc>
          <w:tcPr>
            <w:tcW w:w="3652" w:type="dxa"/>
            <w:vMerge w:val="restart"/>
            <w:vAlign w:val="center"/>
          </w:tcPr>
          <w:p w:rsidR="007D0106" w:rsidRPr="00715429" w:rsidRDefault="00CC51BF" w:rsidP="001D21BD">
            <w:pPr>
              <w:spacing w:after="0" w:line="240" w:lineRule="auto"/>
              <w:ind w:left="-250"/>
              <w:jc w:val="center"/>
              <w:rPr>
                <w:b/>
                <w:noProof/>
                <w:sz w:val="20"/>
                <w:szCs w:val="20"/>
                <w:lang w:val="hr-BA"/>
              </w:rPr>
            </w:pPr>
            <w:r w:rsidRPr="00CC51BF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2242704" cy="1723159"/>
                  <wp:effectExtent l="0" t="0" r="0" b="0"/>
                  <wp:docPr id="4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7D0106" w:rsidRPr="00715429" w:rsidTr="00B51806">
        <w:trPr>
          <w:gridAfter w:val="1"/>
          <w:wAfter w:w="112" w:type="dxa"/>
          <w:trHeight w:hRule="exact" w:val="3742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CC51BF" w:rsidRPr="00CF4446" w:rsidRDefault="00CC51BF" w:rsidP="00CC51BF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Inflacija mjerena h</w:t>
            </w:r>
            <w:r w:rsidRPr="00CF4446">
              <w:rPr>
                <w:rFonts w:asciiTheme="minorHAnsi" w:hAnsiTheme="minorHAnsi"/>
                <w:b/>
                <w:sz w:val="20"/>
                <w:szCs w:val="20"/>
              </w:rPr>
              <w:t>armonizovani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m</w:t>
            </w:r>
            <w:r w:rsidRPr="00CF4446">
              <w:rPr>
                <w:rFonts w:asciiTheme="minorHAnsi" w:hAnsiTheme="minorHAnsi"/>
                <w:b/>
                <w:sz w:val="20"/>
                <w:szCs w:val="20"/>
              </w:rPr>
              <w:t xml:space="preserve"> indeks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om potrošačkih cijena </w:t>
            </w:r>
            <w:r w:rsidRPr="00CF4446">
              <w:rPr>
                <w:rFonts w:asciiTheme="minorHAnsi" w:hAnsiTheme="minorHAnsi"/>
                <w:b/>
                <w:sz w:val="20"/>
                <w:szCs w:val="20"/>
              </w:rPr>
              <w:t xml:space="preserve">(HICP)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u martu 2014. bilježi pad od 0,1% u odnosu na prethodni mjesec i pad od 0,4% u odnosu na isti mjesec prošle godine</w:t>
            </w:r>
            <w:r w:rsidRPr="00CF4446"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/>
                <w:sz w:val="20"/>
                <w:szCs w:val="20"/>
              </w:rPr>
              <w:t>Najviše pozitivne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stope rasta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u martu (g-n-g) 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zabilježene su u grup</w:t>
            </w:r>
            <w:r>
              <w:rPr>
                <w:rFonts w:asciiTheme="minorHAnsi" w:hAnsiTheme="minorHAnsi"/>
                <w:sz w:val="20"/>
                <w:szCs w:val="20"/>
              </w:rPr>
              <w:t>ama „alkoholna pića i duvan“ (7,2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%)</w:t>
            </w:r>
            <w:r>
              <w:rPr>
                <w:rFonts w:asciiTheme="minorHAnsi" w:hAnsiTheme="minorHAnsi"/>
                <w:sz w:val="20"/>
                <w:szCs w:val="20"/>
              </w:rPr>
              <w:t>, „zdravlje“ (2,7%) i „hoteli i restorani“ (1,3%), dok su najveće negativne stope zabilježene u grupama „hrana i bezalkoholna pića“ (-1,2%), „odjeća i obuća“ (-4,9%), „prevoz“ (-1,6%) i „komunikacije“ (-4,3%). Najznačajniji uticaj u procentnim poenima na inflaciju u martu (g-n-g), imale su grupe „hrana i bezalkoholna pića“ (-0,4p.p), „odjeća i obuća“ (-0,2</w:t>
            </w:r>
            <w:r w:rsidR="000C5FB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p.p), „prevoz“ (-0,2</w:t>
            </w:r>
            <w:r w:rsidR="000C5FB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p.p), „alkoholna pića i duvan“ (0,4</w:t>
            </w:r>
            <w:r w:rsidR="000C5FB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p.p) i „hoteli i restorani“ (0,2</w:t>
            </w:r>
            <w:r w:rsidR="000C5FB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p.p).</w:t>
            </w:r>
            <w:r w:rsidR="006A6FB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Indeks potrošačkih cijena (CPI) </w:t>
            </w:r>
            <w:r>
              <w:rPr>
                <w:rFonts w:asciiTheme="minorHAnsi" w:hAnsiTheme="minorHAnsi"/>
                <w:sz w:val="20"/>
                <w:szCs w:val="20"/>
              </w:rPr>
              <w:t>u martu 2014. (g-n-g) pokazuje pad od 0,9%, dok je u odnosu na prethodni mjesec zabilježan blagi rast cijena od 0,1%.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Cijene proizvođača industrijskih proizvoda u </w:t>
            </w:r>
            <w:r>
              <w:rPr>
                <w:rFonts w:asciiTheme="minorHAnsi" w:hAnsiTheme="minorHAnsi"/>
                <w:sz w:val="20"/>
                <w:szCs w:val="20"/>
              </w:rPr>
              <w:t>martu 2014.(g-n-g)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niže su </w:t>
            </w:r>
            <w:r>
              <w:rPr>
                <w:rFonts w:asciiTheme="minorHAnsi" w:hAnsiTheme="minorHAnsi"/>
                <w:sz w:val="20"/>
                <w:szCs w:val="20"/>
              </w:rPr>
              <w:t>za 0,3%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, dok su u odnosu na </w:t>
            </w:r>
            <w:r>
              <w:rPr>
                <w:rFonts w:asciiTheme="minorHAnsi" w:hAnsiTheme="minorHAnsi"/>
                <w:sz w:val="20"/>
                <w:szCs w:val="20"/>
              </w:rPr>
              <w:t>februar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tekuće godine </w:t>
            </w:r>
            <w:r>
              <w:rPr>
                <w:rFonts w:asciiTheme="minorHAnsi" w:hAnsiTheme="minorHAnsi"/>
                <w:sz w:val="20"/>
                <w:szCs w:val="20"/>
              </w:rPr>
              <w:t>zabilježile rast od 0,2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%.</w:t>
            </w:r>
            <w:r w:rsidR="00D27200">
              <w:rPr>
                <w:rFonts w:asciiTheme="minorHAnsi" w:hAnsiTheme="minorHAnsi"/>
                <w:sz w:val="20"/>
                <w:szCs w:val="20"/>
              </w:rPr>
              <w:t xml:space="preserve"> I</w:t>
            </w:r>
            <w:r>
              <w:rPr>
                <w:rFonts w:asciiTheme="minorHAnsi" w:hAnsiTheme="minorHAnsi"/>
                <w:sz w:val="20"/>
                <w:szCs w:val="20"/>
              </w:rPr>
              <w:t>nflacija</w:t>
            </w:r>
            <w:r w:rsidR="00D27200">
              <w:rPr>
                <w:rFonts w:asciiTheme="minorHAnsi" w:hAnsiTheme="minorHAnsi"/>
                <w:sz w:val="20"/>
                <w:szCs w:val="20"/>
              </w:rPr>
              <w:t xml:space="preserve"> u Evropskoj u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niji u </w:t>
            </w:r>
            <w:r>
              <w:rPr>
                <w:rFonts w:asciiTheme="minorHAnsi" w:hAnsiTheme="minorHAnsi"/>
                <w:sz w:val="20"/>
                <w:szCs w:val="20"/>
              </w:rPr>
              <w:t>martu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2014. </w:t>
            </w:r>
            <w:r>
              <w:rPr>
                <w:rFonts w:asciiTheme="minorHAnsi" w:hAnsiTheme="minorHAnsi"/>
                <w:sz w:val="20"/>
                <w:szCs w:val="20"/>
              </w:rPr>
              <w:t>g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odine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(g-n-g) 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iznosila je </w:t>
            </w:r>
            <w:r>
              <w:rPr>
                <w:rFonts w:asciiTheme="minorHAnsi" w:hAnsiTheme="minorHAnsi"/>
                <w:sz w:val="20"/>
                <w:szCs w:val="20"/>
              </w:rPr>
              <w:t>0,6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%, dok je u Eu</w:t>
            </w:r>
            <w:r w:rsidR="006A6FB2">
              <w:rPr>
                <w:rFonts w:asciiTheme="minorHAnsi" w:hAnsiTheme="minorHAnsi"/>
                <w:sz w:val="20"/>
                <w:szCs w:val="20"/>
              </w:rPr>
              <w:t>ro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zoni </w:t>
            </w:r>
            <w:r>
              <w:rPr>
                <w:rFonts w:asciiTheme="minorHAnsi" w:hAnsiTheme="minorHAnsi"/>
                <w:sz w:val="20"/>
                <w:szCs w:val="20"/>
              </w:rPr>
              <w:t>iznosila 0,5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%.</w:t>
            </w:r>
          </w:p>
          <w:p w:rsidR="00CC51BF" w:rsidRDefault="00CC51BF" w:rsidP="00CC51BF"/>
          <w:p w:rsidR="00E0598B" w:rsidRPr="00CF4446" w:rsidRDefault="00E0598B" w:rsidP="00E0598B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124730" w:rsidRPr="00715429" w:rsidRDefault="00124730" w:rsidP="00E0598B">
            <w:pPr>
              <w:spacing w:line="240" w:lineRule="auto"/>
              <w:jc w:val="both"/>
              <w:rPr>
                <w:rFonts w:asciiTheme="minorHAnsi" w:hAnsiTheme="minorHAnsi" w:cs="Arial-ItalicMT"/>
                <w:b/>
                <w:iCs/>
                <w:sz w:val="20"/>
                <w:szCs w:val="20"/>
                <w:lang w:val="hr-BA"/>
              </w:rPr>
            </w:pPr>
          </w:p>
          <w:p w:rsidR="00B355D6" w:rsidRPr="00715429" w:rsidRDefault="00B355D6" w:rsidP="00E0598B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tcBorders>
              <w:bottom w:val="thinThickSmallGap" w:sz="18" w:space="0" w:color="auto"/>
            </w:tcBorders>
            <w:vAlign w:val="center"/>
          </w:tcPr>
          <w:p w:rsidR="007D0106" w:rsidRPr="00715429" w:rsidRDefault="007D0106" w:rsidP="001D21BD">
            <w:pPr>
              <w:pStyle w:val="NoSpacing"/>
              <w:jc w:val="both"/>
              <w:rPr>
                <w:noProof/>
                <w:sz w:val="20"/>
                <w:szCs w:val="20"/>
                <w:lang w:val="hr-BA"/>
              </w:rPr>
            </w:pPr>
          </w:p>
        </w:tc>
      </w:tr>
      <w:tr w:rsidR="00422784" w:rsidRPr="00715429" w:rsidTr="00431253">
        <w:trPr>
          <w:gridAfter w:val="1"/>
          <w:wAfter w:w="112" w:type="dxa"/>
          <w:trHeight w:hRule="exact" w:val="3515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A3560C" w:rsidRPr="00A3560C" w:rsidRDefault="002A1639" w:rsidP="00A3560C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2"/>
                <w:szCs w:val="20"/>
                <w:lang w:val="hr-BA"/>
              </w:rPr>
            </w:pPr>
            <w:r w:rsidRPr="00A3560C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Zaposlenost i zarad</w:t>
            </w:r>
            <w:r w:rsidR="001141E2" w:rsidRPr="00A3560C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e</w:t>
            </w:r>
          </w:p>
          <w:p w:rsidR="001141E2" w:rsidRPr="00A3560C" w:rsidRDefault="0046659C" w:rsidP="0046659C">
            <w:pPr>
              <w:pStyle w:val="NormalWeb"/>
              <w:pBdr>
                <w:top w:val="single" w:sz="4" w:space="1" w:color="auto"/>
              </w:pBdr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2"/>
                <w:szCs w:val="20"/>
                <w:lang w:val="hr-BA"/>
              </w:rPr>
            </w:pPr>
            <w:r w:rsidRPr="00BC6DA1">
              <w:rPr>
                <w:rFonts w:asciiTheme="minorHAnsi" w:hAnsiTheme="minorHAnsi" w:cstheme="minorHAnsi"/>
                <w:b/>
                <w:sz w:val="20"/>
                <w:szCs w:val="18"/>
              </w:rPr>
              <w:t>K</w:t>
            </w:r>
            <w:r w:rsidR="001141E2" w:rsidRPr="00BC6DA1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retanja </w:t>
            </w:r>
            <w:r w:rsidRPr="00BC6DA1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 na tržištu rada </w:t>
            </w:r>
            <w:r w:rsidR="001141E2" w:rsidRPr="00BC6DA1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za prvi kvartal 2014. pokazuju rast zaposlenosti od 0,8% </w:t>
            </w:r>
            <w:r w:rsidR="00B51806" w:rsidRPr="00BC6DA1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 </w:t>
            </w:r>
            <w:r w:rsidR="0018331D" w:rsidRPr="00BC6DA1">
              <w:rPr>
                <w:rFonts w:asciiTheme="minorHAnsi" w:hAnsiTheme="minorHAnsi" w:cstheme="minorHAnsi"/>
                <w:b/>
                <w:sz w:val="20"/>
                <w:szCs w:val="18"/>
              </w:rPr>
              <w:t>(</w:t>
            </w:r>
            <w:r w:rsidR="00B51806" w:rsidRPr="00BC6DA1">
              <w:rPr>
                <w:rFonts w:asciiTheme="minorHAnsi" w:hAnsiTheme="minorHAnsi" w:cstheme="minorHAnsi"/>
                <w:b/>
                <w:sz w:val="20"/>
                <w:szCs w:val="18"/>
              </w:rPr>
              <w:t>g-n-g</w:t>
            </w:r>
            <w:r w:rsidR="0018331D" w:rsidRPr="00BC6DA1">
              <w:rPr>
                <w:rFonts w:asciiTheme="minorHAnsi" w:hAnsiTheme="minorHAnsi" w:cstheme="minorHAnsi"/>
                <w:b/>
                <w:sz w:val="20"/>
                <w:szCs w:val="18"/>
              </w:rPr>
              <w:t>)</w:t>
            </w:r>
            <w:r w:rsidR="00B51806" w:rsidRPr="00BC6DA1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, ali i </w:t>
            </w:r>
            <w:r w:rsidR="001141E2" w:rsidRPr="00BC6DA1">
              <w:rPr>
                <w:rFonts w:asciiTheme="minorHAnsi" w:hAnsiTheme="minorHAnsi" w:cstheme="minorHAnsi"/>
                <w:b/>
                <w:sz w:val="20"/>
                <w:szCs w:val="18"/>
              </w:rPr>
              <w:t>rast broja nezaposlenih za 6,8%.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 xml:space="preserve">  Broj zaposlenih u martu 2014. je iznosio 170</w:t>
            </w:r>
            <w:r w:rsidR="00B51806">
              <w:rPr>
                <w:rFonts w:asciiTheme="minorHAnsi" w:hAnsiTheme="minorHAnsi" w:cstheme="minorHAnsi"/>
                <w:sz w:val="20"/>
                <w:szCs w:val="18"/>
              </w:rPr>
              <w:t>.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 xml:space="preserve">177 i </w:t>
            </w:r>
            <w:r w:rsidR="00B51806">
              <w:rPr>
                <w:rFonts w:asciiTheme="minorHAnsi" w:hAnsiTheme="minorHAnsi" w:cstheme="minorHAnsi"/>
                <w:sz w:val="20"/>
                <w:szCs w:val="18"/>
              </w:rPr>
              <w:t xml:space="preserve">veći je 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>za 1,4</w:t>
            </w:r>
            <w:r w:rsidR="00B51806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2D5187">
              <w:rPr>
                <w:rFonts w:asciiTheme="minorHAnsi" w:hAnsiTheme="minorHAnsi" w:cstheme="minorHAnsi"/>
                <w:sz w:val="20"/>
                <w:szCs w:val="18"/>
              </w:rPr>
              <w:t>(g-n-g)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>.  Broj nezaposlenih u martu 2014. je iznosio 34</w:t>
            </w:r>
            <w:r w:rsidR="00B51806">
              <w:rPr>
                <w:rFonts w:asciiTheme="minorHAnsi" w:hAnsiTheme="minorHAnsi" w:cstheme="minorHAnsi"/>
                <w:sz w:val="20"/>
                <w:szCs w:val="18"/>
              </w:rPr>
              <w:t>.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>671, a povećan je u odnosu na mart 2013. za 5,1%. Stopa nezaposlenosti je povećana sa 14,2% u martu 2013, na 14,9% u martu 2014. Došlo je do značajnog porasta zapošljavanja posredstvom Zavoda za zapošljavanje za 38,4% godišnje. Broj lica koja prvi put traže zaposlenje se i dalje znača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jno povećava,</w:t>
            </w:r>
            <w:r w:rsidR="006A5F7F">
              <w:rPr>
                <w:rFonts w:asciiTheme="minorHAnsi" w:hAnsiTheme="minorHAnsi" w:cstheme="minorHAnsi"/>
                <w:sz w:val="20"/>
                <w:szCs w:val="18"/>
              </w:rPr>
              <w:t xml:space="preserve"> a u martu 2014. je iznosio</w:t>
            </w:r>
            <w:r w:rsidR="00B51806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6A5F7F">
              <w:rPr>
                <w:rFonts w:asciiTheme="minorHAnsi" w:hAnsiTheme="minorHAnsi" w:cstheme="minorHAnsi"/>
                <w:sz w:val="20"/>
                <w:szCs w:val="18"/>
              </w:rPr>
              <w:t>10.089 odnosno 16,2% g-n-g,</w:t>
            </w:r>
            <w:r w:rsidR="00B51806" w:rsidRPr="00A3560C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>od čega se na visokoškolce odnosi 4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.</w:t>
            </w:r>
            <w:r w:rsidR="00793A27">
              <w:rPr>
                <w:rFonts w:asciiTheme="minorHAnsi" w:hAnsiTheme="minorHAnsi" w:cstheme="minorHAnsi"/>
                <w:sz w:val="20"/>
                <w:szCs w:val="18"/>
              </w:rPr>
              <w:t>362</w:t>
            </w:r>
            <w:r w:rsidR="006A5F7F">
              <w:rPr>
                <w:rFonts w:asciiTheme="minorHAnsi" w:hAnsiTheme="minorHAnsi" w:cstheme="minorHAnsi"/>
                <w:sz w:val="20"/>
                <w:szCs w:val="18"/>
              </w:rPr>
              <w:t xml:space="preserve"> (povećanje 40,3% g-n-g)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>. U martu 2014 je oglašeno 3</w:t>
            </w:r>
            <w:r w:rsidR="00B51806">
              <w:rPr>
                <w:rFonts w:asciiTheme="minorHAnsi" w:hAnsiTheme="minorHAnsi" w:cstheme="minorHAnsi"/>
                <w:sz w:val="20"/>
                <w:szCs w:val="18"/>
              </w:rPr>
              <w:t>.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>077 slobodnih radnih mjesta il</w:t>
            </w:r>
            <w:r w:rsidR="00B51806">
              <w:rPr>
                <w:rFonts w:asciiTheme="minorHAnsi" w:hAnsiTheme="minorHAnsi" w:cstheme="minorHAnsi"/>
                <w:sz w:val="20"/>
                <w:szCs w:val="18"/>
              </w:rPr>
              <w:t>i 160,3% više nego u martu 2014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>. Broj izdatih radnih dozvola za strance je iznosio 1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.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>790. Bruto zarade u martu 2014. su iznosile 720€ (</w:t>
            </w:r>
            <w:r w:rsidRPr="00A3560C">
              <w:rPr>
                <w:rFonts w:asciiTheme="minorHAnsi" w:hAnsiTheme="minorHAnsi" w:cstheme="minorHAnsi"/>
                <w:sz w:val="20"/>
                <w:szCs w:val="18"/>
              </w:rPr>
              <w:t xml:space="preserve"> manje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 xml:space="preserve">za 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 xml:space="preserve">0,5% </w:t>
            </w:r>
            <w:r w:rsidR="00B51806">
              <w:rPr>
                <w:rFonts w:asciiTheme="minorHAnsi" w:hAnsiTheme="minorHAnsi" w:cstheme="minorHAnsi"/>
                <w:sz w:val="20"/>
                <w:szCs w:val="18"/>
              </w:rPr>
              <w:t xml:space="preserve"> g-n-g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>), dok su neto zarade 474€ (1,4</w:t>
            </w:r>
            <w:r w:rsidR="00A3560C">
              <w:rPr>
                <w:rFonts w:asciiTheme="minorHAnsi" w:hAnsiTheme="minorHAnsi" w:cstheme="minorHAnsi"/>
                <w:sz w:val="20"/>
                <w:szCs w:val="18"/>
              </w:rPr>
              <w:t xml:space="preserve"> g-n-g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 xml:space="preserve">). Realne neto zarade su smanjene 0,8%, dok je potrošačka korpa u martu 2014. iznosila 792€, </w:t>
            </w:r>
            <w:r w:rsidRPr="00A3560C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što je smanjenje od</w:t>
            </w:r>
            <w:r w:rsidR="001141E2" w:rsidRPr="00A3560C">
              <w:rPr>
                <w:rFonts w:asciiTheme="minorHAnsi" w:hAnsiTheme="minorHAnsi" w:cstheme="minorHAnsi"/>
                <w:sz w:val="20"/>
                <w:szCs w:val="18"/>
              </w:rPr>
              <w:t xml:space="preserve"> 1,2%.</w:t>
            </w:r>
          </w:p>
          <w:p w:rsidR="00422784" w:rsidRPr="00E34692" w:rsidRDefault="00422784" w:rsidP="0046659C">
            <w:pPr>
              <w:pStyle w:val="NormalWeb"/>
              <w:pBdr>
                <w:top w:val="single" w:sz="4" w:space="1" w:color="auto"/>
              </w:pBdr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  <w:p w:rsidR="00422784" w:rsidRPr="00E34692" w:rsidRDefault="00422784" w:rsidP="00E34692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  <w:p w:rsidR="00422784" w:rsidRPr="00E34692" w:rsidRDefault="00422784" w:rsidP="00E34692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</w:tc>
        <w:tc>
          <w:tcPr>
            <w:tcW w:w="3652" w:type="dxa"/>
            <w:tcBorders>
              <w:bottom w:val="thinThickSmallGap" w:sz="18" w:space="0" w:color="auto"/>
            </w:tcBorders>
            <w:vAlign w:val="center"/>
          </w:tcPr>
          <w:p w:rsidR="00422784" w:rsidRPr="00715429" w:rsidRDefault="002A1CC2" w:rsidP="001D21BD">
            <w:pPr>
              <w:pStyle w:val="NoSpacing"/>
              <w:jc w:val="center"/>
              <w:rPr>
                <w:noProof/>
                <w:sz w:val="20"/>
                <w:szCs w:val="20"/>
                <w:lang w:val="hr-BA"/>
              </w:rPr>
            </w:pPr>
            <w:r w:rsidRPr="002A1CC2">
              <w:rPr>
                <w:noProof/>
                <w:sz w:val="20"/>
                <w:szCs w:val="20"/>
                <w:lang w:val="sr-Latn-CS" w:eastAsia="sr-Latn-C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110.75pt;margin-top:34.3pt;width:44pt;height:11pt;z-index:251659264;mso-position-horizontal-relative:text;mso-position-vertical-relative:text" o:connectortype="straight" strokecolor="#4f81bd [3204]" strokeweight=".25pt">
                  <v:stroke dashstyle="1 1" endarrow="block" endarrowwidth="narrow" endarrowlength="short" endcap="round"/>
                </v:shape>
              </w:pict>
            </w:r>
            <w:r w:rsidR="00881C0B" w:rsidRPr="00881C0B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276475" cy="1752600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A3560C" w:rsidRPr="00715429" w:rsidTr="00B51806">
        <w:trPr>
          <w:trHeight w:hRule="exact" w:val="4335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A3560C" w:rsidRPr="00B51806" w:rsidRDefault="00A3560C" w:rsidP="00A3560C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lastRenderedPageBreak/>
              <w:t>Javne finansije</w:t>
            </w:r>
          </w:p>
          <w:p w:rsidR="00B51806" w:rsidRPr="00B51806" w:rsidRDefault="00B51806" w:rsidP="00B518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5180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r-Latn-CS"/>
              </w:rPr>
              <w:t>Izvorni prihodi budžeta Crne Gore u martu 2014. godine iznosili su 100,7 mil. € i  veći su za 13,2% u odnosu na mart 2013. godine, a u odnosu na plan za 11,9 %.</w:t>
            </w:r>
            <w:r w:rsidRPr="00B51806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  Naplata PDV-a u martu 2014.g.  iznosila  je 34,9 mil.€  i veća  je u odnosu  na plan za 9,9% a 18,4% u odnosu na mart 2013.</w:t>
            </w:r>
            <w:r w:rsidR="002A1CC2">
              <w:rPr>
                <w:rFonts w:asciiTheme="minorHAnsi" w:hAnsiTheme="minorHAnsi" w:cstheme="minorHAnsi"/>
                <w:sz w:val="20"/>
                <w:szCs w:val="20"/>
              </w:rPr>
              <w:pict>
                <v:shape id="_x0000_s1028" type="#_x0000_t32" style="position:absolute;left:0;text-align:left;margin-left:-3.65pt;margin-top:.45pt;width:343.15pt;height:0;z-index:251658240;mso-position-horizontal-relative:text;mso-position-vertical-relative:text" o:connectortype="straight" strokeweight=".5pt"/>
              </w:pict>
            </w:r>
            <w:r w:rsidRPr="00B51806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 godine što je rezultat povećanja više stope PDV-a na 19%, kao i borbe protiv sive ekonomije i rasta ekonomske aktivnosti. </w:t>
            </w:r>
            <w:r w:rsidRPr="00B51806">
              <w:rPr>
                <w:rFonts w:asciiTheme="minorHAnsi" w:hAnsiTheme="minorHAnsi" w:cstheme="minorHAnsi"/>
                <w:sz w:val="20"/>
                <w:szCs w:val="20"/>
              </w:rPr>
              <w:t>Prihodi po osnovu naplate  poreza i doprinosa na zarade  za period januar-mart 2014.g. veći su za 10,8% u odnosu na isti period prošle godine. U istom periodu prihodi od poreza na dobit veći su u odnosu na prethodnu godinu za 119,7 %.</w:t>
            </w:r>
          </w:p>
          <w:p w:rsidR="00B51806" w:rsidRPr="00B51806" w:rsidRDefault="00B51806" w:rsidP="00B518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sr-Latn-CS"/>
              </w:rPr>
            </w:pPr>
            <w:r w:rsidRPr="00B5180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r-Latn-CS"/>
              </w:rPr>
              <w:t>Izdaci budžeta</w:t>
            </w:r>
            <w:r w:rsidRPr="00B51806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  u martu 2014. g. iznosili su  118,4 mil.€ i viši  su u odnosu na isti mjesec 2013. godine  za  14,1 %,  kao i  u odnosu na plan za  6,2 % .</w:t>
            </w:r>
          </w:p>
          <w:p w:rsidR="00B51806" w:rsidRPr="00B51806" w:rsidRDefault="00B51806" w:rsidP="00B518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sr-Latn-CS"/>
              </w:rPr>
            </w:pPr>
            <w:r w:rsidRPr="00B5180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sr-Latn-CS"/>
              </w:rPr>
              <w:t>Deficit budžeta</w:t>
            </w:r>
            <w:r w:rsidRPr="00B51806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 u februaru 2014. godine iznosio je 17,8 mil.€ i manji je  za 17,3 % u odnosu na plan. </w:t>
            </w:r>
          </w:p>
          <w:p w:rsidR="00B51806" w:rsidRPr="002A1639" w:rsidRDefault="00B51806" w:rsidP="00B51806">
            <w:pPr>
              <w:pStyle w:val="NormalWeb"/>
              <w:spacing w:before="0" w:beforeAutospacing="0" w:after="0"/>
              <w:ind w:left="-3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B518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Državni dug</w:t>
            </w:r>
            <w:r w:rsidRPr="00B51806">
              <w:rPr>
                <w:rFonts w:asciiTheme="minorHAnsi" w:hAnsiTheme="minorHAnsi" w:cstheme="minorHAnsi"/>
                <w:sz w:val="20"/>
                <w:szCs w:val="20"/>
              </w:rPr>
              <w:t xml:space="preserve"> na kraju januara 2014. godine iznosio je 1.950,1</w:t>
            </w:r>
            <w:r w:rsidR="000B48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51806">
              <w:rPr>
                <w:rFonts w:asciiTheme="minorHAnsi" w:hAnsiTheme="minorHAnsi" w:cstheme="minorHAnsi"/>
                <w:sz w:val="20"/>
                <w:szCs w:val="20"/>
              </w:rPr>
              <w:t xml:space="preserve">mil.€ ili 55,46% procijenjenog BDP-a i smanjen je za  3,7 </w:t>
            </w:r>
            <w:r w:rsidR="000B4800">
              <w:rPr>
                <w:rFonts w:asciiTheme="minorHAnsi" w:hAnsiTheme="minorHAnsi" w:cstheme="minorHAnsi"/>
                <w:sz w:val="20"/>
                <w:szCs w:val="20"/>
              </w:rPr>
              <w:t>p.p. u odnosu na januar 2013.g.</w:t>
            </w:r>
            <w:r w:rsidRPr="00B51806">
              <w:rPr>
                <w:rFonts w:asciiTheme="minorHAnsi" w:hAnsiTheme="minorHAnsi" w:cstheme="minorHAnsi"/>
                <w:sz w:val="20"/>
                <w:szCs w:val="20"/>
              </w:rPr>
              <w:t xml:space="preserve"> Unutrašnji dug iznosio je 517,6 mil.€, a dug prema nerezidentima 1.432,5 mil.€.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A3560C" w:rsidRPr="003C1215" w:rsidRDefault="00A3560C" w:rsidP="00812862">
            <w:pPr>
              <w:rPr>
                <w:noProof/>
                <w:sz w:val="17"/>
                <w:szCs w:val="17"/>
                <w:lang w:val="sr-Latn-CS" w:eastAsia="sr-Latn-CS"/>
              </w:rPr>
            </w:pPr>
            <w:r w:rsidRPr="00A3560C">
              <w:rPr>
                <w:noProof/>
                <w:sz w:val="17"/>
                <w:szCs w:val="17"/>
              </w:rPr>
              <w:drawing>
                <wp:inline distT="0" distB="0" distL="0" distR="0">
                  <wp:extent cx="2298700" cy="2317750"/>
                  <wp:effectExtent l="0" t="0" r="0" b="0"/>
                  <wp:docPr id="9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10452C" w:rsidRPr="00715429" w:rsidTr="00A3560C">
        <w:trPr>
          <w:trHeight w:hRule="exact" w:val="4527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3561B8" w:rsidRPr="002A1639" w:rsidRDefault="003561B8" w:rsidP="00EE0F98">
            <w:pPr>
              <w:pStyle w:val="NormalWeb"/>
              <w:numPr>
                <w:ilvl w:val="0"/>
                <w:numId w:val="24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2A163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Monetarni sektor</w:t>
            </w:r>
          </w:p>
          <w:p w:rsidR="0010452C" w:rsidRPr="00715429" w:rsidRDefault="003561B8" w:rsidP="0046659C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hr-BA"/>
              </w:rPr>
            </w:pP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C20FA8">
              <w:rPr>
                <w:b/>
                <w:noProof/>
                <w:sz w:val="20"/>
                <w:szCs w:val="20"/>
              </w:rPr>
              <w:t>Martovska kretanja je obilježiio rast ukupnih depozita i kapitala, kao i opadanje kreditne aktivnosti banaka.</w:t>
            </w:r>
            <w:r w:rsidRPr="00C20FA8">
              <w:rPr>
                <w:noProof/>
                <w:sz w:val="20"/>
                <w:szCs w:val="20"/>
              </w:rPr>
              <w:t xml:space="preserve"> Ukupni </w:t>
            </w:r>
            <w:r w:rsidRPr="00C20FA8">
              <w:rPr>
                <w:b/>
                <w:noProof/>
                <w:sz w:val="20"/>
                <w:szCs w:val="20"/>
              </w:rPr>
              <w:t>depoziti</w:t>
            </w:r>
            <w:r w:rsidR="003634DC">
              <w:rPr>
                <w:noProof/>
                <w:sz w:val="20"/>
                <w:szCs w:val="20"/>
              </w:rPr>
              <w:t xml:space="preserve"> su iznosili 2.104,3 </w:t>
            </w:r>
            <w:r w:rsidRPr="00C20FA8">
              <w:rPr>
                <w:noProof/>
                <w:sz w:val="20"/>
                <w:szCs w:val="20"/>
              </w:rPr>
              <w:t xml:space="preserve">mil.€ </w:t>
            </w:r>
            <w:r>
              <w:rPr>
                <w:noProof/>
                <w:sz w:val="20"/>
                <w:szCs w:val="20"/>
              </w:rPr>
              <w:t>što predstavlja povećanje od</w:t>
            </w:r>
            <w:r w:rsidRPr="00C20FA8">
              <w:rPr>
                <w:noProof/>
                <w:sz w:val="20"/>
                <w:szCs w:val="20"/>
              </w:rPr>
              <w:t xml:space="preserve"> 0,1% na mjesečnom i 5,2% na godišnjem nivo</w:t>
            </w:r>
            <w:r>
              <w:rPr>
                <w:noProof/>
                <w:sz w:val="20"/>
                <w:szCs w:val="20"/>
              </w:rPr>
              <w:t>u.</w:t>
            </w:r>
            <w:r w:rsidR="00B96894">
              <w:rPr>
                <w:noProof/>
                <w:sz w:val="20"/>
                <w:szCs w:val="20"/>
              </w:rPr>
              <w:t xml:space="preserve"> </w:t>
            </w:r>
            <w:r w:rsidRPr="00C20FA8">
              <w:rPr>
                <w:noProof/>
                <w:sz w:val="20"/>
                <w:szCs w:val="20"/>
              </w:rPr>
              <w:t xml:space="preserve">Najznačajniji deponenti banaka su fizička lica sa učešćem od 58,9% i privreda 25,8%. Ukupno odobreni </w:t>
            </w:r>
            <w:r w:rsidRPr="00C20FA8">
              <w:rPr>
                <w:b/>
                <w:noProof/>
                <w:sz w:val="20"/>
                <w:szCs w:val="20"/>
              </w:rPr>
              <w:t>krediti</w:t>
            </w:r>
            <w:r w:rsidRPr="00C20FA8">
              <w:rPr>
                <w:noProof/>
                <w:sz w:val="20"/>
                <w:szCs w:val="20"/>
              </w:rPr>
              <w:t xml:space="preserve"> i ostala potraživanja su krajem marta iznosili</w:t>
            </w:r>
            <w:r w:rsidR="00B96894">
              <w:rPr>
                <w:noProof/>
                <w:sz w:val="20"/>
                <w:szCs w:val="20"/>
              </w:rPr>
              <w:t xml:space="preserve"> 2.405,0</w:t>
            </w:r>
            <w:r w:rsidRPr="00C20FA8">
              <w:rPr>
                <w:noProof/>
                <w:sz w:val="20"/>
                <w:szCs w:val="20"/>
              </w:rPr>
              <w:t xml:space="preserve"> mil.€ i  smanjeni su za 0,4% u odnosu na prethodni mjesec i 3,4% na godišnjem nivou. Uprkos padu ukupnih kredita, bankarski sektor je </w:t>
            </w:r>
            <w:r>
              <w:rPr>
                <w:noProof/>
                <w:sz w:val="20"/>
                <w:szCs w:val="20"/>
              </w:rPr>
              <w:t>tokom prva</w:t>
            </w:r>
            <w:r w:rsidRPr="00C20FA8">
              <w:rPr>
                <w:noProof/>
                <w:sz w:val="20"/>
                <w:szCs w:val="20"/>
              </w:rPr>
              <w:t xml:space="preserve"> tri mjeseca odobrio  178,1 mil.€ novih plasmana, što je za 3,4% više u odnosu na isti period prethodne godine</w:t>
            </w:r>
            <w:r>
              <w:rPr>
                <w:noProof/>
                <w:sz w:val="20"/>
                <w:szCs w:val="20"/>
              </w:rPr>
              <w:t xml:space="preserve">. </w:t>
            </w:r>
            <w:r w:rsidRPr="00C20FA8">
              <w:rPr>
                <w:noProof/>
                <w:sz w:val="20"/>
                <w:szCs w:val="20"/>
              </w:rPr>
              <w:t xml:space="preserve">Ukupno izdvojena </w:t>
            </w:r>
            <w:r w:rsidRPr="00C20FA8">
              <w:rPr>
                <w:b/>
                <w:noProof/>
                <w:sz w:val="20"/>
                <w:szCs w:val="20"/>
              </w:rPr>
              <w:t>obavezna rezerva</w:t>
            </w:r>
            <w:r w:rsidRPr="00C20FA8">
              <w:rPr>
                <w:noProof/>
                <w:sz w:val="20"/>
                <w:szCs w:val="20"/>
              </w:rPr>
              <w:t xml:space="preserve"> banaka kod CBCG iznosila je 196,3 mil.€, što je za 0,5% manje nego u februaru ove godine. Na računima CBCG u inostranstvu je izdvojeno 44,8% rezerve</w:t>
            </w:r>
            <w:r>
              <w:rPr>
                <w:noProof/>
                <w:sz w:val="20"/>
                <w:szCs w:val="20"/>
              </w:rPr>
              <w:t>,</w:t>
            </w:r>
            <w:r w:rsidR="00B96894">
              <w:rPr>
                <w:noProof/>
                <w:sz w:val="20"/>
                <w:szCs w:val="20"/>
              </w:rPr>
              <w:t xml:space="preserve"> </w:t>
            </w:r>
            <w:r w:rsidRPr="00C20FA8">
              <w:rPr>
                <w:noProof/>
                <w:sz w:val="20"/>
                <w:szCs w:val="20"/>
              </w:rPr>
              <w:t xml:space="preserve">24,8% je deponovano na računu obavezne rezerve u zemlji, a 30,4% u obliku državnih zapisa. Poslovni ambijent značajno otežava visok stepen </w:t>
            </w:r>
            <w:r w:rsidRPr="00C20FA8">
              <w:rPr>
                <w:b/>
                <w:noProof/>
                <w:sz w:val="20"/>
                <w:szCs w:val="20"/>
              </w:rPr>
              <w:t>nelikvidnosti privrede</w:t>
            </w:r>
            <w:r w:rsidRPr="00C20FA8">
              <w:rPr>
                <w:noProof/>
                <w:sz w:val="20"/>
                <w:szCs w:val="20"/>
              </w:rPr>
              <w:t xml:space="preserve"> i rastući nivo zaduženosti. U martu su bila u blokadi 13.456 izvršna dužnika, što na mjesečnom nivou predstavlja povećanje od 0,87%. Pri tome, ukupan iznos duga, po osnovu koga je izvršeno blokiranje </w:t>
            </w:r>
            <w:r w:rsidR="00B67014">
              <w:rPr>
                <w:noProof/>
                <w:sz w:val="20"/>
                <w:szCs w:val="20"/>
              </w:rPr>
              <w:t>računa, je iznosio 481,</w:t>
            </w:r>
            <w:r w:rsidRPr="00C20FA8">
              <w:rPr>
                <w:noProof/>
                <w:sz w:val="20"/>
                <w:szCs w:val="20"/>
              </w:rPr>
              <w:t xml:space="preserve">8 mil.€ i povećan je za 4,09% </w:t>
            </w:r>
            <w:r w:rsidR="0046659C">
              <w:rPr>
                <w:noProof/>
                <w:sz w:val="20"/>
                <w:szCs w:val="20"/>
              </w:rPr>
              <w:t xml:space="preserve">  m-n-m</w:t>
            </w:r>
            <w:r w:rsidRPr="00C20FA8">
              <w:rPr>
                <w:noProof/>
                <w:sz w:val="20"/>
                <w:szCs w:val="20"/>
              </w:rPr>
              <w:t xml:space="preserve"> i 13,1</w:t>
            </w:r>
            <w:r>
              <w:rPr>
                <w:noProof/>
                <w:sz w:val="20"/>
                <w:szCs w:val="20"/>
              </w:rPr>
              <w:t>%</w:t>
            </w:r>
            <w:r w:rsidRPr="00C20FA8">
              <w:rPr>
                <w:noProof/>
                <w:sz w:val="20"/>
                <w:szCs w:val="20"/>
              </w:rPr>
              <w:t xml:space="preserve">  </w:t>
            </w:r>
            <w:r w:rsidR="0046659C">
              <w:rPr>
                <w:noProof/>
                <w:sz w:val="20"/>
                <w:szCs w:val="20"/>
              </w:rPr>
              <w:t>g-n-g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10452C" w:rsidRPr="00715429" w:rsidRDefault="003C1215" w:rsidP="00812862">
            <w:pPr>
              <w:rPr>
                <w:noProof/>
                <w:sz w:val="17"/>
                <w:szCs w:val="17"/>
                <w:lang w:val="hr-BA" w:eastAsia="sr-Latn-CS"/>
              </w:rPr>
            </w:pPr>
            <w:r w:rsidRPr="003C1215">
              <w:rPr>
                <w:noProof/>
                <w:sz w:val="17"/>
                <w:szCs w:val="17"/>
              </w:rPr>
              <w:drawing>
                <wp:inline distT="0" distB="0" distL="0" distR="0">
                  <wp:extent cx="2295525" cy="1866900"/>
                  <wp:effectExtent l="0" t="0" r="0" b="0"/>
                  <wp:docPr id="12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DB721D" w:rsidRPr="00715429" w:rsidTr="0085138D">
        <w:trPr>
          <w:trHeight w:hRule="exact" w:val="6375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18331D" w:rsidRPr="0018331D" w:rsidRDefault="0018331D" w:rsidP="0018331D">
            <w:pPr>
              <w:pStyle w:val="NormalWeb"/>
              <w:numPr>
                <w:ilvl w:val="0"/>
                <w:numId w:val="24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18331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 xml:space="preserve">Spoljnotrgovinska razmjena </w:t>
            </w:r>
          </w:p>
          <w:p w:rsidR="00DB721D" w:rsidRPr="00715429" w:rsidRDefault="007A1CFE" w:rsidP="0018331D">
            <w:pPr>
              <w:pBdr>
                <w:top w:val="single" w:sz="4" w:space="1" w:color="auto"/>
              </w:pBdr>
              <w:jc w:val="both"/>
              <w:rPr>
                <w:rFonts w:cstheme="minorHAnsi"/>
                <w:b/>
                <w:sz w:val="20"/>
                <w:szCs w:val="20"/>
                <w:lang w:val="hr-BA"/>
              </w:rPr>
            </w:pPr>
            <w:r w:rsidRPr="007A1CFE">
              <w:rPr>
                <w:rFonts w:asciiTheme="minorHAnsi" w:hAnsiTheme="minorHAnsi" w:cstheme="minorHAnsi"/>
                <w:b/>
                <w:sz w:val="20"/>
                <w:szCs w:val="20"/>
              </w:rPr>
              <w:t>Spoljnotrgovinska razmjena Crne Gore u prvom kvartalu 2014. bilježi  negativna kretanja, koja su u velikoj  mjeri  posljedica smanjenja eksterne tražnje i  pogoršanja energetskog salda</w:t>
            </w:r>
            <w:r w:rsidRPr="007A1CFE">
              <w:rPr>
                <w:rFonts w:asciiTheme="minorHAnsi" w:hAnsiTheme="minorHAnsi" w:cstheme="minorHAnsi"/>
                <w:sz w:val="20"/>
                <w:szCs w:val="20"/>
              </w:rPr>
              <w:t>. Robni deficit  je  iznosio 271,2 mil.€ i 0,9% manji, opredi</w:t>
            </w:r>
            <w:r w:rsidR="0046659C">
              <w:rPr>
                <w:rFonts w:asciiTheme="minorHAnsi" w:hAnsiTheme="minorHAnsi" w:cstheme="minorHAnsi"/>
                <w:sz w:val="20"/>
                <w:szCs w:val="20"/>
              </w:rPr>
              <w:t xml:space="preserve">jeljen  visokim padom izvoza.  </w:t>
            </w:r>
            <w:r w:rsidRPr="007A1CFE">
              <w:rPr>
                <w:rFonts w:asciiTheme="minorHAnsi" w:hAnsiTheme="minorHAnsi" w:cstheme="minorHAnsi"/>
                <w:sz w:val="20"/>
                <w:szCs w:val="20"/>
              </w:rPr>
              <w:t xml:space="preserve">Pogoršanje trgovinskog  bilansa  je ublaženo smanjenjem uvoza tokom ovog  perioda.  Izvezeno je robe u vrijednosti od  69,4 mil.€, a uvezeno 340,6mil.€. Stepen  pokrivenosti  uvoza  izvozom roba je smanjen za 4,2 p.p (g-n-g). Tokom prvog kvartala izvoz je bilježio minimalnu vrijednost u januaru (83,0 mil.€), a maksimalnu u martu (144,9 mil.€). </w:t>
            </w:r>
            <w:r w:rsidR="0046659C">
              <w:rPr>
                <w:rFonts w:asciiTheme="minorHAnsi" w:hAnsiTheme="minorHAnsi" w:cstheme="minorHAnsi"/>
                <w:sz w:val="20"/>
                <w:szCs w:val="20"/>
              </w:rPr>
              <w:t>Izvoz</w:t>
            </w:r>
            <w:r w:rsidRPr="007A1CFE">
              <w:rPr>
                <w:rFonts w:asciiTheme="minorHAnsi" w:hAnsiTheme="minorHAnsi" w:cstheme="minorHAnsi"/>
                <w:sz w:val="20"/>
                <w:szCs w:val="20"/>
              </w:rPr>
              <w:t xml:space="preserve"> roba</w:t>
            </w:r>
            <w:r w:rsidR="0046659C">
              <w:rPr>
                <w:rFonts w:asciiTheme="minorHAnsi" w:hAnsiTheme="minorHAnsi" w:cstheme="minorHAnsi"/>
                <w:sz w:val="20"/>
                <w:szCs w:val="20"/>
              </w:rPr>
              <w:t xml:space="preserve"> je pao</w:t>
            </w:r>
            <w:r w:rsidRPr="007A1CFE">
              <w:rPr>
                <w:rFonts w:asciiTheme="minorHAnsi" w:hAnsiTheme="minorHAnsi" w:cstheme="minorHAnsi"/>
                <w:sz w:val="20"/>
                <w:szCs w:val="20"/>
              </w:rPr>
              <w:t xml:space="preserve"> (- 22,2% g-n-g), usljed  smanjenja  izvoza električne energije i aluminijuma od  32,0%. Nagli pad izvoza  odražava  efekte značajnog pada  proizvodnje  električne energije (-24,7% g-n-g), kao i smanjenja proizvodnje osnovnih metala, uzrokovan remontom u Željezari  i  nerij</w:t>
            </w:r>
            <w:r w:rsidR="00C37AF3">
              <w:rPr>
                <w:rFonts w:asciiTheme="minorHAnsi" w:hAnsiTheme="minorHAnsi" w:cstheme="minorHAnsi"/>
                <w:sz w:val="20"/>
                <w:szCs w:val="20"/>
              </w:rPr>
              <w:t>ešenom situacijom</w:t>
            </w:r>
            <w:r w:rsidRPr="007A1CFE">
              <w:rPr>
                <w:rFonts w:asciiTheme="minorHAnsi" w:hAnsiTheme="minorHAnsi" w:cstheme="minorHAnsi"/>
                <w:sz w:val="20"/>
                <w:szCs w:val="20"/>
              </w:rPr>
              <w:t xml:space="preserve"> u aluminijskom konglomeratu.  Na</w:t>
            </w:r>
            <w:r w:rsidRPr="007A1CFE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7A1CFE">
              <w:rPr>
                <w:rFonts w:asciiTheme="minorHAnsi" w:hAnsiTheme="minorHAnsi" w:cstheme="minorHAnsi"/>
                <w:sz w:val="20"/>
                <w:szCs w:val="20"/>
              </w:rPr>
              <w:t>smanjenje vrijednosti uv</w:t>
            </w:r>
            <w:r w:rsidR="0046659C">
              <w:rPr>
                <w:rFonts w:asciiTheme="minorHAnsi" w:hAnsiTheme="minorHAnsi" w:cstheme="minorHAnsi"/>
                <w:sz w:val="20"/>
                <w:szCs w:val="20"/>
              </w:rPr>
              <w:t xml:space="preserve">oza </w:t>
            </w:r>
            <w:r w:rsidR="00427187">
              <w:rPr>
                <w:rFonts w:asciiTheme="minorHAnsi" w:hAnsiTheme="minorHAnsi" w:cstheme="minorHAnsi"/>
                <w:sz w:val="20"/>
                <w:szCs w:val="20"/>
              </w:rPr>
              <w:t>(-</w:t>
            </w:r>
            <w:r w:rsidRPr="007A1CFE">
              <w:rPr>
                <w:rFonts w:asciiTheme="minorHAnsi" w:hAnsiTheme="minorHAnsi" w:cstheme="minorHAnsi"/>
                <w:sz w:val="20"/>
                <w:szCs w:val="20"/>
              </w:rPr>
              <w:t>6,2% g-n-g) uticao je pad uvoza mašina i transportnih sredstava (20,0%); mineralnih goriva i maziva  (13,0%) i hrane i živih  životinja (4,0%).</w:t>
            </w:r>
            <w:r>
              <w:t xml:space="preserve"> </w:t>
            </w:r>
            <w:r>
              <w:rPr>
                <w:b/>
                <w:bCs/>
                <w:noProof/>
                <w:color w:val="000000"/>
                <w:sz w:val="20"/>
                <w:lang w:val="hr-BA"/>
              </w:rPr>
              <w:t>Početak 2014. je obilježio rast priliva SDI u odnosu na prethodnu godinu</w:t>
            </w:r>
            <w:r>
              <w:rPr>
                <w:b/>
                <w:bCs/>
                <w:noProof/>
                <w:color w:val="000000"/>
                <w:sz w:val="20"/>
                <w:lang w:val="sr-Latn-CS"/>
              </w:rPr>
              <w:t xml:space="preserve">. </w:t>
            </w:r>
            <w:r w:rsidRPr="009E60A8">
              <w:rPr>
                <w:bCs/>
                <w:noProof/>
                <w:color w:val="000000"/>
                <w:sz w:val="20"/>
                <w:lang w:val="hr-BA"/>
              </w:rPr>
              <w:t xml:space="preserve">Neto priliv SDI u periodu </w:t>
            </w:r>
            <w:r>
              <w:rPr>
                <w:bCs/>
                <w:noProof/>
                <w:color w:val="000000"/>
                <w:sz w:val="20"/>
                <w:lang w:val="hr-BA"/>
              </w:rPr>
              <w:t>januar-</w:t>
            </w:r>
            <w:r w:rsidRPr="009E60A8">
              <w:rPr>
                <w:bCs/>
                <w:noProof/>
                <w:color w:val="000000"/>
                <w:sz w:val="20"/>
                <w:lang w:val="hr-BA"/>
              </w:rPr>
              <w:t xml:space="preserve">februar </w:t>
            </w:r>
            <w:r>
              <w:rPr>
                <w:bCs/>
                <w:noProof/>
                <w:color w:val="000000"/>
                <w:sz w:val="20"/>
                <w:lang w:val="hr-BA"/>
              </w:rPr>
              <w:t>2014.</w:t>
            </w:r>
            <w:r w:rsidRPr="009E60A8">
              <w:rPr>
                <w:bCs/>
                <w:noProof/>
                <w:color w:val="000000"/>
                <w:sz w:val="20"/>
                <w:lang w:val="hr-BA"/>
              </w:rPr>
              <w:t xml:space="preserve"> iznosio je 45,9 mil.€, </w:t>
            </w:r>
            <w:r>
              <w:rPr>
                <w:bCs/>
                <w:noProof/>
                <w:color w:val="000000"/>
                <w:sz w:val="20"/>
                <w:lang w:val="hr-BA"/>
              </w:rPr>
              <w:t>rast od</w:t>
            </w:r>
            <w:r w:rsidRPr="009E60A8">
              <w:rPr>
                <w:bCs/>
                <w:noProof/>
                <w:color w:val="000000"/>
                <w:sz w:val="20"/>
                <w:lang w:val="hr-BA"/>
              </w:rPr>
              <w:t xml:space="preserve"> 76,1%</w:t>
            </w:r>
            <w:r>
              <w:rPr>
                <w:bCs/>
                <w:noProof/>
                <w:color w:val="000000"/>
                <w:sz w:val="20"/>
                <w:lang w:val="hr-BA"/>
              </w:rPr>
              <w:t xml:space="preserve"> g-n-g</w:t>
            </w:r>
            <w:r w:rsidRPr="009E60A8">
              <w:rPr>
                <w:bCs/>
                <w:noProof/>
                <w:color w:val="000000"/>
                <w:sz w:val="20"/>
                <w:lang w:val="hr-BA"/>
              </w:rPr>
              <w:t xml:space="preserve">. </w:t>
            </w:r>
            <w:r>
              <w:rPr>
                <w:bCs/>
                <w:noProof/>
                <w:color w:val="000000"/>
                <w:sz w:val="20"/>
                <w:lang w:val="hr-BA"/>
              </w:rPr>
              <w:t xml:space="preserve">Ukupan priliv SDI iznosio je 65,5 mil.€, (70,8% više), pri čemu su vlasnička ulaganja učestvovala sa 47,6%. Struktura: investicije u preduzeća i banke 10,2% (193,6% više), investicije u nekretnine 37,4% (19,8% više), interkompanijski dug 51,2% (130,7% više) i ostalo 1,2% (25,3% manje). Ukupan odliv SDI iznosio je 19,7 mil.€, rast od 59,7% g-n-g. 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B721D" w:rsidRPr="00715429" w:rsidRDefault="00F25012" w:rsidP="001D21BD">
            <w:pPr>
              <w:jc w:val="center"/>
              <w:rPr>
                <w:noProof/>
                <w:sz w:val="17"/>
                <w:szCs w:val="17"/>
                <w:lang w:val="hr-BA" w:eastAsia="sr-Latn-CS"/>
              </w:rPr>
            </w:pPr>
            <w:r w:rsidRPr="00F25012">
              <w:rPr>
                <w:noProof/>
                <w:sz w:val="17"/>
                <w:szCs w:val="17"/>
              </w:rPr>
              <w:drawing>
                <wp:inline distT="0" distB="0" distL="0" distR="0">
                  <wp:extent cx="2317750" cy="2501900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82570B" w:rsidRPr="00715429" w:rsidRDefault="0082570B" w:rsidP="00D51C00">
      <w:pPr>
        <w:rPr>
          <w:noProof/>
          <w:lang w:val="hr-BA"/>
        </w:rPr>
        <w:sectPr w:rsidR="0082570B" w:rsidRPr="00715429" w:rsidSect="009C5011">
          <w:pgSz w:w="11907" w:h="16839" w:code="9"/>
          <w:pgMar w:top="720" w:right="720" w:bottom="709" w:left="720" w:header="720" w:footer="720" w:gutter="0"/>
          <w:cols w:space="720"/>
          <w:rtlGutter/>
          <w:docGrid w:linePitch="360"/>
        </w:sectPr>
      </w:pPr>
    </w:p>
    <w:p w:rsidR="002A1639" w:rsidRPr="00715429" w:rsidRDefault="0082570B" w:rsidP="00332574">
      <w:pPr>
        <w:jc w:val="center"/>
        <w:outlineLvl w:val="0"/>
        <w:rPr>
          <w:noProof/>
          <w:sz w:val="17"/>
          <w:szCs w:val="16"/>
          <w:lang w:val="hr-BA"/>
        </w:rPr>
      </w:pPr>
      <w:r w:rsidRPr="00715429">
        <w:rPr>
          <w:noProof/>
          <w:sz w:val="17"/>
          <w:szCs w:val="16"/>
          <w:lang w:val="hr-BA"/>
        </w:rPr>
        <w:lastRenderedPageBreak/>
        <w:t xml:space="preserve">Tabela 1: </w:t>
      </w:r>
      <w:r w:rsidRPr="00715429">
        <w:rPr>
          <w:b/>
          <w:bCs/>
          <w:noProof/>
          <w:sz w:val="17"/>
          <w:szCs w:val="16"/>
          <w:lang w:val="hr-BA"/>
        </w:rPr>
        <w:t>MAKROEKONOMSKI INDIKATORI</w:t>
      </w:r>
      <w:r w:rsidRPr="00715429">
        <w:rPr>
          <w:noProof/>
          <w:sz w:val="17"/>
          <w:szCs w:val="16"/>
          <w:lang w:val="hr-BA"/>
        </w:rPr>
        <w:t xml:space="preserve"> – </w:t>
      </w:r>
      <w:r w:rsidR="00B96894">
        <w:rPr>
          <w:noProof/>
          <w:sz w:val="17"/>
          <w:szCs w:val="16"/>
          <w:lang w:val="hr-BA"/>
        </w:rPr>
        <w:t>mart</w:t>
      </w:r>
      <w:r w:rsidR="00725E16">
        <w:rPr>
          <w:noProof/>
          <w:sz w:val="17"/>
          <w:szCs w:val="16"/>
          <w:lang w:val="hr-BA"/>
        </w:rPr>
        <w:t xml:space="preserve"> </w:t>
      </w:r>
      <w:r w:rsidRPr="00715429">
        <w:rPr>
          <w:noProof/>
          <w:sz w:val="17"/>
          <w:szCs w:val="16"/>
          <w:lang w:val="hr-BA"/>
        </w:rPr>
        <w:t>201</w:t>
      </w:r>
      <w:r w:rsidR="00B355D6" w:rsidRPr="00715429">
        <w:rPr>
          <w:noProof/>
          <w:sz w:val="17"/>
          <w:szCs w:val="16"/>
          <w:lang w:val="hr-BA"/>
        </w:rPr>
        <w:t>4</w:t>
      </w:r>
      <w:r w:rsidRPr="00715429">
        <w:rPr>
          <w:noProof/>
          <w:sz w:val="17"/>
          <w:szCs w:val="16"/>
          <w:lang w:val="hr-BA"/>
        </w:rPr>
        <w:t>.</w:t>
      </w:r>
      <w:bookmarkStart w:id="0" w:name="_GoBack"/>
      <w:bookmarkEnd w:id="0"/>
    </w:p>
    <w:p w:rsidR="0082570B" w:rsidRPr="00715429" w:rsidRDefault="0082570B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784DAE" w:rsidRPr="00715429" w:rsidRDefault="00784DAE" w:rsidP="00875C4F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332574" w:rsidRPr="00715429" w:rsidRDefault="00332574" w:rsidP="00332574">
      <w:pPr>
        <w:spacing w:after="0" w:line="240" w:lineRule="auto"/>
        <w:outlineLvl w:val="0"/>
        <w:rPr>
          <w:b/>
          <w:i/>
          <w:noProof/>
          <w:sz w:val="16"/>
          <w:szCs w:val="16"/>
          <w:lang w:val="hr-BA"/>
        </w:rPr>
      </w:pPr>
      <w:r w:rsidRPr="00715429">
        <w:rPr>
          <w:b/>
          <w:i/>
          <w:noProof/>
          <w:sz w:val="16"/>
          <w:szCs w:val="16"/>
          <w:lang w:val="hr-BA"/>
        </w:rPr>
        <w:t>Izvor: MONSTAT, Centralna Banka, Zavod za zapošljavanje Crne Gore</w:t>
      </w:r>
    </w:p>
    <w:p w:rsidR="00332574" w:rsidRPr="00715429" w:rsidRDefault="00332574" w:rsidP="00332574">
      <w:pPr>
        <w:spacing w:after="0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Svi indikatori su prikazani kao godišnje stope rasta (stopa promjene indikatora u posmatranom mjesecu u odnosu na isti mjesec prethodne godine u %) ukoliko nije drugačije naznačeno u nazivu</w:t>
      </w:r>
    </w:p>
    <w:p w:rsidR="00332574" w:rsidRDefault="00332574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M-n-M označava mjesečnu promjenu (stopa promjene indikatora u posmatranom mjesecu u odnosu na prethodni mjesec u %)</w:t>
      </w:r>
      <w:r w:rsidR="00B012FF">
        <w:rPr>
          <w:i/>
          <w:iCs/>
          <w:noProof/>
          <w:sz w:val="12"/>
          <w:szCs w:val="12"/>
          <w:lang w:val="hr-BA"/>
        </w:rPr>
        <w:t xml:space="preserve"> </w:t>
      </w:r>
      <w:r w:rsidR="00E2362B">
        <w:rPr>
          <w:i/>
          <w:iCs/>
          <w:noProof/>
          <w:sz w:val="12"/>
          <w:szCs w:val="12"/>
          <w:lang w:val="hr-BA"/>
        </w:rPr>
        <w:t>g-n-g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označava </w:t>
      </w:r>
      <w:r w:rsidR="00E2362B">
        <w:rPr>
          <w:i/>
          <w:iCs/>
          <w:noProof/>
          <w:sz w:val="12"/>
          <w:szCs w:val="12"/>
          <w:lang w:val="hr-BA"/>
        </w:rPr>
        <w:t>godišnju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promjenu (stopa promjene indikatora u posmatranom mjesecu</w:t>
      </w:r>
      <w:r w:rsidR="00E2362B">
        <w:rPr>
          <w:i/>
          <w:iCs/>
          <w:noProof/>
          <w:sz w:val="12"/>
          <w:szCs w:val="12"/>
          <w:lang w:val="hr-BA"/>
        </w:rPr>
        <w:t xml:space="preserve">ili periodu 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u odnosu na </w:t>
      </w:r>
      <w:r w:rsidR="00E2362B">
        <w:rPr>
          <w:i/>
          <w:iCs/>
          <w:noProof/>
          <w:sz w:val="12"/>
          <w:szCs w:val="12"/>
          <w:lang w:val="hr-BA"/>
        </w:rPr>
        <w:t>isti mmjesec ili periodprethodne godine</w:t>
      </w:r>
      <w:r w:rsidR="00E2362B" w:rsidRPr="00715429">
        <w:rPr>
          <w:i/>
          <w:iCs/>
          <w:noProof/>
          <w:sz w:val="12"/>
          <w:szCs w:val="12"/>
          <w:lang w:val="hr-BA"/>
        </w:rPr>
        <w:t xml:space="preserve"> u %)</w:t>
      </w:r>
    </w:p>
    <w:p w:rsidR="00B43B1F" w:rsidRDefault="00B43B1F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36"/>
        <w:gridCol w:w="586"/>
        <w:gridCol w:w="586"/>
        <w:gridCol w:w="589"/>
        <w:gridCol w:w="586"/>
        <w:gridCol w:w="586"/>
        <w:gridCol w:w="589"/>
        <w:gridCol w:w="586"/>
        <w:gridCol w:w="586"/>
        <w:gridCol w:w="589"/>
        <w:gridCol w:w="605"/>
        <w:gridCol w:w="816"/>
        <w:gridCol w:w="651"/>
        <w:gridCol w:w="683"/>
        <w:gridCol w:w="644"/>
        <w:gridCol w:w="644"/>
        <w:gridCol w:w="816"/>
        <w:gridCol w:w="758"/>
        <w:gridCol w:w="851"/>
      </w:tblGrid>
      <w:tr w:rsidR="00CE3C0D" w:rsidRPr="00CE3C0D" w:rsidTr="00CE3C0D">
        <w:trPr>
          <w:divId w:val="1609897800"/>
          <w:trHeight w:val="315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7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2013</w:t>
            </w:r>
          </w:p>
        </w:tc>
        <w:tc>
          <w:tcPr>
            <w:tcW w:w="10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mar 2014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color w:val="000000"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CE3C0D" w:rsidRPr="00CE3C0D" w:rsidTr="00CE3C0D">
        <w:trPr>
          <w:divId w:val="1609897800"/>
          <w:trHeight w:val="343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2013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III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IV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V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VI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VII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VIII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IX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X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XI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XII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2014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II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III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M-n-M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mar 2014 / mar 2013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jan - mar 2014 / jan - mar 2013</w:t>
            </w:r>
          </w:p>
        </w:tc>
      </w:tr>
      <w:tr w:rsidR="00CE3C0D" w:rsidRPr="00CE3C0D" w:rsidTr="00CE3C0D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10,40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22,40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19,00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10,50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21,40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7,40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5,70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-20,60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-6,5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-20,6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-3,9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-36,40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-32,80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-34,40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-28,20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-11,50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-11,10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11,70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4,70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6,50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22,70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28,20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48,80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39,80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20,50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18,40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20,6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18,4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25,2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-8,30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-1,40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7,30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-3,60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4,30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30,30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30,30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22,10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2,70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30,2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8,2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12,10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8,20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6,60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7,80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8,60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10,30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11,50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14,40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12,80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14,20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2,50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1,8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-1,0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3,8</w:t>
            </w:r>
          </w:p>
        </w:tc>
        <w:tc>
          <w:tcPr>
            <w:tcW w:w="6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27,9</w:t>
            </w:r>
          </w:p>
        </w:tc>
        <w:tc>
          <w:tcPr>
            <w:tcW w:w="6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n/p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-2,0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-0,9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167.370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167.379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167.738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170.302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174.369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179.861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178.815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176.588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169.044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169.044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167.607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167.173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167.616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168.805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170.177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0,8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31.890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32.648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32.986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32.624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31.363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30.337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30.102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30.947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33.271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33.271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34.680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34.514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34.804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34.664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34.671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6,8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13,7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13,5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13,0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13,0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13,3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13,3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15,0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6,7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21,5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19,3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17,8</w:t>
            </w:r>
          </w:p>
        </w:tc>
        <w:tc>
          <w:tcPr>
            <w:tcW w:w="6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19,5</w:t>
            </w:r>
          </w:p>
        </w:tc>
        <w:tc>
          <w:tcPr>
            <w:tcW w:w="6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583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1.182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2.826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1.719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1.430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853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1.495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796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796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648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1.130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1.028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1.051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3.077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192,8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160,3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126,1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731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734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723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724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728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730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728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738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726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729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720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490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485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476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477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481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469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475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475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475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486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478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474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-1,3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2.482,8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2.507,6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2.490,7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2.466,7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2.477,6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2.457,5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2.505,8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2.538,3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2.474,5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2.474,5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2.463,9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2.411,9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2.407,9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2.415,0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2.405,0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-3,4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-3,0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-3,4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457,1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455,7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465,3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480,8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492,9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441,3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447,0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441,9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438,6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438,6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428,3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423,2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425,6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426,3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n.p.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n.p.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n.p.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18,4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18,2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18,7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19,5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19,9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18,0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17,4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n.p.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n.p.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n.p.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1.969,8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1.990,1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1.999,3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1.951,5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1.974,4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2.009,7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2.075,0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2.144,3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2.104,3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2.104,3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2.084,9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2.098,6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2.096,7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2.101,7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2.104,3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7,1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5,3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1.013,2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1.019,0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1.026,5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1.029,1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1.027,9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990,5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970,2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947,6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951,1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951,1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955,2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948,4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942,6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951,6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947,7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-7,7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857,4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861,1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865,8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872,5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875,1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880,9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882,5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880,6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886,8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886,8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887,1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881,3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881,1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882,6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887,1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507,8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518,7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525,4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489,8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509,8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539,3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576,2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612,3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572,8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572,8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553,9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554,8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554,0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549,6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542,8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1.150,4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1.158,7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1.165,0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1.165,1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1.162,4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1.164,7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1.192,9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1.218,1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1.218,1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1.218,1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1.221,0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1.237,7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1.235,1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1.236,4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1.239,2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9,45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9,43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9,38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9,36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9,40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9,42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9,42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-0,02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3,15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3,16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3,12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3,06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2,99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2,93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2,83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2,67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2,67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2,55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2,41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2,45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2,34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-0,11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-0,80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28,0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31,3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30,0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36,9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39,4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30,6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31,8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28,4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24,6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24,6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31,2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34,5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22,6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22,2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24,7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11,0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-17,7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-22,1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110,2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113,9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138,8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162,4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152,3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170,4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172,6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164,9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161,4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161,4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130,7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149,0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83,0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112,7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144,9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28,6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-6,2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-82,2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-82,7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-108,8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-125,5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-112,9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-139,9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-140,8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-136,5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-136,9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-136,9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-99,6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-114,5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-60,5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-90,5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-120,2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32,9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10,5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-0,9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6,6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19,5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39,5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17,1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33,7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38,8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32,5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30,7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-19,8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-19,8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12,6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55,5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17,0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28,8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n.p.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n.p.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n.p.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n.p.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116,8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110,4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111,1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100,0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100,4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103,0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107,7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115,7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105,9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105,9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111,5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107,8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108,8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109,7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107,7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-3,1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-3,6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2.037,6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2.053,6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1.911,3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1.861,0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1.832,6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1.814,5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1.769,6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1.816,2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1.814,6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1.814,6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1.748,0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1.739,8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1.740,8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1.695,2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1.705,4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-10,8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-14,3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0,62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0,55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0,48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0,04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0,04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-0,01</w:t>
            </w:r>
          </w:p>
        </w:tc>
      </w:tr>
      <w:tr w:rsidR="00CE3C0D" w:rsidRPr="00CE3C0D" w:rsidTr="00810CC6">
        <w:trPr>
          <w:divId w:val="1609897800"/>
          <w:trHeight w:hRule="exact" w:val="204"/>
        </w:trPr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2,0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1,3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-0,2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CE3C0D" w:rsidRPr="00CE3C0D" w:rsidRDefault="00CE3C0D" w:rsidP="00CE3C0D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CE3C0D">
              <w:rPr>
                <w:rFonts w:cs="Calibri"/>
                <w:sz w:val="16"/>
                <w:szCs w:val="16"/>
                <w:lang w:val="sr-Latn-CS" w:eastAsia="sr-Latn-CS"/>
              </w:rPr>
              <w:t>-1,2</w:t>
            </w:r>
          </w:p>
        </w:tc>
      </w:tr>
    </w:tbl>
    <w:p w:rsidR="00B43B1F" w:rsidRDefault="00B43B1F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B43B1F" w:rsidRDefault="00B43B1F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B43B1F" w:rsidRDefault="00B43B1F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B43B1F" w:rsidRDefault="00B43B1F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B43B1F" w:rsidRDefault="00B43B1F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CD707C" w:rsidRPr="0065398C" w:rsidRDefault="00A30E95" w:rsidP="00784DAE">
      <w:pPr>
        <w:spacing w:after="0" w:line="240" w:lineRule="auto"/>
        <w:ind w:firstLine="142"/>
        <w:jc w:val="center"/>
        <w:rPr>
          <w:noProof/>
          <w:sz w:val="18"/>
          <w:szCs w:val="18"/>
          <w:lang w:val="hr-BA"/>
        </w:rPr>
      </w:pPr>
      <w:r w:rsidRPr="0065398C">
        <w:rPr>
          <w:noProof/>
          <w:sz w:val="18"/>
          <w:szCs w:val="18"/>
          <w:lang w:val="hr-BA"/>
        </w:rPr>
        <w:t>T</w:t>
      </w:r>
      <w:r w:rsidR="00784DAE" w:rsidRPr="0065398C">
        <w:rPr>
          <w:noProof/>
          <w:sz w:val="18"/>
          <w:szCs w:val="18"/>
          <w:lang w:val="hr-BA"/>
        </w:rPr>
        <w:t xml:space="preserve">abela 2: </w:t>
      </w:r>
      <w:r w:rsidR="00784DAE" w:rsidRPr="0065398C">
        <w:rPr>
          <w:b/>
          <w:bCs/>
          <w:noProof/>
          <w:sz w:val="18"/>
          <w:szCs w:val="18"/>
          <w:lang w:val="hr-BA"/>
        </w:rPr>
        <w:t>BUDŽET CRNE GORE</w:t>
      </w:r>
      <w:r w:rsidR="00784DAE" w:rsidRPr="0065398C">
        <w:rPr>
          <w:noProof/>
          <w:sz w:val="18"/>
          <w:szCs w:val="18"/>
          <w:lang w:val="hr-BA"/>
        </w:rPr>
        <w:t xml:space="preserve"> –</w:t>
      </w:r>
      <w:r w:rsidR="00B96894" w:rsidRPr="0065398C">
        <w:rPr>
          <w:noProof/>
          <w:sz w:val="18"/>
          <w:szCs w:val="18"/>
          <w:lang w:val="hr-BA"/>
        </w:rPr>
        <w:t>mart</w:t>
      </w:r>
      <w:r w:rsidR="009C5011" w:rsidRPr="0065398C">
        <w:rPr>
          <w:noProof/>
          <w:sz w:val="18"/>
          <w:szCs w:val="18"/>
          <w:lang w:val="hr-BA"/>
        </w:rPr>
        <w:t xml:space="preserve"> 2014</w:t>
      </w:r>
    </w:p>
    <w:tbl>
      <w:tblPr>
        <w:tblW w:w="14668" w:type="dxa"/>
        <w:jc w:val="center"/>
        <w:tblInd w:w="-254" w:type="dxa"/>
        <w:tblLook w:val="04A0"/>
      </w:tblPr>
      <w:tblGrid>
        <w:gridCol w:w="2277"/>
        <w:gridCol w:w="662"/>
        <w:gridCol w:w="662"/>
        <w:gridCol w:w="662"/>
        <w:gridCol w:w="663"/>
        <w:gridCol w:w="662"/>
        <w:gridCol w:w="662"/>
        <w:gridCol w:w="663"/>
        <w:gridCol w:w="743"/>
        <w:gridCol w:w="743"/>
        <w:gridCol w:w="743"/>
        <w:gridCol w:w="743"/>
        <w:gridCol w:w="743"/>
        <w:gridCol w:w="744"/>
        <w:gridCol w:w="582"/>
        <w:gridCol w:w="663"/>
        <w:gridCol w:w="662"/>
        <w:gridCol w:w="829"/>
        <w:gridCol w:w="771"/>
        <w:gridCol w:w="829"/>
      </w:tblGrid>
      <w:tr w:rsidR="0065398C" w:rsidRPr="0065398C" w:rsidTr="0065398C">
        <w:trPr>
          <w:trHeight w:val="435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 w:rsidRPr="0065398C">
              <w:rPr>
                <w:rFonts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62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2013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2014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plan 2014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Analitika-</w:t>
            </w:r>
            <w:r w:rsidR="0062188F">
              <w:rPr>
                <w:rFonts w:cs="Calibri"/>
                <w:sz w:val="14"/>
                <w:szCs w:val="14"/>
              </w:rPr>
              <w:t>mart</w:t>
            </w:r>
          </w:p>
        </w:tc>
      </w:tr>
      <w:tr w:rsidR="0065398C" w:rsidRPr="0065398C" w:rsidTr="0065398C">
        <w:trPr>
          <w:trHeight w:val="75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b/>
                <w:bCs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iCs/>
                <w:sz w:val="16"/>
                <w:szCs w:val="16"/>
              </w:rPr>
              <w:t>BUDŽET CRNE GORE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I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II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III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IV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V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VI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VII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VIII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IX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XI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XII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I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II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III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III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mar</w:t>
            </w:r>
            <w:r w:rsidR="0062188F">
              <w:rPr>
                <w:rFonts w:cs="Calibri"/>
                <w:sz w:val="14"/>
                <w:szCs w:val="14"/>
              </w:rPr>
              <w:t>t</w:t>
            </w:r>
            <w:r w:rsidRPr="0065398C">
              <w:rPr>
                <w:rFonts w:cs="Calibri"/>
                <w:sz w:val="14"/>
                <w:szCs w:val="14"/>
              </w:rPr>
              <w:t xml:space="preserve"> 2014/mar</w:t>
            </w:r>
            <w:r w:rsidR="0062188F">
              <w:rPr>
                <w:rFonts w:cs="Calibri"/>
                <w:sz w:val="14"/>
                <w:szCs w:val="14"/>
              </w:rPr>
              <w:t>t</w:t>
            </w:r>
            <w:r w:rsidRPr="0065398C">
              <w:rPr>
                <w:rFonts w:cs="Calibri"/>
                <w:sz w:val="14"/>
                <w:szCs w:val="14"/>
              </w:rPr>
              <w:t xml:space="preserve"> 2013 (%)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jan-mar</w:t>
            </w:r>
            <w:r w:rsidR="0062188F">
              <w:rPr>
                <w:rFonts w:cs="Calibri"/>
                <w:sz w:val="14"/>
                <w:szCs w:val="14"/>
              </w:rPr>
              <w:t>t</w:t>
            </w:r>
            <w:r w:rsidRPr="0065398C">
              <w:rPr>
                <w:rFonts w:cs="Calibri"/>
                <w:sz w:val="14"/>
                <w:szCs w:val="14"/>
              </w:rPr>
              <w:t xml:space="preserve"> 2014/jan-mar</w:t>
            </w:r>
            <w:r w:rsidR="0062188F">
              <w:rPr>
                <w:rFonts w:cs="Calibri"/>
                <w:sz w:val="14"/>
                <w:szCs w:val="14"/>
              </w:rPr>
              <w:t>t</w:t>
            </w:r>
            <w:r w:rsidRPr="0065398C">
              <w:rPr>
                <w:rFonts w:cs="Calibri"/>
                <w:sz w:val="14"/>
                <w:szCs w:val="14"/>
              </w:rPr>
              <w:t xml:space="preserve"> 2013 (%)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65398C">
              <w:rPr>
                <w:rFonts w:cs="Calibri"/>
                <w:sz w:val="14"/>
                <w:szCs w:val="14"/>
              </w:rPr>
              <w:t>mar</w:t>
            </w:r>
            <w:r w:rsidR="0062188F">
              <w:rPr>
                <w:rFonts w:cs="Calibri"/>
                <w:sz w:val="14"/>
                <w:szCs w:val="14"/>
              </w:rPr>
              <w:t>t</w:t>
            </w:r>
            <w:r w:rsidRPr="0065398C">
              <w:rPr>
                <w:rFonts w:cs="Calibri"/>
                <w:sz w:val="14"/>
                <w:szCs w:val="14"/>
              </w:rPr>
              <w:t xml:space="preserve"> 2014/mar</w:t>
            </w:r>
            <w:r w:rsidR="0062188F">
              <w:rPr>
                <w:rFonts w:cs="Calibri"/>
                <w:sz w:val="14"/>
                <w:szCs w:val="14"/>
              </w:rPr>
              <w:t>t</w:t>
            </w:r>
            <w:r w:rsidRPr="0065398C">
              <w:rPr>
                <w:rFonts w:cs="Calibri"/>
                <w:sz w:val="14"/>
                <w:szCs w:val="14"/>
              </w:rPr>
              <w:t xml:space="preserve"> 2014 plan (%)</w:t>
            </w:r>
          </w:p>
        </w:tc>
      </w:tr>
      <w:tr w:rsidR="0065398C" w:rsidRPr="0065398C" w:rsidTr="0065398C">
        <w:trPr>
          <w:trHeight w:val="33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54,92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75,83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88,91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103,95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99,56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122,02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125,05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116,34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117,28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95,78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142,43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70,78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82,11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100,67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89,99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13,22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15,43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11,87</w:t>
            </w:r>
          </w:p>
        </w:tc>
      </w:tr>
      <w:tr w:rsidR="0065398C" w:rsidRPr="0065398C" w:rsidTr="0065398C">
        <w:trPr>
          <w:trHeight w:val="33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Porezi i doprinosi na  zarade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14,21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34,57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35,60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34,16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36,35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39,09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40,63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44,81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47,38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54,03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37,52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75,77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21,23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34,36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37,91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35,61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6,49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10,81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6,46</w:t>
            </w:r>
          </w:p>
        </w:tc>
      </w:tr>
      <w:tr w:rsidR="0065398C" w:rsidRPr="0065398C" w:rsidTr="0065398C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Porez na dobit pravnih lica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0,50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1,06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5,09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14,80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3,06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3,64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3,87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2,84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2,33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1,29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1,54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12,11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5,56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137,87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119,74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117,74</w:t>
            </w:r>
          </w:p>
        </w:tc>
      </w:tr>
      <w:tr w:rsidR="0065398C" w:rsidRPr="0065398C" w:rsidTr="0065398C">
        <w:trPr>
          <w:trHeight w:val="30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Porez na dodatu vrijednost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24,86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24,75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29,49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33,76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34,16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35,87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47,18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47,07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40,69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37,65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33,51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40,19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31,16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34,92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31,78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18,41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24,21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9,89</w:t>
            </w:r>
          </w:p>
        </w:tc>
      </w:tr>
      <w:tr w:rsidR="0065398C" w:rsidRPr="0065398C" w:rsidTr="0065398C">
        <w:trPr>
          <w:trHeight w:val="30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Akcize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9,26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8,99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10,36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12,32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12,03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13,03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16,43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20,98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17,25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13,08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13,19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9,74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8,37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9,53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9,17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-8,00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-3,37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3,93</w:t>
            </w:r>
          </w:p>
        </w:tc>
      </w:tr>
      <w:tr w:rsidR="0065398C" w:rsidRPr="0065398C" w:rsidTr="0065398C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Porez na medj trgovinu i transak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1,10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1,31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1,86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2,09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1,99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2,21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1,48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1,69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1,30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1,64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1,98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-11,89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-8,90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-17,33</w:t>
            </w:r>
          </w:p>
        </w:tc>
      </w:tr>
      <w:tr w:rsidR="0065398C" w:rsidRPr="0065398C" w:rsidTr="0065398C">
        <w:trPr>
          <w:trHeight w:val="330"/>
          <w:jc w:val="center"/>
        </w:trPr>
        <w:tc>
          <w:tcPr>
            <w:tcW w:w="2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80,79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94,64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103,84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119,84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95,54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100,17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160,33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141,28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119,00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99,42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98,49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150,13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94,32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88,93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118,43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111,47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14,05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8,03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6,24</w:t>
            </w:r>
          </w:p>
        </w:tc>
      </w:tr>
      <w:tr w:rsidR="0065398C" w:rsidRPr="0065398C" w:rsidTr="0065398C">
        <w:trPr>
          <w:trHeight w:val="390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Bruto zarade i doprinosi na teret posl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30,97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31,35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30,53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30,64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31,06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31,12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30,26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29,27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30,77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30,66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30,67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28,82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31,75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31,98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31,53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32,21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3,28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2,59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-2,10</w:t>
            </w:r>
          </w:p>
        </w:tc>
      </w:tr>
      <w:tr w:rsidR="0065398C" w:rsidRPr="0065398C" w:rsidTr="0065398C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Rashodi za materijal i usluge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3,53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6,33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8,06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7,47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5,58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6,44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6,99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8,39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17,95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3,84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5,14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8,67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7,43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7,63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-1,50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16,64</w:t>
            </w:r>
          </w:p>
        </w:tc>
      </w:tr>
      <w:tr w:rsidR="0065398C" w:rsidRPr="0065398C" w:rsidTr="0065398C">
        <w:trPr>
          <w:trHeight w:val="30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Kamate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0,55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1,76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2,14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24,83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1,13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3,79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5,74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2,10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18,71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0,80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5,12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1,11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4,63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6,11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116,45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80,75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-24,30</w:t>
            </w:r>
          </w:p>
        </w:tc>
      </w:tr>
      <w:tr w:rsidR="0065398C" w:rsidRPr="0065398C" w:rsidTr="0065398C">
        <w:trPr>
          <w:trHeight w:val="30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Transferi za socijalnu zaštitu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38,15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42,30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40,50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40,45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39,92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39,87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39,78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39,18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40,14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39,83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43,05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39,56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41,43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41,92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41,52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3,51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1,61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0,96</w:t>
            </w:r>
          </w:p>
        </w:tc>
      </w:tr>
      <w:tr w:rsidR="0065398C" w:rsidRPr="0065398C" w:rsidTr="0065398C">
        <w:trPr>
          <w:trHeight w:val="36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Transferi instit, pojed i NVO sektoru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4,77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7,18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8,95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5,88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7,42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7,06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5,86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9,04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8,25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7,30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4,75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17,85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4,73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3,67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11,94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8,42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33,48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-2,66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41,84</w:t>
            </w:r>
          </w:p>
        </w:tc>
      </w:tr>
      <w:tr w:rsidR="0065398C" w:rsidRPr="0065398C" w:rsidTr="0065398C">
        <w:trPr>
          <w:trHeight w:val="315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Kapitalni izdaci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0,30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2,12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4,94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4,90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4,93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5,21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4,93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6,63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6,49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22,14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1,67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1,07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6,62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9,36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34,06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27,35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-29,25</w:t>
            </w:r>
          </w:p>
        </w:tc>
      </w:tr>
      <w:tr w:rsidR="0065398C" w:rsidRPr="0065398C" w:rsidTr="0065398C">
        <w:trPr>
          <w:trHeight w:val="330"/>
          <w:jc w:val="center"/>
        </w:trPr>
        <w:tc>
          <w:tcPr>
            <w:tcW w:w="2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-25,86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-18,80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-14,92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-15,89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-1,54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-0,61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-38,31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-16,22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-2,66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17,86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-2,71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-7,70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-23,54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-6,82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-17,76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-21,48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19,02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-19,24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-17,33</w:t>
            </w:r>
          </w:p>
        </w:tc>
      </w:tr>
      <w:tr w:rsidR="0065398C" w:rsidRPr="0065398C" w:rsidTr="0065398C">
        <w:trPr>
          <w:trHeight w:val="330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Primarni deficit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-25,31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-17,04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-12,78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8,94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-0,42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3,19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-32,57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-14,12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16,06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18,66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-1,96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-2,58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-21,23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-5,71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-13,13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-15,37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2,73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-27,32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-14,56</w:t>
            </w:r>
          </w:p>
        </w:tc>
      </w:tr>
      <w:tr w:rsidR="0065398C" w:rsidRPr="0065398C" w:rsidTr="0065398C">
        <w:trPr>
          <w:trHeight w:val="330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Otplata dugova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16,06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7,38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7,22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7,89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5,57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18,47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34,60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16,98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24,39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14,01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17,57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71,64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6,53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9,83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14,29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36,25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-30,57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-31,17</w:t>
            </w:r>
          </w:p>
        </w:tc>
      </w:tr>
      <w:tr w:rsidR="0065398C" w:rsidRPr="0065398C" w:rsidTr="0065398C">
        <w:trPr>
          <w:trHeight w:val="33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1726,6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1732,7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1755,7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1764,2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1767,1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1760,9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1810,4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1844,90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1846,50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1832,00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1886,30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1873,15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1950,10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65398C" w:rsidRPr="0065398C" w:rsidTr="0065398C">
        <w:trPr>
          <w:trHeight w:val="330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Domaći dug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394,0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396,7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420,3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431,7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436,0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442,7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442,8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433,80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480,90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471,70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440,40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440,13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517,60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65398C" w:rsidRPr="0065398C" w:rsidTr="0065398C">
        <w:trPr>
          <w:trHeight w:val="315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rPr>
                <w:rFonts w:cs="Calibri"/>
                <w:b/>
                <w:iCs/>
                <w:sz w:val="16"/>
                <w:szCs w:val="16"/>
              </w:rPr>
            </w:pPr>
            <w:r w:rsidRPr="0065398C">
              <w:rPr>
                <w:rFonts w:cs="Calibri"/>
                <w:b/>
                <w:iCs/>
                <w:sz w:val="16"/>
                <w:szCs w:val="16"/>
              </w:rPr>
              <w:t>Inostrani dug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1332,6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1336,0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1335,4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1332,5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1331,1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1318,2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1367,6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1411,10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1365,60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1360,30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1445,90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color w:val="000000"/>
                <w:sz w:val="16"/>
                <w:szCs w:val="16"/>
              </w:rPr>
              <w:t>1433,02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2188F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1432,50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65398C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398C" w:rsidRPr="0065398C" w:rsidRDefault="0065398C" w:rsidP="0065398C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65398C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</w:tbl>
    <w:p w:rsidR="00CD707C" w:rsidRPr="00715429" w:rsidRDefault="00CD707C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  <w:lang w:val="hr-BA"/>
        </w:rPr>
      </w:pPr>
    </w:p>
    <w:p w:rsidR="00332574" w:rsidRPr="0065398C" w:rsidRDefault="00332574" w:rsidP="00332574">
      <w:pPr>
        <w:outlineLvl w:val="0"/>
        <w:rPr>
          <w:b/>
          <w:i/>
          <w:noProof/>
          <w:sz w:val="18"/>
          <w:szCs w:val="18"/>
          <w:lang w:val="hr-BA"/>
        </w:rPr>
      </w:pPr>
      <w:r w:rsidRPr="0065398C">
        <w:rPr>
          <w:b/>
          <w:i/>
          <w:noProof/>
          <w:sz w:val="18"/>
          <w:szCs w:val="18"/>
          <w:lang w:val="hr-BA"/>
        </w:rPr>
        <w:t>Izvor: Ministarstvo finansija Crne Gore</w:t>
      </w:r>
    </w:p>
    <w:p w:rsidR="00A30E95" w:rsidRPr="00715429" w:rsidRDefault="00A30E95" w:rsidP="00332574">
      <w:pPr>
        <w:outlineLvl w:val="0"/>
        <w:rPr>
          <w:b/>
          <w:i/>
          <w:noProof/>
          <w:sz w:val="16"/>
          <w:szCs w:val="16"/>
          <w:lang w:val="hr-BA"/>
        </w:rPr>
      </w:pPr>
    </w:p>
    <w:p w:rsidR="0082570B" w:rsidRPr="00715429" w:rsidRDefault="0082570B" w:rsidP="005025EC">
      <w:pPr>
        <w:ind w:left="-142"/>
        <w:jc w:val="both"/>
        <w:rPr>
          <w:noProof/>
          <w:sz w:val="14"/>
          <w:szCs w:val="14"/>
          <w:lang w:val="hr-BA"/>
        </w:rPr>
      </w:pPr>
    </w:p>
    <w:sectPr w:rsidR="0082570B" w:rsidRPr="00715429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60E" w:rsidRDefault="005F060E" w:rsidP="00965FCD">
      <w:pPr>
        <w:spacing w:after="0" w:line="240" w:lineRule="auto"/>
      </w:pPr>
      <w:r>
        <w:separator/>
      </w:r>
    </w:p>
  </w:endnote>
  <w:endnote w:type="continuationSeparator" w:id="1">
    <w:p w:rsidR="005F060E" w:rsidRDefault="005F060E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60E" w:rsidRDefault="005F060E" w:rsidP="00965FCD">
      <w:pPr>
        <w:spacing w:after="0" w:line="240" w:lineRule="auto"/>
      </w:pPr>
      <w:r>
        <w:separator/>
      </w:r>
    </w:p>
  </w:footnote>
  <w:footnote w:type="continuationSeparator" w:id="1">
    <w:p w:rsidR="005F060E" w:rsidRDefault="005F060E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5"/>
  </w:num>
  <w:num w:numId="3">
    <w:abstractNumId w:val="24"/>
  </w:num>
  <w:num w:numId="4">
    <w:abstractNumId w:val="17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8"/>
  </w:num>
  <w:num w:numId="8">
    <w:abstractNumId w:val="2"/>
  </w:num>
  <w:num w:numId="9">
    <w:abstractNumId w:val="0"/>
  </w:num>
  <w:num w:numId="10">
    <w:abstractNumId w:val="23"/>
  </w:num>
  <w:num w:numId="11">
    <w:abstractNumId w:val="1"/>
  </w:num>
  <w:num w:numId="12">
    <w:abstractNumId w:val="22"/>
  </w:num>
  <w:num w:numId="13">
    <w:abstractNumId w:val="19"/>
  </w:num>
  <w:num w:numId="14">
    <w:abstractNumId w:val="6"/>
  </w:num>
  <w:num w:numId="15">
    <w:abstractNumId w:val="4"/>
  </w:num>
  <w:num w:numId="16">
    <w:abstractNumId w:val="13"/>
  </w:num>
  <w:num w:numId="17">
    <w:abstractNumId w:val="8"/>
  </w:num>
  <w:num w:numId="18">
    <w:abstractNumId w:val="16"/>
  </w:num>
  <w:num w:numId="19">
    <w:abstractNumId w:val="7"/>
  </w:num>
  <w:num w:numId="20">
    <w:abstractNumId w:val="14"/>
  </w:num>
  <w:num w:numId="21">
    <w:abstractNumId w:val="15"/>
  </w:num>
  <w:num w:numId="22">
    <w:abstractNumId w:val="11"/>
  </w:num>
  <w:num w:numId="23">
    <w:abstractNumId w:val="10"/>
  </w:num>
  <w:num w:numId="24">
    <w:abstractNumId w:val="21"/>
  </w:num>
  <w:num w:numId="25">
    <w:abstractNumId w:val="3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62178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9E1"/>
    <w:rsid w:val="000010A3"/>
    <w:rsid w:val="00003D78"/>
    <w:rsid w:val="00004B56"/>
    <w:rsid w:val="00005D5A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24B4"/>
    <w:rsid w:val="00022789"/>
    <w:rsid w:val="0002327A"/>
    <w:rsid w:val="00024DC9"/>
    <w:rsid w:val="0002564B"/>
    <w:rsid w:val="00025AC0"/>
    <w:rsid w:val="000263A4"/>
    <w:rsid w:val="000300F0"/>
    <w:rsid w:val="000314E5"/>
    <w:rsid w:val="00031722"/>
    <w:rsid w:val="00031FAD"/>
    <w:rsid w:val="00032524"/>
    <w:rsid w:val="00032D34"/>
    <w:rsid w:val="000341DE"/>
    <w:rsid w:val="00034923"/>
    <w:rsid w:val="0003497A"/>
    <w:rsid w:val="00034D42"/>
    <w:rsid w:val="00034F07"/>
    <w:rsid w:val="0003544A"/>
    <w:rsid w:val="000369E1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EAB"/>
    <w:rsid w:val="00052732"/>
    <w:rsid w:val="00052DC4"/>
    <w:rsid w:val="00054068"/>
    <w:rsid w:val="000547A1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7726"/>
    <w:rsid w:val="00067FD6"/>
    <w:rsid w:val="00070965"/>
    <w:rsid w:val="000734AF"/>
    <w:rsid w:val="00073786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320"/>
    <w:rsid w:val="00085B67"/>
    <w:rsid w:val="00090FDD"/>
    <w:rsid w:val="00091154"/>
    <w:rsid w:val="000915D3"/>
    <w:rsid w:val="000917D8"/>
    <w:rsid w:val="000924C0"/>
    <w:rsid w:val="000925F7"/>
    <w:rsid w:val="00094311"/>
    <w:rsid w:val="000945C9"/>
    <w:rsid w:val="0009505C"/>
    <w:rsid w:val="0009548F"/>
    <w:rsid w:val="000956EB"/>
    <w:rsid w:val="00097527"/>
    <w:rsid w:val="00097E38"/>
    <w:rsid w:val="000A1159"/>
    <w:rsid w:val="000A14DA"/>
    <w:rsid w:val="000A2350"/>
    <w:rsid w:val="000A2F52"/>
    <w:rsid w:val="000A33CB"/>
    <w:rsid w:val="000A43CE"/>
    <w:rsid w:val="000A47FF"/>
    <w:rsid w:val="000A4E37"/>
    <w:rsid w:val="000A787A"/>
    <w:rsid w:val="000B19D0"/>
    <w:rsid w:val="000B1DD7"/>
    <w:rsid w:val="000B45AB"/>
    <w:rsid w:val="000B4800"/>
    <w:rsid w:val="000B48EE"/>
    <w:rsid w:val="000B502D"/>
    <w:rsid w:val="000B54A3"/>
    <w:rsid w:val="000B5DD4"/>
    <w:rsid w:val="000B6252"/>
    <w:rsid w:val="000B67B1"/>
    <w:rsid w:val="000B69BF"/>
    <w:rsid w:val="000B788B"/>
    <w:rsid w:val="000B7AE2"/>
    <w:rsid w:val="000C06C5"/>
    <w:rsid w:val="000C0B0A"/>
    <w:rsid w:val="000C108E"/>
    <w:rsid w:val="000C1965"/>
    <w:rsid w:val="000C3655"/>
    <w:rsid w:val="000C36DB"/>
    <w:rsid w:val="000C5764"/>
    <w:rsid w:val="000C5FBB"/>
    <w:rsid w:val="000C65A2"/>
    <w:rsid w:val="000C6818"/>
    <w:rsid w:val="000C72DD"/>
    <w:rsid w:val="000D0368"/>
    <w:rsid w:val="000D0374"/>
    <w:rsid w:val="000D09EB"/>
    <w:rsid w:val="000D52CF"/>
    <w:rsid w:val="000D588E"/>
    <w:rsid w:val="000D5D48"/>
    <w:rsid w:val="000D5ED7"/>
    <w:rsid w:val="000D6CD4"/>
    <w:rsid w:val="000D6DF1"/>
    <w:rsid w:val="000D765B"/>
    <w:rsid w:val="000E13EB"/>
    <w:rsid w:val="000E2251"/>
    <w:rsid w:val="000E2351"/>
    <w:rsid w:val="000E3987"/>
    <w:rsid w:val="000E40CC"/>
    <w:rsid w:val="000E6096"/>
    <w:rsid w:val="000E77A4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21CB"/>
    <w:rsid w:val="001030CC"/>
    <w:rsid w:val="0010339D"/>
    <w:rsid w:val="00103CA9"/>
    <w:rsid w:val="0010452C"/>
    <w:rsid w:val="00106446"/>
    <w:rsid w:val="0010656B"/>
    <w:rsid w:val="00107128"/>
    <w:rsid w:val="00107647"/>
    <w:rsid w:val="00107A07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AB0"/>
    <w:rsid w:val="00120A3A"/>
    <w:rsid w:val="00123CBD"/>
    <w:rsid w:val="00124730"/>
    <w:rsid w:val="001251D5"/>
    <w:rsid w:val="001276C7"/>
    <w:rsid w:val="00127B5A"/>
    <w:rsid w:val="00131185"/>
    <w:rsid w:val="001326B7"/>
    <w:rsid w:val="00134816"/>
    <w:rsid w:val="00134A21"/>
    <w:rsid w:val="00134C6C"/>
    <w:rsid w:val="00136E70"/>
    <w:rsid w:val="00141FDD"/>
    <w:rsid w:val="00143FCB"/>
    <w:rsid w:val="00144C86"/>
    <w:rsid w:val="00144EE5"/>
    <w:rsid w:val="0014607D"/>
    <w:rsid w:val="00147278"/>
    <w:rsid w:val="00150707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10BD"/>
    <w:rsid w:val="001613FC"/>
    <w:rsid w:val="001627A3"/>
    <w:rsid w:val="00163041"/>
    <w:rsid w:val="00163A7B"/>
    <w:rsid w:val="001644C7"/>
    <w:rsid w:val="001646BA"/>
    <w:rsid w:val="00165DE6"/>
    <w:rsid w:val="00167281"/>
    <w:rsid w:val="001672AB"/>
    <w:rsid w:val="001678F1"/>
    <w:rsid w:val="00170C82"/>
    <w:rsid w:val="00170CCE"/>
    <w:rsid w:val="00172816"/>
    <w:rsid w:val="00172D59"/>
    <w:rsid w:val="001730BE"/>
    <w:rsid w:val="00174836"/>
    <w:rsid w:val="0017540F"/>
    <w:rsid w:val="00181309"/>
    <w:rsid w:val="001824C2"/>
    <w:rsid w:val="0018289E"/>
    <w:rsid w:val="0018331D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785"/>
    <w:rsid w:val="001942BA"/>
    <w:rsid w:val="001971A8"/>
    <w:rsid w:val="001A2829"/>
    <w:rsid w:val="001A2F7A"/>
    <w:rsid w:val="001A392F"/>
    <w:rsid w:val="001A594D"/>
    <w:rsid w:val="001A5B99"/>
    <w:rsid w:val="001A65F4"/>
    <w:rsid w:val="001A7319"/>
    <w:rsid w:val="001B0396"/>
    <w:rsid w:val="001B25FF"/>
    <w:rsid w:val="001B3267"/>
    <w:rsid w:val="001B3BE3"/>
    <w:rsid w:val="001B4CB9"/>
    <w:rsid w:val="001B4F99"/>
    <w:rsid w:val="001B7AD0"/>
    <w:rsid w:val="001B7D00"/>
    <w:rsid w:val="001C0237"/>
    <w:rsid w:val="001C0AB4"/>
    <w:rsid w:val="001C1490"/>
    <w:rsid w:val="001C1928"/>
    <w:rsid w:val="001C1F7E"/>
    <w:rsid w:val="001C22CB"/>
    <w:rsid w:val="001C23DD"/>
    <w:rsid w:val="001C264C"/>
    <w:rsid w:val="001C2751"/>
    <w:rsid w:val="001C51EC"/>
    <w:rsid w:val="001C5CE9"/>
    <w:rsid w:val="001C6698"/>
    <w:rsid w:val="001C6750"/>
    <w:rsid w:val="001C70BA"/>
    <w:rsid w:val="001D0226"/>
    <w:rsid w:val="001D0A32"/>
    <w:rsid w:val="001D21BD"/>
    <w:rsid w:val="001D37FD"/>
    <w:rsid w:val="001D4E81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C02"/>
    <w:rsid w:val="001F69DD"/>
    <w:rsid w:val="001F7445"/>
    <w:rsid w:val="001F7C33"/>
    <w:rsid w:val="001F7C4B"/>
    <w:rsid w:val="002000E5"/>
    <w:rsid w:val="00200A3F"/>
    <w:rsid w:val="0020246C"/>
    <w:rsid w:val="00203447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8D8"/>
    <w:rsid w:val="00212CDE"/>
    <w:rsid w:val="002135A2"/>
    <w:rsid w:val="0021614C"/>
    <w:rsid w:val="00220834"/>
    <w:rsid w:val="00220B59"/>
    <w:rsid w:val="002210E9"/>
    <w:rsid w:val="00222175"/>
    <w:rsid w:val="00223E45"/>
    <w:rsid w:val="00224AD0"/>
    <w:rsid w:val="002251C3"/>
    <w:rsid w:val="00225534"/>
    <w:rsid w:val="00225F74"/>
    <w:rsid w:val="002263B3"/>
    <w:rsid w:val="0022695C"/>
    <w:rsid w:val="00227682"/>
    <w:rsid w:val="00227D75"/>
    <w:rsid w:val="00230DE8"/>
    <w:rsid w:val="00230FA2"/>
    <w:rsid w:val="00231268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7AE"/>
    <w:rsid w:val="00243419"/>
    <w:rsid w:val="00245A6C"/>
    <w:rsid w:val="00245B04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89F"/>
    <w:rsid w:val="00265023"/>
    <w:rsid w:val="002650CF"/>
    <w:rsid w:val="00265406"/>
    <w:rsid w:val="00265A3D"/>
    <w:rsid w:val="002662BE"/>
    <w:rsid w:val="002668AA"/>
    <w:rsid w:val="002679BB"/>
    <w:rsid w:val="0027004E"/>
    <w:rsid w:val="00270FD9"/>
    <w:rsid w:val="002717A8"/>
    <w:rsid w:val="002723A7"/>
    <w:rsid w:val="002723D9"/>
    <w:rsid w:val="00274EBC"/>
    <w:rsid w:val="00275609"/>
    <w:rsid w:val="00280105"/>
    <w:rsid w:val="00282488"/>
    <w:rsid w:val="00282DBE"/>
    <w:rsid w:val="00283704"/>
    <w:rsid w:val="00287A18"/>
    <w:rsid w:val="00292EC3"/>
    <w:rsid w:val="00294586"/>
    <w:rsid w:val="00294DE0"/>
    <w:rsid w:val="00296127"/>
    <w:rsid w:val="00296B08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CED"/>
    <w:rsid w:val="002A4910"/>
    <w:rsid w:val="002A5C73"/>
    <w:rsid w:val="002A68B8"/>
    <w:rsid w:val="002B10AE"/>
    <w:rsid w:val="002B318C"/>
    <w:rsid w:val="002B3824"/>
    <w:rsid w:val="002B552A"/>
    <w:rsid w:val="002B74C5"/>
    <w:rsid w:val="002C010C"/>
    <w:rsid w:val="002C1A52"/>
    <w:rsid w:val="002C1FBF"/>
    <w:rsid w:val="002C25C6"/>
    <w:rsid w:val="002C4737"/>
    <w:rsid w:val="002C47B8"/>
    <w:rsid w:val="002C4A81"/>
    <w:rsid w:val="002C6888"/>
    <w:rsid w:val="002C78FB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DE"/>
    <w:rsid w:val="002D5187"/>
    <w:rsid w:val="002D5865"/>
    <w:rsid w:val="002D77A7"/>
    <w:rsid w:val="002D7BA6"/>
    <w:rsid w:val="002E294A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6AB2"/>
    <w:rsid w:val="002F7C7C"/>
    <w:rsid w:val="003004B8"/>
    <w:rsid w:val="003022A7"/>
    <w:rsid w:val="00303D85"/>
    <w:rsid w:val="0030680B"/>
    <w:rsid w:val="00307512"/>
    <w:rsid w:val="00307F4D"/>
    <w:rsid w:val="0031098B"/>
    <w:rsid w:val="00311A9D"/>
    <w:rsid w:val="00312994"/>
    <w:rsid w:val="00313CA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6A"/>
    <w:rsid w:val="0033283B"/>
    <w:rsid w:val="00333C49"/>
    <w:rsid w:val="00336033"/>
    <w:rsid w:val="00337648"/>
    <w:rsid w:val="00340752"/>
    <w:rsid w:val="003409C9"/>
    <w:rsid w:val="00341583"/>
    <w:rsid w:val="00341F7C"/>
    <w:rsid w:val="00344581"/>
    <w:rsid w:val="00344DF2"/>
    <w:rsid w:val="003454A9"/>
    <w:rsid w:val="0034655C"/>
    <w:rsid w:val="00346FFA"/>
    <w:rsid w:val="00350CFE"/>
    <w:rsid w:val="0035139C"/>
    <w:rsid w:val="003524FD"/>
    <w:rsid w:val="003561B8"/>
    <w:rsid w:val="003568F4"/>
    <w:rsid w:val="00357182"/>
    <w:rsid w:val="00357B8D"/>
    <w:rsid w:val="00357E66"/>
    <w:rsid w:val="00360100"/>
    <w:rsid w:val="00360197"/>
    <w:rsid w:val="003625F1"/>
    <w:rsid w:val="003634DC"/>
    <w:rsid w:val="003638CF"/>
    <w:rsid w:val="00363C84"/>
    <w:rsid w:val="00364D14"/>
    <w:rsid w:val="00365311"/>
    <w:rsid w:val="003655B6"/>
    <w:rsid w:val="00365E46"/>
    <w:rsid w:val="00366F41"/>
    <w:rsid w:val="0037726C"/>
    <w:rsid w:val="00377697"/>
    <w:rsid w:val="00377A53"/>
    <w:rsid w:val="003809F3"/>
    <w:rsid w:val="0038117E"/>
    <w:rsid w:val="0038135E"/>
    <w:rsid w:val="003813A6"/>
    <w:rsid w:val="00381900"/>
    <w:rsid w:val="00381B03"/>
    <w:rsid w:val="0038259A"/>
    <w:rsid w:val="00382F01"/>
    <w:rsid w:val="00384DC2"/>
    <w:rsid w:val="00387C29"/>
    <w:rsid w:val="00387DAD"/>
    <w:rsid w:val="00390732"/>
    <w:rsid w:val="00391CC7"/>
    <w:rsid w:val="0039257B"/>
    <w:rsid w:val="0039441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8D5"/>
    <w:rsid w:val="003B4F8C"/>
    <w:rsid w:val="003B5512"/>
    <w:rsid w:val="003B62EC"/>
    <w:rsid w:val="003B6749"/>
    <w:rsid w:val="003B6844"/>
    <w:rsid w:val="003B75FC"/>
    <w:rsid w:val="003B7F5E"/>
    <w:rsid w:val="003C1215"/>
    <w:rsid w:val="003C14C9"/>
    <w:rsid w:val="003C15EF"/>
    <w:rsid w:val="003C1D23"/>
    <w:rsid w:val="003C4817"/>
    <w:rsid w:val="003C5E7B"/>
    <w:rsid w:val="003C6A22"/>
    <w:rsid w:val="003C79AC"/>
    <w:rsid w:val="003D1EDB"/>
    <w:rsid w:val="003D4359"/>
    <w:rsid w:val="003D4739"/>
    <w:rsid w:val="003D56FD"/>
    <w:rsid w:val="003D75A1"/>
    <w:rsid w:val="003D78F3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719B"/>
    <w:rsid w:val="003E757E"/>
    <w:rsid w:val="003F0052"/>
    <w:rsid w:val="003F0CAE"/>
    <w:rsid w:val="003F0EA8"/>
    <w:rsid w:val="003F250B"/>
    <w:rsid w:val="003F5183"/>
    <w:rsid w:val="003F56BD"/>
    <w:rsid w:val="003F5A35"/>
    <w:rsid w:val="003F7085"/>
    <w:rsid w:val="00400C11"/>
    <w:rsid w:val="004010A8"/>
    <w:rsid w:val="00401DED"/>
    <w:rsid w:val="00402680"/>
    <w:rsid w:val="00404546"/>
    <w:rsid w:val="00406097"/>
    <w:rsid w:val="00406C7B"/>
    <w:rsid w:val="00407182"/>
    <w:rsid w:val="004078E5"/>
    <w:rsid w:val="00407FE4"/>
    <w:rsid w:val="00412F68"/>
    <w:rsid w:val="0041311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CD5"/>
    <w:rsid w:val="00421E9D"/>
    <w:rsid w:val="00422784"/>
    <w:rsid w:val="00423EE9"/>
    <w:rsid w:val="00425EC2"/>
    <w:rsid w:val="00427187"/>
    <w:rsid w:val="00427696"/>
    <w:rsid w:val="00427FB8"/>
    <w:rsid w:val="00431253"/>
    <w:rsid w:val="00432066"/>
    <w:rsid w:val="00435D37"/>
    <w:rsid w:val="00436469"/>
    <w:rsid w:val="00436FB4"/>
    <w:rsid w:val="004379FA"/>
    <w:rsid w:val="00442E20"/>
    <w:rsid w:val="0044465C"/>
    <w:rsid w:val="0044550D"/>
    <w:rsid w:val="004471B9"/>
    <w:rsid w:val="00447221"/>
    <w:rsid w:val="004509F6"/>
    <w:rsid w:val="00453CE3"/>
    <w:rsid w:val="00454093"/>
    <w:rsid w:val="00454C7D"/>
    <w:rsid w:val="00455227"/>
    <w:rsid w:val="004574D9"/>
    <w:rsid w:val="0045758B"/>
    <w:rsid w:val="00461324"/>
    <w:rsid w:val="0046148B"/>
    <w:rsid w:val="00461657"/>
    <w:rsid w:val="00461995"/>
    <w:rsid w:val="004634E4"/>
    <w:rsid w:val="004639A5"/>
    <w:rsid w:val="004655E7"/>
    <w:rsid w:val="0046659C"/>
    <w:rsid w:val="00466A02"/>
    <w:rsid w:val="00466E96"/>
    <w:rsid w:val="00466F15"/>
    <w:rsid w:val="00467511"/>
    <w:rsid w:val="0047022C"/>
    <w:rsid w:val="004725CB"/>
    <w:rsid w:val="0047278D"/>
    <w:rsid w:val="00475763"/>
    <w:rsid w:val="00475BE2"/>
    <w:rsid w:val="00480082"/>
    <w:rsid w:val="00483B9D"/>
    <w:rsid w:val="0048470D"/>
    <w:rsid w:val="004848E8"/>
    <w:rsid w:val="00484EA7"/>
    <w:rsid w:val="004865CE"/>
    <w:rsid w:val="004868F5"/>
    <w:rsid w:val="0048699B"/>
    <w:rsid w:val="00487296"/>
    <w:rsid w:val="0049070F"/>
    <w:rsid w:val="004932C1"/>
    <w:rsid w:val="00493B63"/>
    <w:rsid w:val="004940E0"/>
    <w:rsid w:val="00496861"/>
    <w:rsid w:val="004A1113"/>
    <w:rsid w:val="004A2665"/>
    <w:rsid w:val="004A344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F63"/>
    <w:rsid w:val="004B7800"/>
    <w:rsid w:val="004B7883"/>
    <w:rsid w:val="004B7C4B"/>
    <w:rsid w:val="004C0135"/>
    <w:rsid w:val="004C0541"/>
    <w:rsid w:val="004C16F3"/>
    <w:rsid w:val="004C206D"/>
    <w:rsid w:val="004C373F"/>
    <w:rsid w:val="004C3C31"/>
    <w:rsid w:val="004C659C"/>
    <w:rsid w:val="004D49A0"/>
    <w:rsid w:val="004D4E0F"/>
    <w:rsid w:val="004D7775"/>
    <w:rsid w:val="004E02D3"/>
    <w:rsid w:val="004E28B9"/>
    <w:rsid w:val="004E4063"/>
    <w:rsid w:val="004E475F"/>
    <w:rsid w:val="004E6169"/>
    <w:rsid w:val="004E6C21"/>
    <w:rsid w:val="004E7676"/>
    <w:rsid w:val="004F17AF"/>
    <w:rsid w:val="004F2797"/>
    <w:rsid w:val="004F288B"/>
    <w:rsid w:val="004F31D0"/>
    <w:rsid w:val="004F3817"/>
    <w:rsid w:val="004F4CFC"/>
    <w:rsid w:val="004F50B8"/>
    <w:rsid w:val="004F62C2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1201B"/>
    <w:rsid w:val="0051345D"/>
    <w:rsid w:val="00516264"/>
    <w:rsid w:val="00516511"/>
    <w:rsid w:val="00517175"/>
    <w:rsid w:val="00521DE6"/>
    <w:rsid w:val="005221F4"/>
    <w:rsid w:val="00522282"/>
    <w:rsid w:val="00524587"/>
    <w:rsid w:val="0052511E"/>
    <w:rsid w:val="0052531F"/>
    <w:rsid w:val="005253D1"/>
    <w:rsid w:val="005264EC"/>
    <w:rsid w:val="00530AE6"/>
    <w:rsid w:val="00532B88"/>
    <w:rsid w:val="005331B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D70"/>
    <w:rsid w:val="005429A2"/>
    <w:rsid w:val="005436E2"/>
    <w:rsid w:val="00543A1F"/>
    <w:rsid w:val="005468F5"/>
    <w:rsid w:val="00546967"/>
    <w:rsid w:val="00547212"/>
    <w:rsid w:val="005479C8"/>
    <w:rsid w:val="00547B34"/>
    <w:rsid w:val="005523CF"/>
    <w:rsid w:val="00552402"/>
    <w:rsid w:val="0055364A"/>
    <w:rsid w:val="00553E61"/>
    <w:rsid w:val="0055409D"/>
    <w:rsid w:val="00555066"/>
    <w:rsid w:val="0055507E"/>
    <w:rsid w:val="00555A5E"/>
    <w:rsid w:val="005562D6"/>
    <w:rsid w:val="005568D7"/>
    <w:rsid w:val="0055713F"/>
    <w:rsid w:val="00560113"/>
    <w:rsid w:val="00560529"/>
    <w:rsid w:val="00560667"/>
    <w:rsid w:val="00561992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80172"/>
    <w:rsid w:val="00580859"/>
    <w:rsid w:val="00581749"/>
    <w:rsid w:val="005818A8"/>
    <w:rsid w:val="005829D9"/>
    <w:rsid w:val="00583591"/>
    <w:rsid w:val="005838F0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2DF3"/>
    <w:rsid w:val="00593B25"/>
    <w:rsid w:val="00595DA2"/>
    <w:rsid w:val="00596079"/>
    <w:rsid w:val="005966E6"/>
    <w:rsid w:val="005A054F"/>
    <w:rsid w:val="005A13E6"/>
    <w:rsid w:val="005A1C61"/>
    <w:rsid w:val="005A4AB8"/>
    <w:rsid w:val="005A5064"/>
    <w:rsid w:val="005A5229"/>
    <w:rsid w:val="005B0DB1"/>
    <w:rsid w:val="005B18F4"/>
    <w:rsid w:val="005B25F8"/>
    <w:rsid w:val="005B2BF5"/>
    <w:rsid w:val="005B5CB7"/>
    <w:rsid w:val="005B5F21"/>
    <w:rsid w:val="005B7040"/>
    <w:rsid w:val="005C19AB"/>
    <w:rsid w:val="005C363C"/>
    <w:rsid w:val="005C3915"/>
    <w:rsid w:val="005C3D3E"/>
    <w:rsid w:val="005C4CBE"/>
    <w:rsid w:val="005C4DBD"/>
    <w:rsid w:val="005C4E87"/>
    <w:rsid w:val="005C5F38"/>
    <w:rsid w:val="005D07D1"/>
    <w:rsid w:val="005D0E14"/>
    <w:rsid w:val="005D2F3D"/>
    <w:rsid w:val="005D4BC4"/>
    <w:rsid w:val="005D5D14"/>
    <w:rsid w:val="005D6EEB"/>
    <w:rsid w:val="005D751B"/>
    <w:rsid w:val="005E0358"/>
    <w:rsid w:val="005E038B"/>
    <w:rsid w:val="005E150E"/>
    <w:rsid w:val="005E199C"/>
    <w:rsid w:val="005E2852"/>
    <w:rsid w:val="005E2B06"/>
    <w:rsid w:val="005E35C9"/>
    <w:rsid w:val="005E4CD1"/>
    <w:rsid w:val="005E5941"/>
    <w:rsid w:val="005E6D35"/>
    <w:rsid w:val="005F060E"/>
    <w:rsid w:val="005F13D5"/>
    <w:rsid w:val="005F50EA"/>
    <w:rsid w:val="005F568D"/>
    <w:rsid w:val="006006C6"/>
    <w:rsid w:val="006050EA"/>
    <w:rsid w:val="006070E0"/>
    <w:rsid w:val="006071F2"/>
    <w:rsid w:val="00607217"/>
    <w:rsid w:val="00607500"/>
    <w:rsid w:val="00607541"/>
    <w:rsid w:val="0061084D"/>
    <w:rsid w:val="00610DDD"/>
    <w:rsid w:val="006127E9"/>
    <w:rsid w:val="00612A53"/>
    <w:rsid w:val="00612A74"/>
    <w:rsid w:val="00612F5E"/>
    <w:rsid w:val="00613676"/>
    <w:rsid w:val="006139C9"/>
    <w:rsid w:val="006142D5"/>
    <w:rsid w:val="006152FB"/>
    <w:rsid w:val="0061569F"/>
    <w:rsid w:val="00616B6E"/>
    <w:rsid w:val="00617CA0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304FD"/>
    <w:rsid w:val="00632692"/>
    <w:rsid w:val="00634B74"/>
    <w:rsid w:val="006357BA"/>
    <w:rsid w:val="0063610A"/>
    <w:rsid w:val="00642A13"/>
    <w:rsid w:val="00642F40"/>
    <w:rsid w:val="006435D8"/>
    <w:rsid w:val="00645ED4"/>
    <w:rsid w:val="00647463"/>
    <w:rsid w:val="00647B12"/>
    <w:rsid w:val="006509EE"/>
    <w:rsid w:val="00651027"/>
    <w:rsid w:val="0065108A"/>
    <w:rsid w:val="006534C5"/>
    <w:rsid w:val="0065398C"/>
    <w:rsid w:val="00653CF3"/>
    <w:rsid w:val="00654A8A"/>
    <w:rsid w:val="0065518C"/>
    <w:rsid w:val="0065775B"/>
    <w:rsid w:val="00657F58"/>
    <w:rsid w:val="00661339"/>
    <w:rsid w:val="00661C7E"/>
    <w:rsid w:val="00663690"/>
    <w:rsid w:val="00664DE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C8B"/>
    <w:rsid w:val="0067730D"/>
    <w:rsid w:val="006807FE"/>
    <w:rsid w:val="00680A78"/>
    <w:rsid w:val="00681351"/>
    <w:rsid w:val="00681A9E"/>
    <w:rsid w:val="00682718"/>
    <w:rsid w:val="00684818"/>
    <w:rsid w:val="00684902"/>
    <w:rsid w:val="00685393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C5"/>
    <w:rsid w:val="006966E3"/>
    <w:rsid w:val="006971AF"/>
    <w:rsid w:val="00697A91"/>
    <w:rsid w:val="006A0B4A"/>
    <w:rsid w:val="006A144B"/>
    <w:rsid w:val="006A1C8D"/>
    <w:rsid w:val="006A290B"/>
    <w:rsid w:val="006A478E"/>
    <w:rsid w:val="006A4801"/>
    <w:rsid w:val="006A5DE6"/>
    <w:rsid w:val="006A5F7F"/>
    <w:rsid w:val="006A6C58"/>
    <w:rsid w:val="006A6FB2"/>
    <w:rsid w:val="006B159D"/>
    <w:rsid w:val="006B22E5"/>
    <w:rsid w:val="006B2866"/>
    <w:rsid w:val="006B3579"/>
    <w:rsid w:val="006B4777"/>
    <w:rsid w:val="006B5211"/>
    <w:rsid w:val="006B5863"/>
    <w:rsid w:val="006B729D"/>
    <w:rsid w:val="006B7725"/>
    <w:rsid w:val="006C1458"/>
    <w:rsid w:val="006C15C6"/>
    <w:rsid w:val="006C1C26"/>
    <w:rsid w:val="006C27EC"/>
    <w:rsid w:val="006C28CF"/>
    <w:rsid w:val="006C2906"/>
    <w:rsid w:val="006C2EF6"/>
    <w:rsid w:val="006C3C84"/>
    <w:rsid w:val="006C5096"/>
    <w:rsid w:val="006C5F17"/>
    <w:rsid w:val="006C6303"/>
    <w:rsid w:val="006C6B7E"/>
    <w:rsid w:val="006C6BF9"/>
    <w:rsid w:val="006C6C06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74DB"/>
    <w:rsid w:val="006E11AC"/>
    <w:rsid w:val="006E4746"/>
    <w:rsid w:val="006E4B91"/>
    <w:rsid w:val="006E6751"/>
    <w:rsid w:val="006E7282"/>
    <w:rsid w:val="006F0752"/>
    <w:rsid w:val="006F1525"/>
    <w:rsid w:val="006F1AFE"/>
    <w:rsid w:val="006F2861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5089"/>
    <w:rsid w:val="007055C9"/>
    <w:rsid w:val="007067B2"/>
    <w:rsid w:val="00706A33"/>
    <w:rsid w:val="00706CF0"/>
    <w:rsid w:val="00707E96"/>
    <w:rsid w:val="00710BC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19C8"/>
    <w:rsid w:val="007326D7"/>
    <w:rsid w:val="00733BCB"/>
    <w:rsid w:val="0073431B"/>
    <w:rsid w:val="00734688"/>
    <w:rsid w:val="00734729"/>
    <w:rsid w:val="00736E76"/>
    <w:rsid w:val="0073706D"/>
    <w:rsid w:val="007375FD"/>
    <w:rsid w:val="00737DB4"/>
    <w:rsid w:val="007406F2"/>
    <w:rsid w:val="00742C04"/>
    <w:rsid w:val="00743684"/>
    <w:rsid w:val="007452A1"/>
    <w:rsid w:val="00745BCE"/>
    <w:rsid w:val="00746132"/>
    <w:rsid w:val="007469F9"/>
    <w:rsid w:val="00747828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79F4"/>
    <w:rsid w:val="00757A6C"/>
    <w:rsid w:val="0076100C"/>
    <w:rsid w:val="00761287"/>
    <w:rsid w:val="0076182F"/>
    <w:rsid w:val="007618B8"/>
    <w:rsid w:val="00762622"/>
    <w:rsid w:val="0076413B"/>
    <w:rsid w:val="007652FD"/>
    <w:rsid w:val="0076645A"/>
    <w:rsid w:val="007675AF"/>
    <w:rsid w:val="00771538"/>
    <w:rsid w:val="00771D94"/>
    <w:rsid w:val="007722BC"/>
    <w:rsid w:val="00772A01"/>
    <w:rsid w:val="00772F45"/>
    <w:rsid w:val="00773C65"/>
    <w:rsid w:val="00775529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BF8"/>
    <w:rsid w:val="00784DAE"/>
    <w:rsid w:val="00784E09"/>
    <w:rsid w:val="00785339"/>
    <w:rsid w:val="00786F50"/>
    <w:rsid w:val="00787E88"/>
    <w:rsid w:val="00791DC2"/>
    <w:rsid w:val="00793A27"/>
    <w:rsid w:val="00793F4D"/>
    <w:rsid w:val="007941BB"/>
    <w:rsid w:val="00794B8C"/>
    <w:rsid w:val="00796ED1"/>
    <w:rsid w:val="007978AC"/>
    <w:rsid w:val="00797B66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41C4"/>
    <w:rsid w:val="007B5A1B"/>
    <w:rsid w:val="007B5C2E"/>
    <w:rsid w:val="007B7DBE"/>
    <w:rsid w:val="007B7EED"/>
    <w:rsid w:val="007C1EE8"/>
    <w:rsid w:val="007C2107"/>
    <w:rsid w:val="007C2827"/>
    <w:rsid w:val="007C43BE"/>
    <w:rsid w:val="007C49FF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E0203"/>
    <w:rsid w:val="007E056C"/>
    <w:rsid w:val="007E0761"/>
    <w:rsid w:val="007E081D"/>
    <w:rsid w:val="007E1AB8"/>
    <w:rsid w:val="007E293C"/>
    <w:rsid w:val="007E36EB"/>
    <w:rsid w:val="007E380A"/>
    <w:rsid w:val="007E5CC1"/>
    <w:rsid w:val="007E7DDD"/>
    <w:rsid w:val="007F182C"/>
    <w:rsid w:val="007F33E9"/>
    <w:rsid w:val="007F388B"/>
    <w:rsid w:val="007F4571"/>
    <w:rsid w:val="007F4D55"/>
    <w:rsid w:val="007F61AF"/>
    <w:rsid w:val="007F775F"/>
    <w:rsid w:val="007F7F34"/>
    <w:rsid w:val="0080031F"/>
    <w:rsid w:val="00801411"/>
    <w:rsid w:val="00801DB8"/>
    <w:rsid w:val="0080291E"/>
    <w:rsid w:val="00802B7F"/>
    <w:rsid w:val="00804F0B"/>
    <w:rsid w:val="00805844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4063"/>
    <w:rsid w:val="00815A2F"/>
    <w:rsid w:val="00817A6A"/>
    <w:rsid w:val="0082070B"/>
    <w:rsid w:val="0082084A"/>
    <w:rsid w:val="00822F67"/>
    <w:rsid w:val="008251C2"/>
    <w:rsid w:val="0082570B"/>
    <w:rsid w:val="008269CE"/>
    <w:rsid w:val="0082721B"/>
    <w:rsid w:val="008312F3"/>
    <w:rsid w:val="008343BA"/>
    <w:rsid w:val="0083553F"/>
    <w:rsid w:val="008355A8"/>
    <w:rsid w:val="00836A00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7B5B"/>
    <w:rsid w:val="00847C9F"/>
    <w:rsid w:val="00847EBF"/>
    <w:rsid w:val="0085138D"/>
    <w:rsid w:val="00854098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3019"/>
    <w:rsid w:val="00864891"/>
    <w:rsid w:val="00864D7E"/>
    <w:rsid w:val="008654E2"/>
    <w:rsid w:val="008656F4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70B1"/>
    <w:rsid w:val="00877642"/>
    <w:rsid w:val="00877FE9"/>
    <w:rsid w:val="00880646"/>
    <w:rsid w:val="00881C0B"/>
    <w:rsid w:val="00882650"/>
    <w:rsid w:val="00883754"/>
    <w:rsid w:val="008842AB"/>
    <w:rsid w:val="008844C7"/>
    <w:rsid w:val="008855BC"/>
    <w:rsid w:val="00886302"/>
    <w:rsid w:val="00886930"/>
    <w:rsid w:val="0089243B"/>
    <w:rsid w:val="00892AFB"/>
    <w:rsid w:val="0089368B"/>
    <w:rsid w:val="00893A0A"/>
    <w:rsid w:val="0089702D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C01EB"/>
    <w:rsid w:val="008C15C8"/>
    <w:rsid w:val="008C215C"/>
    <w:rsid w:val="008C2299"/>
    <w:rsid w:val="008C34B7"/>
    <w:rsid w:val="008C3941"/>
    <w:rsid w:val="008C4151"/>
    <w:rsid w:val="008C5163"/>
    <w:rsid w:val="008C5984"/>
    <w:rsid w:val="008C7C7F"/>
    <w:rsid w:val="008D0308"/>
    <w:rsid w:val="008D0998"/>
    <w:rsid w:val="008D20A3"/>
    <w:rsid w:val="008D27EB"/>
    <w:rsid w:val="008D2C8B"/>
    <w:rsid w:val="008D30AF"/>
    <w:rsid w:val="008D3CDF"/>
    <w:rsid w:val="008D4618"/>
    <w:rsid w:val="008D5823"/>
    <w:rsid w:val="008D6A5D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805"/>
    <w:rsid w:val="008E3D20"/>
    <w:rsid w:val="008E4582"/>
    <w:rsid w:val="008E462B"/>
    <w:rsid w:val="008E5EDA"/>
    <w:rsid w:val="008E636B"/>
    <w:rsid w:val="008E6D00"/>
    <w:rsid w:val="008E7183"/>
    <w:rsid w:val="008E77D5"/>
    <w:rsid w:val="008F0415"/>
    <w:rsid w:val="008F0BE5"/>
    <w:rsid w:val="008F195C"/>
    <w:rsid w:val="008F34CB"/>
    <w:rsid w:val="008F3986"/>
    <w:rsid w:val="008F4F59"/>
    <w:rsid w:val="008F6653"/>
    <w:rsid w:val="008F71E6"/>
    <w:rsid w:val="008F7755"/>
    <w:rsid w:val="009008A2"/>
    <w:rsid w:val="00900F62"/>
    <w:rsid w:val="0090210D"/>
    <w:rsid w:val="0090227C"/>
    <w:rsid w:val="00902289"/>
    <w:rsid w:val="009022BB"/>
    <w:rsid w:val="009045B3"/>
    <w:rsid w:val="0090493D"/>
    <w:rsid w:val="00904C72"/>
    <w:rsid w:val="00904D4B"/>
    <w:rsid w:val="00904F52"/>
    <w:rsid w:val="00905430"/>
    <w:rsid w:val="00905BF5"/>
    <w:rsid w:val="00905F6A"/>
    <w:rsid w:val="00907FE0"/>
    <w:rsid w:val="00910CBD"/>
    <w:rsid w:val="0091144B"/>
    <w:rsid w:val="00912260"/>
    <w:rsid w:val="009126D6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74C"/>
    <w:rsid w:val="00925448"/>
    <w:rsid w:val="00925536"/>
    <w:rsid w:val="00925FF2"/>
    <w:rsid w:val="009271A2"/>
    <w:rsid w:val="009329C9"/>
    <w:rsid w:val="00933305"/>
    <w:rsid w:val="0093378D"/>
    <w:rsid w:val="0093484E"/>
    <w:rsid w:val="00935A48"/>
    <w:rsid w:val="00937C0F"/>
    <w:rsid w:val="009404CE"/>
    <w:rsid w:val="00940D56"/>
    <w:rsid w:val="00941C71"/>
    <w:rsid w:val="00941E99"/>
    <w:rsid w:val="0094299F"/>
    <w:rsid w:val="00942C49"/>
    <w:rsid w:val="009472A1"/>
    <w:rsid w:val="00947B02"/>
    <w:rsid w:val="00947E4E"/>
    <w:rsid w:val="009508FA"/>
    <w:rsid w:val="00951A56"/>
    <w:rsid w:val="009543FD"/>
    <w:rsid w:val="009545F5"/>
    <w:rsid w:val="009553DE"/>
    <w:rsid w:val="00955421"/>
    <w:rsid w:val="0095549B"/>
    <w:rsid w:val="00956F1D"/>
    <w:rsid w:val="0095708D"/>
    <w:rsid w:val="009570EC"/>
    <w:rsid w:val="00957325"/>
    <w:rsid w:val="009611F6"/>
    <w:rsid w:val="00961D65"/>
    <w:rsid w:val="00962341"/>
    <w:rsid w:val="00962426"/>
    <w:rsid w:val="009636C3"/>
    <w:rsid w:val="009637F1"/>
    <w:rsid w:val="009647DB"/>
    <w:rsid w:val="00965B35"/>
    <w:rsid w:val="00965E55"/>
    <w:rsid w:val="00965FCD"/>
    <w:rsid w:val="009667E4"/>
    <w:rsid w:val="00966CC3"/>
    <w:rsid w:val="009674E4"/>
    <w:rsid w:val="00967750"/>
    <w:rsid w:val="009707F3"/>
    <w:rsid w:val="00970817"/>
    <w:rsid w:val="00972F5D"/>
    <w:rsid w:val="00973022"/>
    <w:rsid w:val="0097377E"/>
    <w:rsid w:val="00974320"/>
    <w:rsid w:val="00974AD2"/>
    <w:rsid w:val="00974F42"/>
    <w:rsid w:val="00975511"/>
    <w:rsid w:val="0098296F"/>
    <w:rsid w:val="00982E62"/>
    <w:rsid w:val="009836D7"/>
    <w:rsid w:val="0098562F"/>
    <w:rsid w:val="00985C9B"/>
    <w:rsid w:val="009860B5"/>
    <w:rsid w:val="00992420"/>
    <w:rsid w:val="00992B90"/>
    <w:rsid w:val="00993E5A"/>
    <w:rsid w:val="00994D96"/>
    <w:rsid w:val="009960CD"/>
    <w:rsid w:val="009A0736"/>
    <w:rsid w:val="009A1376"/>
    <w:rsid w:val="009A24E1"/>
    <w:rsid w:val="009A2EA5"/>
    <w:rsid w:val="009A4C61"/>
    <w:rsid w:val="009A5640"/>
    <w:rsid w:val="009A63D0"/>
    <w:rsid w:val="009A6D2F"/>
    <w:rsid w:val="009A74A7"/>
    <w:rsid w:val="009A792A"/>
    <w:rsid w:val="009B1B81"/>
    <w:rsid w:val="009B1C0A"/>
    <w:rsid w:val="009B320B"/>
    <w:rsid w:val="009B5779"/>
    <w:rsid w:val="009B65AF"/>
    <w:rsid w:val="009B6603"/>
    <w:rsid w:val="009B6985"/>
    <w:rsid w:val="009C0493"/>
    <w:rsid w:val="009C162D"/>
    <w:rsid w:val="009C1D43"/>
    <w:rsid w:val="009C406B"/>
    <w:rsid w:val="009C41DE"/>
    <w:rsid w:val="009C42D7"/>
    <w:rsid w:val="009C4EAF"/>
    <w:rsid w:val="009C5011"/>
    <w:rsid w:val="009C5462"/>
    <w:rsid w:val="009C62C0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510B"/>
    <w:rsid w:val="009E58AC"/>
    <w:rsid w:val="009E5D48"/>
    <w:rsid w:val="009E70C1"/>
    <w:rsid w:val="009E7177"/>
    <w:rsid w:val="009F0EB0"/>
    <w:rsid w:val="009F1090"/>
    <w:rsid w:val="009F18E0"/>
    <w:rsid w:val="009F2C2B"/>
    <w:rsid w:val="009F3035"/>
    <w:rsid w:val="009F3089"/>
    <w:rsid w:val="009F35DF"/>
    <w:rsid w:val="009F3C6F"/>
    <w:rsid w:val="009F3CF9"/>
    <w:rsid w:val="009F3DA9"/>
    <w:rsid w:val="009F4195"/>
    <w:rsid w:val="009F4E29"/>
    <w:rsid w:val="00A00218"/>
    <w:rsid w:val="00A0035B"/>
    <w:rsid w:val="00A01261"/>
    <w:rsid w:val="00A0226B"/>
    <w:rsid w:val="00A040F6"/>
    <w:rsid w:val="00A060B3"/>
    <w:rsid w:val="00A06C70"/>
    <w:rsid w:val="00A06E10"/>
    <w:rsid w:val="00A07539"/>
    <w:rsid w:val="00A10CF5"/>
    <w:rsid w:val="00A119B4"/>
    <w:rsid w:val="00A119F1"/>
    <w:rsid w:val="00A11CDE"/>
    <w:rsid w:val="00A11E17"/>
    <w:rsid w:val="00A14996"/>
    <w:rsid w:val="00A16685"/>
    <w:rsid w:val="00A16C9B"/>
    <w:rsid w:val="00A17447"/>
    <w:rsid w:val="00A20571"/>
    <w:rsid w:val="00A2097F"/>
    <w:rsid w:val="00A209F6"/>
    <w:rsid w:val="00A20D1B"/>
    <w:rsid w:val="00A22776"/>
    <w:rsid w:val="00A22911"/>
    <w:rsid w:val="00A233F2"/>
    <w:rsid w:val="00A2480A"/>
    <w:rsid w:val="00A2559B"/>
    <w:rsid w:val="00A25D5F"/>
    <w:rsid w:val="00A30660"/>
    <w:rsid w:val="00A30E95"/>
    <w:rsid w:val="00A3121D"/>
    <w:rsid w:val="00A324F2"/>
    <w:rsid w:val="00A33860"/>
    <w:rsid w:val="00A34E49"/>
    <w:rsid w:val="00A34E9D"/>
    <w:rsid w:val="00A3560C"/>
    <w:rsid w:val="00A35C10"/>
    <w:rsid w:val="00A360C2"/>
    <w:rsid w:val="00A36F39"/>
    <w:rsid w:val="00A37526"/>
    <w:rsid w:val="00A4133A"/>
    <w:rsid w:val="00A419CE"/>
    <w:rsid w:val="00A423C3"/>
    <w:rsid w:val="00A429F2"/>
    <w:rsid w:val="00A4482B"/>
    <w:rsid w:val="00A44F75"/>
    <w:rsid w:val="00A451E5"/>
    <w:rsid w:val="00A45934"/>
    <w:rsid w:val="00A45F99"/>
    <w:rsid w:val="00A468B1"/>
    <w:rsid w:val="00A4692E"/>
    <w:rsid w:val="00A46C9C"/>
    <w:rsid w:val="00A46DEF"/>
    <w:rsid w:val="00A524E5"/>
    <w:rsid w:val="00A52BC0"/>
    <w:rsid w:val="00A52EA8"/>
    <w:rsid w:val="00A55764"/>
    <w:rsid w:val="00A55823"/>
    <w:rsid w:val="00A559ED"/>
    <w:rsid w:val="00A55AB0"/>
    <w:rsid w:val="00A5642C"/>
    <w:rsid w:val="00A56F16"/>
    <w:rsid w:val="00A57868"/>
    <w:rsid w:val="00A57CDB"/>
    <w:rsid w:val="00A6220E"/>
    <w:rsid w:val="00A62711"/>
    <w:rsid w:val="00A63167"/>
    <w:rsid w:val="00A66994"/>
    <w:rsid w:val="00A66BEC"/>
    <w:rsid w:val="00A67103"/>
    <w:rsid w:val="00A67F78"/>
    <w:rsid w:val="00A719D1"/>
    <w:rsid w:val="00A73828"/>
    <w:rsid w:val="00A74590"/>
    <w:rsid w:val="00A75004"/>
    <w:rsid w:val="00A76BD3"/>
    <w:rsid w:val="00A80523"/>
    <w:rsid w:val="00A8105B"/>
    <w:rsid w:val="00A8196A"/>
    <w:rsid w:val="00A81A72"/>
    <w:rsid w:val="00A84EF6"/>
    <w:rsid w:val="00A85320"/>
    <w:rsid w:val="00A85322"/>
    <w:rsid w:val="00A862EE"/>
    <w:rsid w:val="00A86AE2"/>
    <w:rsid w:val="00A919D2"/>
    <w:rsid w:val="00A92C88"/>
    <w:rsid w:val="00A93193"/>
    <w:rsid w:val="00A94105"/>
    <w:rsid w:val="00A9414F"/>
    <w:rsid w:val="00A94444"/>
    <w:rsid w:val="00A944B7"/>
    <w:rsid w:val="00A965E6"/>
    <w:rsid w:val="00A96B95"/>
    <w:rsid w:val="00A975A4"/>
    <w:rsid w:val="00AA1568"/>
    <w:rsid w:val="00AA4229"/>
    <w:rsid w:val="00AA4C9B"/>
    <w:rsid w:val="00AA53FC"/>
    <w:rsid w:val="00AA57C2"/>
    <w:rsid w:val="00AA6372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EF2"/>
    <w:rsid w:val="00AC33D0"/>
    <w:rsid w:val="00AC41A8"/>
    <w:rsid w:val="00AC4D78"/>
    <w:rsid w:val="00AC4E44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C4C"/>
    <w:rsid w:val="00AE2FC9"/>
    <w:rsid w:val="00AE3B29"/>
    <w:rsid w:val="00AE3EC8"/>
    <w:rsid w:val="00AE46D2"/>
    <w:rsid w:val="00AF16EF"/>
    <w:rsid w:val="00AF2A35"/>
    <w:rsid w:val="00AF39C0"/>
    <w:rsid w:val="00AF3F13"/>
    <w:rsid w:val="00AF62DF"/>
    <w:rsid w:val="00AF6471"/>
    <w:rsid w:val="00AF71DC"/>
    <w:rsid w:val="00B012FF"/>
    <w:rsid w:val="00B022B2"/>
    <w:rsid w:val="00B02D66"/>
    <w:rsid w:val="00B039A4"/>
    <w:rsid w:val="00B0449D"/>
    <w:rsid w:val="00B063C0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55D6"/>
    <w:rsid w:val="00B36D48"/>
    <w:rsid w:val="00B40133"/>
    <w:rsid w:val="00B41E7A"/>
    <w:rsid w:val="00B42AAB"/>
    <w:rsid w:val="00B434CF"/>
    <w:rsid w:val="00B43B1F"/>
    <w:rsid w:val="00B46ABF"/>
    <w:rsid w:val="00B47CAB"/>
    <w:rsid w:val="00B50021"/>
    <w:rsid w:val="00B50CF4"/>
    <w:rsid w:val="00B5154B"/>
    <w:rsid w:val="00B51806"/>
    <w:rsid w:val="00B52271"/>
    <w:rsid w:val="00B5329A"/>
    <w:rsid w:val="00B53433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4947"/>
    <w:rsid w:val="00B7591E"/>
    <w:rsid w:val="00B75991"/>
    <w:rsid w:val="00B76838"/>
    <w:rsid w:val="00B77D13"/>
    <w:rsid w:val="00B801BF"/>
    <w:rsid w:val="00B810E2"/>
    <w:rsid w:val="00B81BD0"/>
    <w:rsid w:val="00B82794"/>
    <w:rsid w:val="00B82B9C"/>
    <w:rsid w:val="00B82F96"/>
    <w:rsid w:val="00B84CCB"/>
    <w:rsid w:val="00B862AF"/>
    <w:rsid w:val="00B86637"/>
    <w:rsid w:val="00B87E79"/>
    <w:rsid w:val="00B90D97"/>
    <w:rsid w:val="00B91241"/>
    <w:rsid w:val="00B92746"/>
    <w:rsid w:val="00B92D47"/>
    <w:rsid w:val="00B96894"/>
    <w:rsid w:val="00BA06C1"/>
    <w:rsid w:val="00BA0B65"/>
    <w:rsid w:val="00BA1E04"/>
    <w:rsid w:val="00BA1F78"/>
    <w:rsid w:val="00BA54D0"/>
    <w:rsid w:val="00BA6C18"/>
    <w:rsid w:val="00BA6F69"/>
    <w:rsid w:val="00BA6FEF"/>
    <w:rsid w:val="00BB058C"/>
    <w:rsid w:val="00BB24C2"/>
    <w:rsid w:val="00BB30FF"/>
    <w:rsid w:val="00BB360B"/>
    <w:rsid w:val="00BB40F6"/>
    <w:rsid w:val="00BB573E"/>
    <w:rsid w:val="00BB5FE7"/>
    <w:rsid w:val="00BB60B2"/>
    <w:rsid w:val="00BB68A6"/>
    <w:rsid w:val="00BB785F"/>
    <w:rsid w:val="00BB7878"/>
    <w:rsid w:val="00BB7D3F"/>
    <w:rsid w:val="00BB7F73"/>
    <w:rsid w:val="00BC05DD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C9A"/>
    <w:rsid w:val="00BD18F0"/>
    <w:rsid w:val="00BD30D2"/>
    <w:rsid w:val="00BE1624"/>
    <w:rsid w:val="00BE20AC"/>
    <w:rsid w:val="00BE2E1E"/>
    <w:rsid w:val="00BE3C50"/>
    <w:rsid w:val="00BE3FF4"/>
    <w:rsid w:val="00BE47BD"/>
    <w:rsid w:val="00BE5B52"/>
    <w:rsid w:val="00BE6311"/>
    <w:rsid w:val="00BE6E6D"/>
    <w:rsid w:val="00BF0ACC"/>
    <w:rsid w:val="00BF0C5D"/>
    <w:rsid w:val="00BF1440"/>
    <w:rsid w:val="00BF1786"/>
    <w:rsid w:val="00BF1A0B"/>
    <w:rsid w:val="00BF1F70"/>
    <w:rsid w:val="00BF2B93"/>
    <w:rsid w:val="00BF301B"/>
    <w:rsid w:val="00BF43FA"/>
    <w:rsid w:val="00BF6AAD"/>
    <w:rsid w:val="00BF7150"/>
    <w:rsid w:val="00BF72CE"/>
    <w:rsid w:val="00C00FED"/>
    <w:rsid w:val="00C0135E"/>
    <w:rsid w:val="00C01F4F"/>
    <w:rsid w:val="00C025D3"/>
    <w:rsid w:val="00C07170"/>
    <w:rsid w:val="00C077DA"/>
    <w:rsid w:val="00C0788A"/>
    <w:rsid w:val="00C07EBB"/>
    <w:rsid w:val="00C11266"/>
    <w:rsid w:val="00C123A0"/>
    <w:rsid w:val="00C131FA"/>
    <w:rsid w:val="00C13F58"/>
    <w:rsid w:val="00C14571"/>
    <w:rsid w:val="00C1491F"/>
    <w:rsid w:val="00C157D1"/>
    <w:rsid w:val="00C16FE2"/>
    <w:rsid w:val="00C20050"/>
    <w:rsid w:val="00C20BFE"/>
    <w:rsid w:val="00C20E5A"/>
    <w:rsid w:val="00C22E55"/>
    <w:rsid w:val="00C23729"/>
    <w:rsid w:val="00C25367"/>
    <w:rsid w:val="00C26844"/>
    <w:rsid w:val="00C2734A"/>
    <w:rsid w:val="00C309B8"/>
    <w:rsid w:val="00C31D0E"/>
    <w:rsid w:val="00C321B7"/>
    <w:rsid w:val="00C32DED"/>
    <w:rsid w:val="00C34184"/>
    <w:rsid w:val="00C34787"/>
    <w:rsid w:val="00C34AC1"/>
    <w:rsid w:val="00C35CAA"/>
    <w:rsid w:val="00C37756"/>
    <w:rsid w:val="00C37AF3"/>
    <w:rsid w:val="00C37B69"/>
    <w:rsid w:val="00C40651"/>
    <w:rsid w:val="00C40CFD"/>
    <w:rsid w:val="00C41BAB"/>
    <w:rsid w:val="00C41D78"/>
    <w:rsid w:val="00C42122"/>
    <w:rsid w:val="00C427B1"/>
    <w:rsid w:val="00C42838"/>
    <w:rsid w:val="00C43371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FC1"/>
    <w:rsid w:val="00C6406C"/>
    <w:rsid w:val="00C64636"/>
    <w:rsid w:val="00C646AC"/>
    <w:rsid w:val="00C652CE"/>
    <w:rsid w:val="00C6630B"/>
    <w:rsid w:val="00C663B6"/>
    <w:rsid w:val="00C701AF"/>
    <w:rsid w:val="00C7054F"/>
    <w:rsid w:val="00C70D2D"/>
    <w:rsid w:val="00C72651"/>
    <w:rsid w:val="00C72C89"/>
    <w:rsid w:val="00C73B10"/>
    <w:rsid w:val="00C74B05"/>
    <w:rsid w:val="00C75F0D"/>
    <w:rsid w:val="00C75F73"/>
    <w:rsid w:val="00C80520"/>
    <w:rsid w:val="00C80EF3"/>
    <w:rsid w:val="00C81007"/>
    <w:rsid w:val="00C83BDD"/>
    <w:rsid w:val="00C84A12"/>
    <w:rsid w:val="00C85EA2"/>
    <w:rsid w:val="00C86D66"/>
    <w:rsid w:val="00C87E02"/>
    <w:rsid w:val="00C90367"/>
    <w:rsid w:val="00C907BB"/>
    <w:rsid w:val="00C909BF"/>
    <w:rsid w:val="00C9152B"/>
    <w:rsid w:val="00C9246F"/>
    <w:rsid w:val="00C9290A"/>
    <w:rsid w:val="00C93D87"/>
    <w:rsid w:val="00C93DA1"/>
    <w:rsid w:val="00C94C39"/>
    <w:rsid w:val="00C9626E"/>
    <w:rsid w:val="00C97975"/>
    <w:rsid w:val="00CA211C"/>
    <w:rsid w:val="00CA2C46"/>
    <w:rsid w:val="00CA2DC5"/>
    <w:rsid w:val="00CA44ED"/>
    <w:rsid w:val="00CA6E7C"/>
    <w:rsid w:val="00CA7C68"/>
    <w:rsid w:val="00CA7C77"/>
    <w:rsid w:val="00CB0013"/>
    <w:rsid w:val="00CB04AC"/>
    <w:rsid w:val="00CB0D35"/>
    <w:rsid w:val="00CB1EA7"/>
    <w:rsid w:val="00CB2C84"/>
    <w:rsid w:val="00CB311F"/>
    <w:rsid w:val="00CB407D"/>
    <w:rsid w:val="00CB4560"/>
    <w:rsid w:val="00CB47DE"/>
    <w:rsid w:val="00CB7966"/>
    <w:rsid w:val="00CC16C7"/>
    <w:rsid w:val="00CC199B"/>
    <w:rsid w:val="00CC2AAE"/>
    <w:rsid w:val="00CC51BF"/>
    <w:rsid w:val="00CC53C4"/>
    <w:rsid w:val="00CC577F"/>
    <w:rsid w:val="00CC67DD"/>
    <w:rsid w:val="00CC6A54"/>
    <w:rsid w:val="00CD019B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518B"/>
    <w:rsid w:val="00CE69B5"/>
    <w:rsid w:val="00CE6CFC"/>
    <w:rsid w:val="00CE7444"/>
    <w:rsid w:val="00CF0291"/>
    <w:rsid w:val="00CF0D75"/>
    <w:rsid w:val="00CF162C"/>
    <w:rsid w:val="00CF1DF9"/>
    <w:rsid w:val="00CF4E1E"/>
    <w:rsid w:val="00CF586D"/>
    <w:rsid w:val="00CF5FA3"/>
    <w:rsid w:val="00D004D6"/>
    <w:rsid w:val="00D0057C"/>
    <w:rsid w:val="00D00D24"/>
    <w:rsid w:val="00D0131E"/>
    <w:rsid w:val="00D01C27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53F6"/>
    <w:rsid w:val="00D26B12"/>
    <w:rsid w:val="00D26EB8"/>
    <w:rsid w:val="00D27200"/>
    <w:rsid w:val="00D31577"/>
    <w:rsid w:val="00D31748"/>
    <w:rsid w:val="00D3212B"/>
    <w:rsid w:val="00D32131"/>
    <w:rsid w:val="00D322B0"/>
    <w:rsid w:val="00D32FC1"/>
    <w:rsid w:val="00D333BF"/>
    <w:rsid w:val="00D33EDE"/>
    <w:rsid w:val="00D3402D"/>
    <w:rsid w:val="00D34181"/>
    <w:rsid w:val="00D34827"/>
    <w:rsid w:val="00D35983"/>
    <w:rsid w:val="00D3631D"/>
    <w:rsid w:val="00D36486"/>
    <w:rsid w:val="00D4058D"/>
    <w:rsid w:val="00D40A23"/>
    <w:rsid w:val="00D41AE3"/>
    <w:rsid w:val="00D44ED9"/>
    <w:rsid w:val="00D45256"/>
    <w:rsid w:val="00D47D6A"/>
    <w:rsid w:val="00D501DA"/>
    <w:rsid w:val="00D506A3"/>
    <w:rsid w:val="00D50FD4"/>
    <w:rsid w:val="00D51C00"/>
    <w:rsid w:val="00D51E0A"/>
    <w:rsid w:val="00D527AF"/>
    <w:rsid w:val="00D52AB9"/>
    <w:rsid w:val="00D5378F"/>
    <w:rsid w:val="00D542E5"/>
    <w:rsid w:val="00D55775"/>
    <w:rsid w:val="00D564C8"/>
    <w:rsid w:val="00D5714E"/>
    <w:rsid w:val="00D57413"/>
    <w:rsid w:val="00D60D35"/>
    <w:rsid w:val="00D61692"/>
    <w:rsid w:val="00D61837"/>
    <w:rsid w:val="00D64F6E"/>
    <w:rsid w:val="00D64FD3"/>
    <w:rsid w:val="00D66F3C"/>
    <w:rsid w:val="00D67D95"/>
    <w:rsid w:val="00D710FD"/>
    <w:rsid w:val="00D71690"/>
    <w:rsid w:val="00D719A0"/>
    <w:rsid w:val="00D733AC"/>
    <w:rsid w:val="00D73AA8"/>
    <w:rsid w:val="00D75F50"/>
    <w:rsid w:val="00D76A94"/>
    <w:rsid w:val="00D7718A"/>
    <w:rsid w:val="00D77F3E"/>
    <w:rsid w:val="00D800B5"/>
    <w:rsid w:val="00D803C1"/>
    <w:rsid w:val="00D834E8"/>
    <w:rsid w:val="00D848EE"/>
    <w:rsid w:val="00D85C94"/>
    <w:rsid w:val="00D85F1E"/>
    <w:rsid w:val="00D8651E"/>
    <w:rsid w:val="00D90D26"/>
    <w:rsid w:val="00D91904"/>
    <w:rsid w:val="00D928AF"/>
    <w:rsid w:val="00D92C91"/>
    <w:rsid w:val="00D94466"/>
    <w:rsid w:val="00D96B77"/>
    <w:rsid w:val="00D96CD3"/>
    <w:rsid w:val="00DA1A1F"/>
    <w:rsid w:val="00DA2655"/>
    <w:rsid w:val="00DA2F0A"/>
    <w:rsid w:val="00DA35C2"/>
    <w:rsid w:val="00DA372E"/>
    <w:rsid w:val="00DA3BC4"/>
    <w:rsid w:val="00DA6330"/>
    <w:rsid w:val="00DB0D61"/>
    <w:rsid w:val="00DB2EE2"/>
    <w:rsid w:val="00DB3E5E"/>
    <w:rsid w:val="00DB3FE3"/>
    <w:rsid w:val="00DB4A28"/>
    <w:rsid w:val="00DB51B0"/>
    <w:rsid w:val="00DB55E7"/>
    <w:rsid w:val="00DB561E"/>
    <w:rsid w:val="00DB67E3"/>
    <w:rsid w:val="00DB6B8F"/>
    <w:rsid w:val="00DB6DB6"/>
    <w:rsid w:val="00DB721D"/>
    <w:rsid w:val="00DB7C5D"/>
    <w:rsid w:val="00DC006E"/>
    <w:rsid w:val="00DC0241"/>
    <w:rsid w:val="00DC1184"/>
    <w:rsid w:val="00DC19DD"/>
    <w:rsid w:val="00DC3690"/>
    <w:rsid w:val="00DC47F3"/>
    <w:rsid w:val="00DC48C0"/>
    <w:rsid w:val="00DC4AD1"/>
    <w:rsid w:val="00DC4EE0"/>
    <w:rsid w:val="00DC6634"/>
    <w:rsid w:val="00DC7E28"/>
    <w:rsid w:val="00DD0300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63E8"/>
    <w:rsid w:val="00DE7609"/>
    <w:rsid w:val="00DF1C86"/>
    <w:rsid w:val="00DF1ED1"/>
    <w:rsid w:val="00DF228E"/>
    <w:rsid w:val="00DF2695"/>
    <w:rsid w:val="00DF27B1"/>
    <w:rsid w:val="00DF2AA3"/>
    <w:rsid w:val="00DF2C31"/>
    <w:rsid w:val="00DF4F9D"/>
    <w:rsid w:val="00DF6B9D"/>
    <w:rsid w:val="00E00EA3"/>
    <w:rsid w:val="00E00EAA"/>
    <w:rsid w:val="00E01B04"/>
    <w:rsid w:val="00E01F45"/>
    <w:rsid w:val="00E0269D"/>
    <w:rsid w:val="00E02E82"/>
    <w:rsid w:val="00E03367"/>
    <w:rsid w:val="00E04E50"/>
    <w:rsid w:val="00E0598B"/>
    <w:rsid w:val="00E05C49"/>
    <w:rsid w:val="00E06855"/>
    <w:rsid w:val="00E0706D"/>
    <w:rsid w:val="00E074E4"/>
    <w:rsid w:val="00E07C08"/>
    <w:rsid w:val="00E139E6"/>
    <w:rsid w:val="00E143F2"/>
    <w:rsid w:val="00E14901"/>
    <w:rsid w:val="00E157D0"/>
    <w:rsid w:val="00E16763"/>
    <w:rsid w:val="00E20800"/>
    <w:rsid w:val="00E2133B"/>
    <w:rsid w:val="00E22571"/>
    <w:rsid w:val="00E2307A"/>
    <w:rsid w:val="00E2362B"/>
    <w:rsid w:val="00E237D9"/>
    <w:rsid w:val="00E249A9"/>
    <w:rsid w:val="00E25472"/>
    <w:rsid w:val="00E27F19"/>
    <w:rsid w:val="00E30184"/>
    <w:rsid w:val="00E3083C"/>
    <w:rsid w:val="00E30F05"/>
    <w:rsid w:val="00E318AD"/>
    <w:rsid w:val="00E32169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3D7A"/>
    <w:rsid w:val="00E44BCC"/>
    <w:rsid w:val="00E453FC"/>
    <w:rsid w:val="00E456CD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4AA5"/>
    <w:rsid w:val="00E64E93"/>
    <w:rsid w:val="00E660EE"/>
    <w:rsid w:val="00E72541"/>
    <w:rsid w:val="00E72808"/>
    <w:rsid w:val="00E72F93"/>
    <w:rsid w:val="00E734B7"/>
    <w:rsid w:val="00E73E27"/>
    <w:rsid w:val="00E75796"/>
    <w:rsid w:val="00E8093F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7BA7"/>
    <w:rsid w:val="00E9031B"/>
    <w:rsid w:val="00E90B13"/>
    <w:rsid w:val="00E9108B"/>
    <w:rsid w:val="00E91311"/>
    <w:rsid w:val="00E91ED3"/>
    <w:rsid w:val="00E92380"/>
    <w:rsid w:val="00E95A95"/>
    <w:rsid w:val="00EA0BE5"/>
    <w:rsid w:val="00EA2FB5"/>
    <w:rsid w:val="00EA43D5"/>
    <w:rsid w:val="00EA5738"/>
    <w:rsid w:val="00EA60A7"/>
    <w:rsid w:val="00EB250E"/>
    <w:rsid w:val="00EB32D7"/>
    <w:rsid w:val="00EB3658"/>
    <w:rsid w:val="00EB39B5"/>
    <w:rsid w:val="00EB39E1"/>
    <w:rsid w:val="00EB405A"/>
    <w:rsid w:val="00EB54F9"/>
    <w:rsid w:val="00EB568C"/>
    <w:rsid w:val="00EB6068"/>
    <w:rsid w:val="00EB64B9"/>
    <w:rsid w:val="00EB7CD3"/>
    <w:rsid w:val="00EC0C1D"/>
    <w:rsid w:val="00EC0D33"/>
    <w:rsid w:val="00EC1003"/>
    <w:rsid w:val="00EC3691"/>
    <w:rsid w:val="00EC3B14"/>
    <w:rsid w:val="00EC4680"/>
    <w:rsid w:val="00EC6854"/>
    <w:rsid w:val="00EC70BD"/>
    <w:rsid w:val="00ED05BC"/>
    <w:rsid w:val="00ED0E4C"/>
    <w:rsid w:val="00ED21BB"/>
    <w:rsid w:val="00ED2422"/>
    <w:rsid w:val="00ED2988"/>
    <w:rsid w:val="00ED3980"/>
    <w:rsid w:val="00ED3FE9"/>
    <w:rsid w:val="00ED4AD3"/>
    <w:rsid w:val="00ED4E43"/>
    <w:rsid w:val="00ED66A9"/>
    <w:rsid w:val="00EE0167"/>
    <w:rsid w:val="00EE0860"/>
    <w:rsid w:val="00EE096D"/>
    <w:rsid w:val="00EE0F98"/>
    <w:rsid w:val="00EE2019"/>
    <w:rsid w:val="00EE219A"/>
    <w:rsid w:val="00EE2426"/>
    <w:rsid w:val="00EE337A"/>
    <w:rsid w:val="00EE4F3A"/>
    <w:rsid w:val="00EE5F9C"/>
    <w:rsid w:val="00EE725A"/>
    <w:rsid w:val="00EE7773"/>
    <w:rsid w:val="00EF0EF4"/>
    <w:rsid w:val="00EF3CD5"/>
    <w:rsid w:val="00EF4511"/>
    <w:rsid w:val="00EF490F"/>
    <w:rsid w:val="00EF5EA4"/>
    <w:rsid w:val="00EF668F"/>
    <w:rsid w:val="00EF6766"/>
    <w:rsid w:val="00EF6D1A"/>
    <w:rsid w:val="00EF737D"/>
    <w:rsid w:val="00F00B04"/>
    <w:rsid w:val="00F01200"/>
    <w:rsid w:val="00F02C33"/>
    <w:rsid w:val="00F032DD"/>
    <w:rsid w:val="00F03604"/>
    <w:rsid w:val="00F03B06"/>
    <w:rsid w:val="00F03CCF"/>
    <w:rsid w:val="00F04386"/>
    <w:rsid w:val="00F048C2"/>
    <w:rsid w:val="00F04AF5"/>
    <w:rsid w:val="00F053FC"/>
    <w:rsid w:val="00F064DC"/>
    <w:rsid w:val="00F076BD"/>
    <w:rsid w:val="00F10750"/>
    <w:rsid w:val="00F10EBC"/>
    <w:rsid w:val="00F1178A"/>
    <w:rsid w:val="00F11F0D"/>
    <w:rsid w:val="00F1270D"/>
    <w:rsid w:val="00F13EE1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5012"/>
    <w:rsid w:val="00F2525E"/>
    <w:rsid w:val="00F26EE8"/>
    <w:rsid w:val="00F27924"/>
    <w:rsid w:val="00F3219F"/>
    <w:rsid w:val="00F32946"/>
    <w:rsid w:val="00F32E78"/>
    <w:rsid w:val="00F34299"/>
    <w:rsid w:val="00F36375"/>
    <w:rsid w:val="00F37E59"/>
    <w:rsid w:val="00F37F75"/>
    <w:rsid w:val="00F40003"/>
    <w:rsid w:val="00F409E5"/>
    <w:rsid w:val="00F4195C"/>
    <w:rsid w:val="00F41ABF"/>
    <w:rsid w:val="00F43051"/>
    <w:rsid w:val="00F44108"/>
    <w:rsid w:val="00F500C1"/>
    <w:rsid w:val="00F52271"/>
    <w:rsid w:val="00F52987"/>
    <w:rsid w:val="00F54342"/>
    <w:rsid w:val="00F54BF8"/>
    <w:rsid w:val="00F550CB"/>
    <w:rsid w:val="00F5720E"/>
    <w:rsid w:val="00F5737B"/>
    <w:rsid w:val="00F61509"/>
    <w:rsid w:val="00F619FF"/>
    <w:rsid w:val="00F6365F"/>
    <w:rsid w:val="00F65299"/>
    <w:rsid w:val="00F653CD"/>
    <w:rsid w:val="00F65D2D"/>
    <w:rsid w:val="00F6620F"/>
    <w:rsid w:val="00F664A5"/>
    <w:rsid w:val="00F6696A"/>
    <w:rsid w:val="00F67252"/>
    <w:rsid w:val="00F67463"/>
    <w:rsid w:val="00F70CC9"/>
    <w:rsid w:val="00F72EE3"/>
    <w:rsid w:val="00F737D1"/>
    <w:rsid w:val="00F73FC6"/>
    <w:rsid w:val="00F74097"/>
    <w:rsid w:val="00F743B0"/>
    <w:rsid w:val="00F80192"/>
    <w:rsid w:val="00F8107E"/>
    <w:rsid w:val="00F81AF7"/>
    <w:rsid w:val="00F81F17"/>
    <w:rsid w:val="00F8300B"/>
    <w:rsid w:val="00F838C5"/>
    <w:rsid w:val="00F83B3C"/>
    <w:rsid w:val="00F8680A"/>
    <w:rsid w:val="00F911BE"/>
    <w:rsid w:val="00F9185B"/>
    <w:rsid w:val="00F92862"/>
    <w:rsid w:val="00F92BD8"/>
    <w:rsid w:val="00F92EB4"/>
    <w:rsid w:val="00F93E6F"/>
    <w:rsid w:val="00F943E3"/>
    <w:rsid w:val="00F94653"/>
    <w:rsid w:val="00F967FC"/>
    <w:rsid w:val="00F96C7B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D1"/>
    <w:rsid w:val="00FB495F"/>
    <w:rsid w:val="00FB54D1"/>
    <w:rsid w:val="00FB55B2"/>
    <w:rsid w:val="00FB6971"/>
    <w:rsid w:val="00FB6B92"/>
    <w:rsid w:val="00FB73F7"/>
    <w:rsid w:val="00FC1555"/>
    <w:rsid w:val="00FC1EDA"/>
    <w:rsid w:val="00FC2E1D"/>
    <w:rsid w:val="00FC39C8"/>
    <w:rsid w:val="00FC3AFD"/>
    <w:rsid w:val="00FC4259"/>
    <w:rsid w:val="00FD004E"/>
    <w:rsid w:val="00FD0116"/>
    <w:rsid w:val="00FD0297"/>
    <w:rsid w:val="00FD06B2"/>
    <w:rsid w:val="00FD0AB9"/>
    <w:rsid w:val="00FD2C51"/>
    <w:rsid w:val="00FD2F04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2BA5"/>
    <w:rsid w:val="00FF2D0B"/>
    <w:rsid w:val="00FF390E"/>
    <w:rsid w:val="00FF3DED"/>
    <w:rsid w:val="00FF5BDC"/>
    <w:rsid w:val="00FF5D0A"/>
    <w:rsid w:val="00FF614F"/>
    <w:rsid w:val="00FF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2178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b/>
      <w:bCs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Book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My%20Documents-D\IVA%202013\MMI\mmi-2014_04-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-2014_04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Documents%20and%20Settings\zdenka.dabovic\Desktop\MMI\mmi_sirovi%20podaci_2014%20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sr-Latn-CS" sz="900"/>
              <a:t>Stope rasta BDP-a za zemlje kandidate za prijem u EU</a:t>
            </a:r>
          </a:p>
        </c:rich>
      </c:tx>
      <c:layout>
        <c:manualLayout>
          <c:xMode val="edge"/>
          <c:yMode val="edge"/>
          <c:x val="0.25382667735395936"/>
          <c:y val="4.059374334964937E-3"/>
        </c:manualLayout>
      </c:layout>
      <c:overlay val="1"/>
    </c:title>
    <c:plotArea>
      <c:layout>
        <c:manualLayout>
          <c:layoutTarget val="inner"/>
          <c:xMode val="edge"/>
          <c:yMode val="edge"/>
          <c:x val="0.16781873822975518"/>
          <c:y val="0.16692168546499417"/>
          <c:w val="0.76640913370998165"/>
          <c:h val="0.62490210683124059"/>
        </c:manualLayout>
      </c:layout>
      <c:barChart>
        <c:barDir val="col"/>
        <c:grouping val="clustered"/>
        <c:ser>
          <c:idx val="0"/>
          <c:order val="0"/>
          <c:tx>
            <c:strRef>
              <c:f>Sheet1!$C$4</c:f>
              <c:strCache>
                <c:ptCount val="1"/>
                <c:pt idx="0">
                  <c:v>Srbija</c:v>
                </c:pt>
              </c:strCache>
            </c:strRef>
          </c:tx>
          <c:cat>
            <c:numRef>
              <c:f>Sheet1!$D$3:$F$3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Sheet1!$D$4:$F$4</c:f>
              <c:numCache>
                <c:formatCode>0.0</c:formatCode>
                <c:ptCount val="3"/>
                <c:pt idx="0">
                  <c:v>2.5</c:v>
                </c:pt>
                <c:pt idx="1">
                  <c:v>1.1000000000000001</c:v>
                </c:pt>
                <c:pt idx="2">
                  <c:v>1.9000000000000001</c:v>
                </c:pt>
              </c:numCache>
            </c:numRef>
          </c:val>
        </c:ser>
        <c:ser>
          <c:idx val="1"/>
          <c:order val="1"/>
          <c:tx>
            <c:strRef>
              <c:f>Sheet1!$C$5</c:f>
              <c:strCache>
                <c:ptCount val="1"/>
                <c:pt idx="0">
                  <c:v>Crna Gora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accent5">
                  <a:lumMod val="75000"/>
                </a:schemeClr>
              </a:solidFill>
            </a:ln>
          </c:spPr>
          <c:cat>
            <c:numRef>
              <c:f>Sheet1!$D$3:$F$3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Sheet1!$D$5:$F$5</c:f>
              <c:numCache>
                <c:formatCode>0.0</c:formatCode>
                <c:ptCount val="3"/>
                <c:pt idx="0">
                  <c:v>3.5</c:v>
                </c:pt>
                <c:pt idx="1">
                  <c:v>2.9</c:v>
                </c:pt>
                <c:pt idx="2">
                  <c:v>3.6</c:v>
                </c:pt>
              </c:numCache>
            </c:numRef>
          </c:val>
        </c:ser>
        <c:ser>
          <c:idx val="2"/>
          <c:order val="2"/>
          <c:tx>
            <c:strRef>
              <c:f>Sheet1!$C$6</c:f>
              <c:strCache>
                <c:ptCount val="1"/>
                <c:pt idx="0">
                  <c:v>Makedonija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solidFill>
                <a:srgbClr val="002060"/>
              </a:solidFill>
            </a:ln>
          </c:spPr>
          <c:cat>
            <c:numRef>
              <c:f>Sheet1!$D$3:$F$3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Sheet1!$D$6:$F$6</c:f>
              <c:numCache>
                <c:formatCode>0.0</c:formatCode>
                <c:ptCount val="3"/>
                <c:pt idx="0">
                  <c:v>3.1</c:v>
                </c:pt>
                <c:pt idx="1">
                  <c:v>3</c:v>
                </c:pt>
                <c:pt idx="2">
                  <c:v>3.2</c:v>
                </c:pt>
              </c:numCache>
            </c:numRef>
          </c:val>
        </c:ser>
        <c:axId val="63714432"/>
        <c:axId val="63716736"/>
      </c:barChart>
      <c:catAx>
        <c:axId val="6371443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3716736"/>
        <c:crosses val="autoZero"/>
        <c:auto val="1"/>
        <c:lblAlgn val="ctr"/>
        <c:lblOffset val="100"/>
      </c:catAx>
      <c:valAx>
        <c:axId val="63716736"/>
        <c:scaling>
          <c:orientation val="minMax"/>
        </c:scaling>
        <c:axPos val="l"/>
        <c:majorGridlines>
          <c:spPr>
            <a:ln w="6350">
              <a:prstDash val="sysDot"/>
            </a:ln>
          </c:spPr>
        </c:majorGridlines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637144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6136027158282277"/>
          <c:y val="0.90230102149393487"/>
          <c:w val="0.72877646282238673"/>
          <c:h val="9.7698978506065959E-2"/>
        </c:manualLayout>
      </c:layout>
      <c:txPr>
        <a:bodyPr/>
        <a:lstStyle/>
        <a:p>
          <a:pPr>
            <a:defRPr lang="sr-Latn-CS" sz="700"/>
          </a:pPr>
          <a:endParaRPr lang="en-US"/>
        </a:p>
      </c:txPr>
    </c:legend>
    <c:plotVisOnly val="1"/>
  </c:chart>
  <c:spPr>
    <a:ln>
      <a:noFill/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900"/>
            </a:pPr>
            <a:r>
              <a:rPr lang="sr-Latn-CS" sz="900"/>
              <a:t>P</a:t>
            </a:r>
            <a:r>
              <a:rPr lang="en-US" sz="900"/>
              <a:t>roizvodnja el</a:t>
            </a:r>
            <a:r>
              <a:rPr lang="sr-Latn-CS" sz="900"/>
              <a:t>ektrične</a:t>
            </a:r>
            <a:r>
              <a:rPr lang="en-US" sz="900"/>
              <a:t> energije,</a:t>
            </a:r>
            <a:endParaRPr lang="sr-Latn-CS" sz="900"/>
          </a:p>
          <a:p>
            <a:pPr>
              <a:defRPr lang="sr-Latn-CS" sz="900"/>
            </a:pPr>
            <a:r>
              <a:rPr lang="en-US" sz="900"/>
              <a:t>godišnje stope rasta</a:t>
            </a:r>
            <a:r>
              <a:rPr lang="sr-Latn-CS" sz="900"/>
              <a:t>,%</a:t>
            </a:r>
            <a:endParaRPr lang="en-US" sz="9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'Makroekonomski indikatori'!$C$15</c:f>
              <c:strCache>
                <c:ptCount val="1"/>
                <c:pt idx="0">
                  <c:v>Proizvodnja el .energije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strRef>
              <c:f>'Makroekonomski indikatori'!$AD$28:$AQ$28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2014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indikatori'!$AD$15:$AQ$15</c:f>
              <c:numCache>
                <c:formatCode>0.0</c:formatCode>
                <c:ptCount val="13"/>
                <c:pt idx="0">
                  <c:v>103.1</c:v>
                </c:pt>
                <c:pt idx="1">
                  <c:v>75</c:v>
                </c:pt>
                <c:pt idx="2">
                  <c:v>133.4</c:v>
                </c:pt>
                <c:pt idx="3">
                  <c:v>103.7</c:v>
                </c:pt>
                <c:pt idx="4">
                  <c:v>-5.2</c:v>
                </c:pt>
                <c:pt idx="5">
                  <c:v>19.2</c:v>
                </c:pt>
                <c:pt idx="6">
                  <c:v>4.5</c:v>
                </c:pt>
                <c:pt idx="7">
                  <c:v>3.3</c:v>
                </c:pt>
                <c:pt idx="8">
                  <c:v>119.3</c:v>
                </c:pt>
                <c:pt idx="9">
                  <c:v>-16.100000000000001</c:v>
                </c:pt>
                <c:pt idx="10" formatCode="General">
                  <c:v>-12.2</c:v>
                </c:pt>
                <c:pt idx="11" formatCode="General">
                  <c:v>-6.5</c:v>
                </c:pt>
                <c:pt idx="12" formatCode="General">
                  <c:v>-48.1</c:v>
                </c:pt>
              </c:numCache>
            </c:numRef>
          </c:val>
          <c:smooth val="1"/>
        </c:ser>
        <c:marker val="1"/>
        <c:axId val="64780160"/>
        <c:axId val="64781696"/>
      </c:lineChart>
      <c:catAx>
        <c:axId val="64780160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64781696"/>
        <c:crosses val="autoZero"/>
        <c:auto val="1"/>
        <c:lblAlgn val="ctr"/>
        <c:lblOffset val="100"/>
      </c:catAx>
      <c:valAx>
        <c:axId val="64781696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64780160"/>
        <c:crosses val="autoZero"/>
        <c:crossBetween val="between"/>
        <c:majorUnit val="40"/>
      </c:valAx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800"/>
            </a:pPr>
            <a:r>
              <a:rPr lang="en-US" sz="800"/>
              <a:t>HICP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'Makroekonomski indikatori'!$C$21</c:f>
              <c:strCache>
                <c:ptCount val="1"/>
                <c:pt idx="0">
                  <c:v>Harmonizovani indeks potrošačkih cijena (stopa rasta)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dLbls>
            <c:txPr>
              <a:bodyPr/>
              <a:lstStyle/>
              <a:p>
                <a:pPr>
                  <a:defRPr lang="sr-Latn-CS" sz="600"/>
                </a:pPr>
                <a:endParaRPr lang="en-US"/>
              </a:p>
            </c:txPr>
            <c:showVal val="1"/>
          </c:dLbls>
          <c:cat>
            <c:strRef>
              <c:f>'Makroekonomski indikatori'!$AD$28:$AQ$28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2014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indikatori'!$AD$21:$AQ$21</c:f>
              <c:numCache>
                <c:formatCode>#,##0.0</c:formatCode>
                <c:ptCount val="13"/>
                <c:pt idx="0">
                  <c:v>3</c:v>
                </c:pt>
                <c:pt idx="1">
                  <c:v>2.4</c:v>
                </c:pt>
                <c:pt idx="2">
                  <c:v>2.1</c:v>
                </c:pt>
                <c:pt idx="3">
                  <c:v>1.5</c:v>
                </c:pt>
                <c:pt idx="4">
                  <c:v>2.2000000000000002</c:v>
                </c:pt>
                <c:pt idx="5">
                  <c:v>1.7000000000000002</c:v>
                </c:pt>
                <c:pt idx="6">
                  <c:v>1.5</c:v>
                </c:pt>
                <c:pt idx="7">
                  <c:v>0.30000000000000032</c:v>
                </c:pt>
                <c:pt idx="8">
                  <c:v>0</c:v>
                </c:pt>
                <c:pt idx="9">
                  <c:v>0.4</c:v>
                </c:pt>
                <c:pt idx="10" formatCode="General">
                  <c:v>0.1</c:v>
                </c:pt>
                <c:pt idx="11" formatCode="0.0">
                  <c:v>0</c:v>
                </c:pt>
                <c:pt idx="12" formatCode="General">
                  <c:v>-0.4</c:v>
                </c:pt>
              </c:numCache>
            </c:numRef>
          </c:val>
        </c:ser>
        <c:gapWidth val="46"/>
        <c:axId val="65446272"/>
        <c:axId val="66177280"/>
      </c:barChart>
      <c:catAx>
        <c:axId val="65446272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66177280"/>
        <c:crosses val="autoZero"/>
        <c:auto val="1"/>
        <c:lblAlgn val="ctr"/>
        <c:lblOffset val="100"/>
      </c:catAx>
      <c:valAx>
        <c:axId val="66177280"/>
        <c:scaling>
          <c:orientation val="minMax"/>
        </c:scaling>
        <c:axPos val="l"/>
        <c:numFmt formatCode="#,##0.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65446272"/>
        <c:crosses val="autoZero"/>
        <c:crossBetween val="between"/>
      </c:valAx>
      <c:spPr>
        <a:ln>
          <a:noFill/>
        </a:ln>
      </c:spPr>
    </c:plotArea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5855873664327524"/>
          <c:y val="3.2278329339267386E-2"/>
          <c:w val="0.75409877112641444"/>
          <c:h val="0.73500765529309242"/>
        </c:manualLayout>
      </c:layout>
      <c:barChart>
        <c:barDir val="col"/>
        <c:grouping val="clustered"/>
        <c:ser>
          <c:idx val="2"/>
          <c:order val="2"/>
          <c:tx>
            <c:strRef>
              <c:f>Sheet1!$E$5</c:f>
            </c:strRef>
          </c:tx>
          <c:cat>
            <c:multiLvlStrRef>
              <c:f>Sheet1!$D$6:$D$20</c:f>
            </c:multiLvlStrRef>
          </c:cat>
          <c:val>
            <c:numRef>
              <c:f>Sheet1!$E$6:$E$20</c:f>
            </c:numRef>
          </c:val>
        </c:ser>
        <c:ser>
          <c:idx val="3"/>
          <c:order val="3"/>
          <c:tx>
            <c:strRef>
              <c:f>Sheet1!$F$5</c:f>
            </c:strRef>
          </c:tx>
          <c:cat>
            <c:multiLvlStrRef>
              <c:f>Sheet1!$D$6:$D$20</c:f>
            </c:multiLvlStrRef>
          </c:cat>
          <c:val>
            <c:numRef>
              <c:f>Sheet1!$F$6:$F$20</c:f>
            </c:numRef>
          </c:val>
        </c:ser>
        <c:ser>
          <c:idx val="0"/>
          <c:order val="0"/>
          <c:tx>
            <c:strRef>
              <c:f>Sheet1!$E$5</c:f>
              <c:strCache>
                <c:ptCount val="1"/>
                <c:pt idx="0">
                  <c:v>ogl.sl.rad mj.</c:v>
                </c:pt>
              </c:strCache>
            </c:strRef>
          </c:tx>
          <c:cat>
            <c:strRef>
              <c:f>Sheet1!$D$6:$D$20</c:f>
              <c:strCache>
                <c:ptCount val="15"/>
                <c:pt idx="0">
                  <c:v>I-2013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I-2014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Sheet1!$E$6:$E$20</c:f>
              <c:numCache>
                <c:formatCode>General</c:formatCode>
                <c:ptCount val="15"/>
                <c:pt idx="0">
                  <c:v>515</c:v>
                </c:pt>
                <c:pt idx="1">
                  <c:v>583</c:v>
                </c:pt>
                <c:pt idx="2">
                  <c:v>1182</c:v>
                </c:pt>
                <c:pt idx="3">
                  <c:v>2826</c:v>
                </c:pt>
                <c:pt idx="4">
                  <c:v>1719</c:v>
                </c:pt>
                <c:pt idx="5">
                  <c:v>1430</c:v>
                </c:pt>
                <c:pt idx="6">
                  <c:v>853</c:v>
                </c:pt>
                <c:pt idx="7">
                  <c:v>1495</c:v>
                </c:pt>
                <c:pt idx="8">
                  <c:v>1618</c:v>
                </c:pt>
                <c:pt idx="9">
                  <c:v>796</c:v>
                </c:pt>
                <c:pt idx="10">
                  <c:v>648</c:v>
                </c:pt>
                <c:pt idx="11">
                  <c:v>1130</c:v>
                </c:pt>
                <c:pt idx="12">
                  <c:v>1028</c:v>
                </c:pt>
                <c:pt idx="13">
                  <c:v>1051</c:v>
                </c:pt>
                <c:pt idx="14">
                  <c:v>3077</c:v>
                </c:pt>
              </c:numCache>
            </c:numRef>
          </c:val>
        </c:ser>
        <c:gapWidth val="30"/>
        <c:overlap val="23"/>
        <c:axId val="66556672"/>
        <c:axId val="66558592"/>
      </c:barChart>
      <c:lineChart>
        <c:grouping val="standard"/>
        <c:ser>
          <c:idx val="1"/>
          <c:order val="1"/>
          <c:tx>
            <c:strRef>
              <c:f>Sheet1!$F$5</c:f>
              <c:strCache>
                <c:ptCount val="1"/>
                <c:pt idx="0">
                  <c:v>r.doz.str.</c:v>
                </c:pt>
              </c:strCache>
            </c:strRef>
          </c:tx>
          <c:marker>
            <c:symbol val="none"/>
          </c:marker>
          <c:cat>
            <c:strRef>
              <c:f>Sheet1!$D$6:$D$20</c:f>
              <c:strCache>
                <c:ptCount val="15"/>
                <c:pt idx="0">
                  <c:v>I-2013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I-2014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Sheet1!$F$6:$F$20</c:f>
              <c:numCache>
                <c:formatCode>General</c:formatCode>
                <c:ptCount val="15"/>
                <c:pt idx="0">
                  <c:v>1224</c:v>
                </c:pt>
                <c:pt idx="1">
                  <c:v>1416</c:v>
                </c:pt>
                <c:pt idx="2">
                  <c:v>2280</c:v>
                </c:pt>
                <c:pt idx="3">
                  <c:v>2212</c:v>
                </c:pt>
                <c:pt idx="4">
                  <c:v>3080</c:v>
                </c:pt>
                <c:pt idx="5">
                  <c:v>3929</c:v>
                </c:pt>
                <c:pt idx="6">
                  <c:v>2323</c:v>
                </c:pt>
                <c:pt idx="7">
                  <c:v>1225</c:v>
                </c:pt>
                <c:pt idx="8">
                  <c:v>1445</c:v>
                </c:pt>
                <c:pt idx="9">
                  <c:v>1490</c:v>
                </c:pt>
                <c:pt idx="10">
                  <c:v>1418</c:v>
                </c:pt>
                <c:pt idx="11">
                  <c:v>1357</c:v>
                </c:pt>
                <c:pt idx="12">
                  <c:v>1793</c:v>
                </c:pt>
                <c:pt idx="13">
                  <c:v>1939</c:v>
                </c:pt>
                <c:pt idx="14">
                  <c:v>1790</c:v>
                </c:pt>
              </c:numCache>
            </c:numRef>
          </c:val>
        </c:ser>
        <c:marker val="1"/>
        <c:axId val="66556672"/>
        <c:axId val="66558592"/>
      </c:lineChart>
      <c:catAx>
        <c:axId val="66556672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600" baseline="0"/>
            </a:pPr>
            <a:endParaRPr lang="en-US"/>
          </a:p>
        </c:txPr>
        <c:crossAx val="66558592"/>
        <c:crosses val="autoZero"/>
        <c:auto val="1"/>
        <c:lblAlgn val="ctr"/>
        <c:lblOffset val="100"/>
      </c:catAx>
      <c:valAx>
        <c:axId val="66558592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lang="sr-Latn-CS" sz="700" baseline="0"/>
            </a:pPr>
            <a:endParaRPr lang="en-US"/>
          </a:p>
        </c:txPr>
        <c:crossAx val="66556672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7523877646207167"/>
          <c:y val="4.1424676898629394E-2"/>
          <c:w val="0.64460499846745289"/>
          <c:h val="0.71317252062958736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indikatori'!$BB$30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cat>
            <c:strRef>
              <c:f>'Fiskalni indikatori'!$CA$6:$CK$6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'Fiskalni indikatori'!$CA$20:$CO$20</c:f>
              <c:numCache>
                <c:formatCode>0.00,,</c:formatCode>
                <c:ptCount val="15"/>
                <c:pt idx="0">
                  <c:v>-25863779.340000056</c:v>
                </c:pt>
                <c:pt idx="1">
                  <c:v>-18804242.285214216</c:v>
                </c:pt>
                <c:pt idx="2">
                  <c:v>-14921103.394283667</c:v>
                </c:pt>
                <c:pt idx="3">
                  <c:v>-15891365.313259348</c:v>
                </c:pt>
                <c:pt idx="4">
                  <c:v>-1544398.8301670908</c:v>
                </c:pt>
                <c:pt idx="5">
                  <c:v>-607686.93338963401</c:v>
                </c:pt>
                <c:pt idx="6">
                  <c:v>-38312345.495714545</c:v>
                </c:pt>
                <c:pt idx="7">
                  <c:v>-16221972.00090231</c:v>
                </c:pt>
                <c:pt idx="8">
                  <c:v>-2657604.3090550057</c:v>
                </c:pt>
                <c:pt idx="9">
                  <c:v>17862496.387521476</c:v>
                </c:pt>
                <c:pt idx="10">
                  <c:v>-2710356.1671831482</c:v>
                </c:pt>
                <c:pt idx="11">
                  <c:v>-7703230.0812701583</c:v>
                </c:pt>
                <c:pt idx="12">
                  <c:v>-23541980.710000008</c:v>
                </c:pt>
                <c:pt idx="13">
                  <c:v>-6821869.0200000191</c:v>
                </c:pt>
                <c:pt idx="14">
                  <c:v>-17758745.285705712</c:v>
                </c:pt>
              </c:numCache>
            </c:numRef>
          </c:val>
        </c:ser>
        <c:gapWidth val="10"/>
        <c:axId val="86416768"/>
        <c:axId val="86414848"/>
      </c:barChart>
      <c:lineChart>
        <c:grouping val="standard"/>
        <c:ser>
          <c:idx val="0"/>
          <c:order val="0"/>
          <c:tx>
            <c:strRef>
              <c:f>'Fiskalni indikatori'!$BB$28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diamond"/>
            <c:size val="4"/>
            <c:spPr>
              <a:solidFill>
                <a:schemeClr val="tx2">
                  <a:lumMod val="75000"/>
                </a:schemeClr>
              </a:solidFill>
              <a:ln cap="flat">
                <a:solidFill>
                  <a:sysClr val="windowText" lastClr="000000"/>
                </a:solidFill>
                <a:round/>
              </a:ln>
            </c:spPr>
          </c:marker>
          <c:cat>
            <c:strRef>
              <c:f>'Fiskalni indikatori'!$V$5:$AU$5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'Fiskalni indikatori'!$CA$7:$CO$7</c:f>
              <c:numCache>
                <c:formatCode>0.00,,</c:formatCode>
                <c:ptCount val="15"/>
                <c:pt idx="0">
                  <c:v>54923313.240000002</c:v>
                </c:pt>
                <c:pt idx="1">
                  <c:v>75831835.340000004</c:v>
                </c:pt>
                <c:pt idx="2">
                  <c:v>88914656.390000015</c:v>
                </c:pt>
                <c:pt idx="3">
                  <c:v>103948838</c:v>
                </c:pt>
                <c:pt idx="4">
                  <c:v>93997829.599999994</c:v>
                </c:pt>
                <c:pt idx="5">
                  <c:v>99561632.659999892</c:v>
                </c:pt>
                <c:pt idx="6">
                  <c:v>122021331.04999998</c:v>
                </c:pt>
                <c:pt idx="7">
                  <c:v>125053427.64999999</c:v>
                </c:pt>
                <c:pt idx="8">
                  <c:v>116342017.78000002</c:v>
                </c:pt>
                <c:pt idx="9">
                  <c:v>117283627.60000001</c:v>
                </c:pt>
                <c:pt idx="10">
                  <c:v>95781753.159999892</c:v>
                </c:pt>
                <c:pt idx="11">
                  <c:v>142429369.22999999</c:v>
                </c:pt>
                <c:pt idx="12">
                  <c:v>70782033.309999973</c:v>
                </c:pt>
                <c:pt idx="13">
                  <c:v>82106744.640000015</c:v>
                </c:pt>
                <c:pt idx="14">
                  <c:v>100668861.39000002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indikatori'!$BB$29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indikatori'!$V$5:$AU$5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'Fiskalni indikatori'!$CA$13:$CO$13</c:f>
              <c:numCache>
                <c:formatCode>0.00,,</c:formatCode>
                <c:ptCount val="15"/>
                <c:pt idx="0">
                  <c:v>80787092.580000043</c:v>
                </c:pt>
                <c:pt idx="1">
                  <c:v>94636077.625213727</c:v>
                </c:pt>
                <c:pt idx="2">
                  <c:v>103835759.78428364</c:v>
                </c:pt>
                <c:pt idx="3">
                  <c:v>119840203.31325933</c:v>
                </c:pt>
                <c:pt idx="4">
                  <c:v>95542228.430167496</c:v>
                </c:pt>
                <c:pt idx="5">
                  <c:v>100169319.59339002</c:v>
                </c:pt>
                <c:pt idx="6">
                  <c:v>160333676.54571453</c:v>
                </c:pt>
                <c:pt idx="7">
                  <c:v>141275399.6509023</c:v>
                </c:pt>
                <c:pt idx="8">
                  <c:v>118999622.08905503</c:v>
                </c:pt>
                <c:pt idx="9">
                  <c:v>99421131.21247907</c:v>
                </c:pt>
                <c:pt idx="10">
                  <c:v>98492109.327183142</c:v>
                </c:pt>
                <c:pt idx="11">
                  <c:v>150132599.31127</c:v>
                </c:pt>
                <c:pt idx="12">
                  <c:v>94324014.019999996</c:v>
                </c:pt>
                <c:pt idx="13">
                  <c:v>88928613.660000041</c:v>
                </c:pt>
                <c:pt idx="14">
                  <c:v>118427606.67570557</c:v>
                </c:pt>
              </c:numCache>
            </c:numRef>
          </c:val>
          <c:smooth val="1"/>
        </c:ser>
        <c:marker val="1"/>
        <c:axId val="86411520"/>
        <c:axId val="86413312"/>
      </c:lineChart>
      <c:dateAx>
        <c:axId val="86411520"/>
        <c:scaling>
          <c:orientation val="minMax"/>
        </c:scaling>
        <c:axPos val="b"/>
        <c:numFmt formatCode="#,##0.00" sourceLinked="0"/>
        <c:tickLblPos val="nextTo"/>
        <c:txPr>
          <a:bodyPr/>
          <a:lstStyle/>
          <a:p>
            <a:pPr>
              <a:defRPr lang="sr-Latn-CS" sz="650" baseline="0"/>
            </a:pPr>
            <a:endParaRPr lang="en-US"/>
          </a:p>
        </c:txPr>
        <c:crossAx val="86413312"/>
        <c:crosses val="autoZero"/>
        <c:lblOffset val="100"/>
        <c:baseTimeUnit val="days"/>
      </c:dateAx>
      <c:valAx>
        <c:axId val="86413312"/>
        <c:scaling>
          <c:orientation val="minMax"/>
        </c:scaling>
        <c:axPos val="l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86411520"/>
        <c:crosses val="autoZero"/>
        <c:crossBetween val="between"/>
      </c:valAx>
      <c:valAx>
        <c:axId val="86414848"/>
        <c:scaling>
          <c:orientation val="minMax"/>
          <c:max val="130000000"/>
          <c:min val="-50000000"/>
        </c:scaling>
        <c:axPos val="r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86416768"/>
        <c:crosses val="max"/>
        <c:crossBetween val="between"/>
        <c:majorUnit val="20000000"/>
      </c:valAx>
      <c:catAx>
        <c:axId val="86416768"/>
        <c:scaling>
          <c:orientation val="minMax"/>
        </c:scaling>
        <c:delete val="1"/>
        <c:axPos val="b"/>
        <c:numFmt formatCode="General" sourceLinked="1"/>
        <c:tickLblPos val="none"/>
        <c:crossAx val="86414848"/>
        <c:crosses val="autoZero"/>
        <c:auto val="1"/>
        <c:lblAlgn val="ctr"/>
        <c:lblOffset val="100"/>
      </c:catAx>
      <c:spPr>
        <a:ln>
          <a:solidFill>
            <a:schemeClr val="tx1"/>
          </a:solidFill>
        </a:ln>
      </c:spPr>
    </c:plotArea>
    <c:legend>
      <c:legendPos val="b"/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</c:chart>
  <c:spPr>
    <a:ln w="6350">
      <a:noFill/>
      <a:prstDash val="sysDot"/>
    </a:ln>
  </c:spPr>
  <c:txPr>
    <a:bodyPr/>
    <a:lstStyle/>
    <a:p>
      <a:pPr>
        <a:defRPr sz="700" baseline="0"/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900"/>
            </a:pPr>
            <a:r>
              <a:rPr lang="x-none" sz="900"/>
              <a:t>depozit</a:t>
            </a:r>
            <a:r>
              <a:rPr lang="en-US" sz="900"/>
              <a:t>i</a:t>
            </a:r>
          </a:p>
        </c:rich>
      </c:tx>
    </c:title>
    <c:plotArea>
      <c:layout>
        <c:manualLayout>
          <c:layoutTarget val="inner"/>
          <c:xMode val="edge"/>
          <c:yMode val="edge"/>
          <c:x val="0.16791147994467495"/>
          <c:y val="0.21078258074883496"/>
          <c:w val="0.67950251031899456"/>
          <c:h val="0.4798178799078745"/>
        </c:manualLayout>
      </c:layout>
      <c:barChart>
        <c:barDir val="col"/>
        <c:grouping val="clustered"/>
        <c:ser>
          <c:idx val="1"/>
          <c:order val="1"/>
          <c:tx>
            <c:v>privreda</c:v>
          </c:tx>
          <c:cat>
            <c:strRef>
              <c:f>'Database za makro'!$AG$9:$AS$9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'[mmi-2014_04.xlsx]Database za makro'!$AG$35:$AL$35,'[mmi-2014_04.xlsx]Database za makro'!$AM$35:$AS$35</c:f>
              <c:numCache>
                <c:formatCode>#,##0</c:formatCode>
                <c:ptCount val="13"/>
                <c:pt idx="0">
                  <c:v>525396000</c:v>
                </c:pt>
                <c:pt idx="1">
                  <c:v>489805000</c:v>
                </c:pt>
                <c:pt idx="2">
                  <c:v>509806000</c:v>
                </c:pt>
                <c:pt idx="3">
                  <c:v>539330000</c:v>
                </c:pt>
                <c:pt idx="4">
                  <c:v>576247000</c:v>
                </c:pt>
                <c:pt idx="5">
                  <c:v>612291000</c:v>
                </c:pt>
                <c:pt idx="6">
                  <c:v>630349000</c:v>
                </c:pt>
                <c:pt idx="7">
                  <c:v>572820000</c:v>
                </c:pt>
                <c:pt idx="8">
                  <c:v>553941000</c:v>
                </c:pt>
                <c:pt idx="9">
                  <c:v>554847000</c:v>
                </c:pt>
                <c:pt idx="10">
                  <c:v>553965000</c:v>
                </c:pt>
                <c:pt idx="11">
                  <c:v>549565000</c:v>
                </c:pt>
                <c:pt idx="12">
                  <c:v>542801000</c:v>
                </c:pt>
              </c:numCache>
            </c:numRef>
          </c:val>
        </c:ser>
        <c:gapWidth val="27"/>
        <c:axId val="61901056"/>
        <c:axId val="61947904"/>
      </c:barChart>
      <c:lineChart>
        <c:grouping val="standard"/>
        <c:ser>
          <c:idx val="0"/>
          <c:order val="0"/>
          <c:tx>
            <c:v>fizička lica</c:v>
          </c:tx>
          <c:marker>
            <c:symbol val="none"/>
          </c:marker>
          <c:cat>
            <c:strRef>
              <c:f>'Database za makro'!$AG$9:$AS$9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'Database za makro'!$AG$36:$AS$36</c:f>
              <c:numCache>
                <c:formatCode>#,##0</c:formatCode>
                <c:ptCount val="13"/>
                <c:pt idx="0">
                  <c:v>1164968000</c:v>
                </c:pt>
                <c:pt idx="1">
                  <c:v>1165079000</c:v>
                </c:pt>
                <c:pt idx="2">
                  <c:v>1162379000</c:v>
                </c:pt>
                <c:pt idx="3">
                  <c:v>1164672000</c:v>
                </c:pt>
                <c:pt idx="4">
                  <c:v>1192921000</c:v>
                </c:pt>
                <c:pt idx="5">
                  <c:v>1218062000</c:v>
                </c:pt>
                <c:pt idx="6">
                  <c:v>1222878000</c:v>
                </c:pt>
                <c:pt idx="7">
                  <c:v>1218104000</c:v>
                </c:pt>
                <c:pt idx="8">
                  <c:v>1220954000</c:v>
                </c:pt>
                <c:pt idx="9">
                  <c:v>1237731000</c:v>
                </c:pt>
                <c:pt idx="10">
                  <c:v>1235091000</c:v>
                </c:pt>
                <c:pt idx="11">
                  <c:v>1236410000</c:v>
                </c:pt>
                <c:pt idx="12">
                  <c:v>1239179000</c:v>
                </c:pt>
              </c:numCache>
            </c:numRef>
          </c:val>
        </c:ser>
        <c:marker val="1"/>
        <c:axId val="62111744"/>
        <c:axId val="61949824"/>
      </c:lineChart>
      <c:catAx>
        <c:axId val="61901056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61947904"/>
        <c:crosses val="autoZero"/>
        <c:auto val="1"/>
        <c:lblAlgn val="ctr"/>
        <c:lblOffset val="100"/>
      </c:catAx>
      <c:valAx>
        <c:axId val="61947904"/>
        <c:scaling>
          <c:orientation val="minMax"/>
          <c:min val="450000000"/>
        </c:scaling>
        <c:axPos val="l"/>
        <c:numFmt formatCode="#,##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61901056"/>
        <c:crosses val="autoZero"/>
        <c:crossBetween val="between"/>
        <c:dispUnits>
          <c:builtInUnit val="millions"/>
          <c:dispUnitsLbl>
            <c:layout>
              <c:manualLayout>
                <c:xMode val="edge"/>
                <c:yMode val="edge"/>
                <c:x val="1.6597510373443983E-2"/>
                <c:y val="0.37404788687128432"/>
              </c:manualLayout>
            </c:layout>
            <c:tx>
              <c:rich>
                <a:bodyPr/>
                <a:lstStyle/>
                <a:p>
                  <a:pPr>
                    <a:defRPr lang="sr-Latn-CS" sz="600"/>
                  </a:pPr>
                  <a:r>
                    <a:rPr lang="sr-Latn-CS"/>
                    <a:t>mil.</a:t>
                  </a:r>
                </a:p>
              </c:rich>
            </c:tx>
          </c:dispUnitsLbl>
        </c:dispUnits>
      </c:valAx>
      <c:valAx>
        <c:axId val="61949824"/>
        <c:scaling>
          <c:orientation val="minMax"/>
        </c:scaling>
        <c:axPos val="r"/>
        <c:numFmt formatCode="#,##0" sourceLinked="1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62111744"/>
        <c:crosses val="max"/>
        <c:crossBetween val="between"/>
        <c:dispUnits>
          <c:builtInUnit val="millions"/>
        </c:dispUnits>
      </c:valAx>
      <c:catAx>
        <c:axId val="62111744"/>
        <c:scaling>
          <c:orientation val="minMax"/>
        </c:scaling>
        <c:delete val="1"/>
        <c:axPos val="b"/>
        <c:tickLblPos val="none"/>
        <c:crossAx val="61949824"/>
        <c:crosses val="autoZero"/>
        <c:auto val="1"/>
        <c:lblAlgn val="ctr"/>
        <c:lblOffset val="100"/>
      </c:catAx>
    </c:plotArea>
    <c:legend>
      <c:legendPos val="b"/>
      <c:txPr>
        <a:bodyPr/>
        <a:lstStyle/>
        <a:p>
          <a:pPr>
            <a:defRPr lang="sr-Latn-CS" sz="600"/>
          </a:pPr>
          <a:endParaRPr lang="en-US"/>
        </a:p>
      </c:txPr>
    </c:legend>
    <c:plotVisOnly val="1"/>
    <c:dispBlanksAs val="zero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 sz="900"/>
            </a:pPr>
            <a:r>
              <a:rPr lang="en-US" sz="900"/>
              <a:t>Spoljnotrgovinski bilans</a:t>
            </a:r>
            <a:r>
              <a:rPr lang="en-US" sz="900" baseline="0"/>
              <a:t> (mil. </a:t>
            </a:r>
            <a:r>
              <a:rPr lang="en-US" sz="900" baseline="0">
                <a:latin typeface="Calibri"/>
              </a:rPr>
              <a:t>€)</a:t>
            </a:r>
            <a:endParaRPr lang="en-US" sz="900"/>
          </a:p>
        </c:rich>
      </c:tx>
      <c:layout>
        <c:manualLayout>
          <c:xMode val="edge"/>
          <c:yMode val="edge"/>
          <c:x val="0.31869173369167131"/>
          <c:y val="5.4508056798707009E-3"/>
        </c:manualLayout>
      </c:layout>
    </c:title>
    <c:plotArea>
      <c:layout>
        <c:manualLayout>
          <c:layoutTarget val="inner"/>
          <c:xMode val="edge"/>
          <c:yMode val="edge"/>
          <c:x val="0.13120404329980634"/>
          <c:y val="0.13965727424567767"/>
          <c:w val="0.76230462877089489"/>
          <c:h val="0.74757504296734478"/>
        </c:manualLayout>
      </c:layout>
      <c:barChart>
        <c:barDir val="col"/>
        <c:grouping val="clustered"/>
        <c:ser>
          <c:idx val="2"/>
          <c:order val="2"/>
          <c:tx>
            <c:v>Spoljnotrgovinski bilans</c:v>
          </c:tx>
          <c:spPr>
            <a:solidFill>
              <a:schemeClr val="accent3">
                <a:lumMod val="60000"/>
                <a:lumOff val="40000"/>
              </a:schemeClr>
            </a:solidFill>
          </c:spPr>
          <c:cat>
            <c:strRef>
              <c:f>'Makroekonomski indikatori'!$P$60:$AC$60</c:f>
              <c:strCache>
                <c:ptCount val="14"/>
                <c:pt idx="0">
                  <c:v>2012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2013</c:v>
                </c:pt>
                <c:pt idx="13">
                  <c:v>II</c:v>
                </c:pt>
              </c:strCache>
            </c:strRef>
          </c:cat>
          <c:val>
            <c:numRef>
              <c:f>'Makroekonomski indikatori'!$AZ$79:$BA$79</c:f>
              <c:numCache>
                <c:formatCode>#,##0.00</c:formatCode>
                <c:ptCount val="2"/>
                <c:pt idx="0">
                  <c:v>-273.73900000000003</c:v>
                </c:pt>
                <c:pt idx="1">
                  <c:v>-271.16300000000001</c:v>
                </c:pt>
              </c:numCache>
            </c:numRef>
          </c:val>
        </c:ser>
        <c:ser>
          <c:idx val="0"/>
          <c:order val="0"/>
          <c:tx>
            <c:v>Izvoz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/>
                      <a:t>Izvoz</a:t>
                    </a:r>
                  </a:p>
                </c:rich>
              </c:tx>
              <c:showVal val="1"/>
              <c:showSer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Izvoz</a:t>
                    </a:r>
                  </a:p>
                </c:rich>
              </c:tx>
              <c:showVal val="1"/>
              <c:showSerName val="1"/>
            </c:dLbl>
            <c:txPr>
              <a:bodyPr/>
              <a:lstStyle/>
              <a:p>
                <a:pPr>
                  <a:defRPr lang="x-none" sz="800"/>
                </a:pPr>
                <a:endParaRPr lang="en-US"/>
              </a:p>
            </c:txPr>
            <c:showVal val="1"/>
            <c:showSerName val="1"/>
          </c:dLbls>
          <c:cat>
            <c:strRef>
              <c:f>'Makroekonomski indikatori'!$AZ$75:$BA$75</c:f>
              <c:strCache>
                <c:ptCount val="2"/>
                <c:pt idx="0">
                  <c:v>Q1 2013</c:v>
                </c:pt>
                <c:pt idx="1">
                  <c:v>Q1 2014</c:v>
                </c:pt>
              </c:strCache>
            </c:strRef>
          </c:cat>
          <c:val>
            <c:numRef>
              <c:f>'Makroekonomski indikatori'!$AZ$76:$BA$76</c:f>
              <c:numCache>
                <c:formatCode>#,##0.00</c:formatCode>
                <c:ptCount val="2"/>
                <c:pt idx="0">
                  <c:v>89.194999999999993</c:v>
                </c:pt>
                <c:pt idx="1">
                  <c:v>69.438999999999993</c:v>
                </c:pt>
              </c:numCache>
            </c:numRef>
          </c:val>
        </c:ser>
        <c:ser>
          <c:idx val="1"/>
          <c:order val="1"/>
          <c:tx>
            <c:v>Uvoz</c:v>
          </c:tx>
          <c:spPr>
            <a:ln>
              <a:solidFill>
                <a:srgbClr val="C00000"/>
              </a:solidFill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dLbls>
            <c:dLbl>
              <c:idx val="0"/>
              <c:layout>
                <c:manualLayout>
                  <c:x val="5.4794520547945501E-3"/>
                  <c:y val="1.061713098045485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Uvoz</a:t>
                    </a:r>
                  </a:p>
                </c:rich>
              </c:tx>
              <c:showVal val="1"/>
              <c:showSerName val="1"/>
            </c:dLbl>
            <c:dLbl>
              <c:idx val="1"/>
              <c:layout>
                <c:manualLayout>
                  <c:x val="-4.3145291770035718E-7"/>
                  <c:y val="3.4174027738918442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Uvoz</a:t>
                    </a:r>
                  </a:p>
                </c:rich>
              </c:tx>
              <c:showVal val="1"/>
              <c:showSerName val="1"/>
            </c:dLbl>
            <c:txPr>
              <a:bodyPr/>
              <a:lstStyle/>
              <a:p>
                <a:pPr>
                  <a:defRPr lang="x-none" sz="800"/>
                </a:pPr>
                <a:endParaRPr lang="en-US"/>
              </a:p>
            </c:txPr>
            <c:showVal val="1"/>
            <c:showSerName val="1"/>
          </c:dLbls>
          <c:cat>
            <c:multiLvlStrRef>
              <c:f>[1]data!$P$2:$AB$3</c:f>
              <c:multiLvlStrCache>
                <c:ptCount val="13"/>
                <c:lvl>
                  <c:pt idx="0">
                    <c:v>#REF!</c:v>
                  </c:pt>
                  <c:pt idx="1">
                    <c:v>#REF!</c:v>
                  </c:pt>
                  <c:pt idx="2">
                    <c:v>#REF!</c:v>
                  </c:pt>
                  <c:pt idx="3">
                    <c:v>#REF!</c:v>
                  </c:pt>
                  <c:pt idx="4">
                    <c:v>#REF!</c:v>
                  </c:pt>
                  <c:pt idx="5">
                    <c:v>#REF!</c:v>
                  </c:pt>
                  <c:pt idx="6">
                    <c:v>#REF!</c:v>
                  </c:pt>
                  <c:pt idx="7">
                    <c:v>#REF!</c:v>
                  </c:pt>
                  <c:pt idx="8">
                    <c:v>#REF!</c:v>
                  </c:pt>
                  <c:pt idx="9">
                    <c:v>#REF!</c:v>
                  </c:pt>
                  <c:pt idx="10">
                    <c:v>#REF!</c:v>
                  </c:pt>
                  <c:pt idx="11">
                    <c:v>#REF!</c:v>
                  </c:pt>
                  <c:pt idx="12">
                    <c:v>#REF!</c:v>
                  </c:pt>
                </c:lvl>
                <c:lvl>
                  <c:pt idx="0">
                    <c:v>#REF!</c:v>
                  </c:pt>
                  <c:pt idx="1">
                    <c:v>#REF!</c:v>
                  </c:pt>
                  <c:pt idx="2">
                    <c:v>#REF!</c:v>
                  </c:pt>
                  <c:pt idx="3">
                    <c:v>#REF!</c:v>
                  </c:pt>
                  <c:pt idx="4">
                    <c:v>#REF!</c:v>
                  </c:pt>
                  <c:pt idx="5">
                    <c:v>#REF!</c:v>
                  </c:pt>
                  <c:pt idx="6">
                    <c:v>#REF!</c:v>
                  </c:pt>
                  <c:pt idx="7">
                    <c:v>#REF!</c:v>
                  </c:pt>
                  <c:pt idx="8">
                    <c:v>#REF!</c:v>
                  </c:pt>
                  <c:pt idx="9">
                    <c:v>#REF!</c:v>
                  </c:pt>
                  <c:pt idx="10">
                    <c:v>#REF!</c:v>
                  </c:pt>
                  <c:pt idx="11">
                    <c:v>#REF!</c:v>
                  </c:pt>
                  <c:pt idx="12">
                    <c:v>#REF!</c:v>
                  </c:pt>
                </c:lvl>
              </c:multiLvlStrCache>
            </c:multiLvlStrRef>
          </c:cat>
          <c:val>
            <c:numRef>
              <c:f>'Makroekonomski indikatori'!$AZ$77:$BA$77</c:f>
              <c:numCache>
                <c:formatCode>#,##0.00</c:formatCode>
                <c:ptCount val="2"/>
                <c:pt idx="0">
                  <c:v>362.93400000000003</c:v>
                </c:pt>
                <c:pt idx="1">
                  <c:v>340.60199999999969</c:v>
                </c:pt>
              </c:numCache>
            </c:numRef>
          </c:val>
        </c:ser>
        <c:gapWidth val="66"/>
        <c:axId val="63154048"/>
        <c:axId val="63155584"/>
      </c:barChart>
      <c:catAx>
        <c:axId val="63154048"/>
        <c:scaling>
          <c:orientation val="minMax"/>
        </c:scaling>
        <c:axPos val="b"/>
        <c:numFmt formatCode="@" sourceLinked="1"/>
        <c:tickLblPos val="nextTo"/>
        <c:txPr>
          <a:bodyPr/>
          <a:lstStyle/>
          <a:p>
            <a:pPr>
              <a:defRPr lang="en-US" sz="800" b="1"/>
            </a:pPr>
            <a:endParaRPr lang="en-US"/>
          </a:p>
        </c:txPr>
        <c:crossAx val="63155584"/>
        <c:crosses val="autoZero"/>
        <c:lblAlgn val="ctr"/>
        <c:lblOffset val="100"/>
        <c:tickLblSkip val="1"/>
        <c:tickMarkSkip val="1"/>
      </c:catAx>
      <c:valAx>
        <c:axId val="63155584"/>
        <c:scaling>
          <c:orientation val="minMax"/>
          <c:min val="-300"/>
        </c:scaling>
        <c:axPos val="l"/>
        <c:numFmt formatCode="0.0" sourceLinked="0"/>
        <c:majorTickMark val="none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63154048"/>
        <c:crosses val="autoZero"/>
        <c:crossBetween val="between"/>
      </c:valAx>
    </c:plotArea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0.86824</cdr:y>
    </cdr:from>
    <cdr:to>
      <cdr:x>0.27246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0" y="1631950"/>
          <a:ext cx="57785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izvor:</a:t>
          </a:r>
          <a:r>
            <a:rPr lang="sr-Latn-CS" sz="700" baseline="0"/>
            <a:t> EC</a:t>
          </a:r>
          <a:endParaRPr lang="sr-Latn-CS" sz="7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0.40865</cdr:x>
      <cdr:y>0.05072</cdr:y>
    </cdr:from>
    <cdr:to>
      <cdr:x>0.93724</cdr:x>
      <cdr:y>0.13768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30275" y="88900"/>
          <a:ext cx="1203325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600"/>
            <a:t>radne dozvole strancima</a:t>
          </a:r>
        </a:p>
      </cdr:txBody>
    </cdr:sp>
  </cdr:relSizeAnchor>
  <cdr:relSizeAnchor xmlns:cdr="http://schemas.openxmlformats.org/drawingml/2006/chartDrawing">
    <cdr:from>
      <cdr:x>0.40865</cdr:x>
      <cdr:y>0.05072</cdr:y>
    </cdr:from>
    <cdr:to>
      <cdr:x>0.93724</cdr:x>
      <cdr:y>0.13768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930275" y="88900"/>
          <a:ext cx="1203325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600"/>
            <a:t>radne dozvole strancima</a:t>
          </a:r>
        </a:p>
      </cdr:txBody>
    </cdr:sp>
  </cdr:relSizeAnchor>
  <cdr:relSizeAnchor xmlns:cdr="http://schemas.openxmlformats.org/drawingml/2006/chartDrawing">
    <cdr:from>
      <cdr:x>0.47141</cdr:x>
      <cdr:y>0.16304</cdr:y>
    </cdr:from>
    <cdr:to>
      <cdr:x>1</cdr:x>
      <cdr:y>0.25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095379" y="285750"/>
          <a:ext cx="1203321" cy="1524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sr-Latn-CS" sz="600"/>
            <a:t>oglašena slobodna radna mjesta</a:t>
          </a:r>
        </a:p>
        <a:p xmlns:a="http://schemas.openxmlformats.org/drawingml/2006/main">
          <a:endParaRPr lang="sr-Latn-CS" sz="6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0.14795</cdr:x>
      <cdr:y>0.83249</cdr:y>
    </cdr:from>
    <cdr:to>
      <cdr:x>0.48219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2900" y="2082800"/>
          <a:ext cx="774700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800"/>
            <a:t>trgovinski bilans</a:t>
          </a:r>
        </a:p>
      </cdr:txBody>
    </cdr:sp>
  </cdr:relSizeAnchor>
  <cdr:relSizeAnchor xmlns:cdr="http://schemas.openxmlformats.org/drawingml/2006/chartDrawing">
    <cdr:from>
      <cdr:x>0.47671</cdr:x>
      <cdr:y>0.82234</cdr:y>
    </cdr:from>
    <cdr:to>
      <cdr:x>0.81096</cdr:x>
      <cdr:y>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104900" y="2165350"/>
          <a:ext cx="774700" cy="444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sr-Latn-CS" sz="800"/>
            <a:t>trgovinski bilans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45361-48F6-4457-97C9-7249DC014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5</Pages>
  <Words>2571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milos.popovic;Iva Radovan</dc:creator>
  <cp:lastModifiedBy>milanka.jovanovic</cp:lastModifiedBy>
  <cp:revision>128</cp:revision>
  <cp:lastPrinted>2014-01-16T09:51:00Z</cp:lastPrinted>
  <dcterms:created xsi:type="dcterms:W3CDTF">2014-03-07T12:21:00Z</dcterms:created>
  <dcterms:modified xsi:type="dcterms:W3CDTF">2014-05-12T08:42:00Z</dcterms:modified>
</cp:coreProperties>
</file>